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DE3F5F" w:rsidRPr="007B47FB" w14:paraId="6C48F1FA" w14:textId="77777777" w:rsidTr="00DE3F5F">
        <w:trPr>
          <w:trHeight w:hRule="exact" w:val="5443"/>
        </w:trPr>
        <w:tc>
          <w:tcPr>
            <w:tcW w:w="9072" w:type="dxa"/>
          </w:tcPr>
          <w:p w14:paraId="3585E257" w14:textId="2DAFDC20" w:rsidR="00DE3F5F" w:rsidRPr="007B47FB" w:rsidRDefault="00A86A1C" w:rsidP="00DE3F5F">
            <w:pPr>
              <w:pStyle w:val="NormalNoSpace"/>
              <w:spacing w:line="240" w:lineRule="auto"/>
              <w:ind w:left="-57"/>
            </w:pPr>
            <w:bookmarkStart w:id="0" w:name="TitlePage"/>
            <w:bookmarkStart w:id="1" w:name="TitlePages"/>
            <w:r>
              <w:rPr>
                <w:noProof/>
                <w:lang w:eastAsia="en-GB"/>
              </w:rPr>
              <w:drawing>
                <wp:inline distT="0" distB="0" distL="0" distR="0" wp14:anchorId="4E9C803B" wp14:editId="7EAF1941">
                  <wp:extent cx="3456305" cy="34563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56305" cy="3456305"/>
                          </a:xfrm>
                          <a:prstGeom prst="rect">
                            <a:avLst/>
                          </a:prstGeom>
                        </pic:spPr>
                      </pic:pic>
                    </a:graphicData>
                  </a:graphic>
                </wp:inline>
              </w:drawing>
            </w:r>
          </w:p>
        </w:tc>
      </w:tr>
      <w:tr w:rsidR="00DE3F5F" w:rsidRPr="007B47FB" w14:paraId="2AB8A310" w14:textId="77777777" w:rsidTr="00DE3F5F">
        <w:trPr>
          <w:trHeight w:hRule="exact" w:val="3724"/>
        </w:trPr>
        <w:tc>
          <w:tcPr>
            <w:tcW w:w="9072" w:type="dxa"/>
          </w:tcPr>
          <w:p w14:paraId="457803DF" w14:textId="4ADBC5A9" w:rsidR="00DE3F5F" w:rsidRPr="007B47FB" w:rsidRDefault="00485298" w:rsidP="00DE3F5F">
            <w:pPr>
              <w:pStyle w:val="DocTitle"/>
            </w:pPr>
            <w:bookmarkStart w:id="2" w:name="DocTitle1"/>
            <w:bookmarkEnd w:id="2"/>
            <w:r>
              <w:t xml:space="preserve">Natura 2000 Funding in Wales </w:t>
            </w:r>
          </w:p>
          <w:p w14:paraId="28396C30" w14:textId="711A0EE1" w:rsidR="00DE3F5F" w:rsidRDefault="00AF7274" w:rsidP="00DE3F5F">
            <w:pPr>
              <w:pStyle w:val="DocSubTitle"/>
            </w:pPr>
            <w:bookmarkStart w:id="3" w:name="DocSubTitle1"/>
            <w:bookmarkEnd w:id="3"/>
            <w:r>
              <w:t xml:space="preserve">Final </w:t>
            </w:r>
            <w:r w:rsidR="00D0775B">
              <w:t xml:space="preserve">Report </w:t>
            </w:r>
          </w:p>
          <w:p w14:paraId="4DCFEAC1" w14:textId="77777777" w:rsidR="00A86A1C" w:rsidRPr="007B47FB" w:rsidRDefault="00A86A1C" w:rsidP="00DE3F5F">
            <w:pPr>
              <w:pStyle w:val="DocSubTitle"/>
            </w:pPr>
          </w:p>
          <w:p w14:paraId="3DF82FAD" w14:textId="77777777" w:rsidR="00DE3F5F" w:rsidRPr="007B47FB" w:rsidRDefault="00DE3F5F" w:rsidP="00DE3F5F"/>
          <w:p w14:paraId="7549C933" w14:textId="275DDB09" w:rsidR="00DE3F5F" w:rsidRPr="007B47FB" w:rsidRDefault="008932C3" w:rsidP="00DE3F5F">
            <w:pPr>
              <w:pStyle w:val="DocDate"/>
            </w:pPr>
            <w:bookmarkStart w:id="4" w:name="DocDate1"/>
            <w:r>
              <w:t>14 April</w:t>
            </w:r>
            <w:r w:rsidR="00F60A4F">
              <w:t xml:space="preserve"> 201</w:t>
            </w:r>
            <w:bookmarkEnd w:id="4"/>
            <w:r w:rsidR="00EE77C4">
              <w:t>5</w:t>
            </w:r>
          </w:p>
        </w:tc>
      </w:tr>
    </w:tbl>
    <w:p w14:paraId="08546845" w14:textId="77777777" w:rsidR="00C219D4" w:rsidRDefault="00C219D4"/>
    <w:p w14:paraId="2930CF2C" w14:textId="77777777" w:rsidR="00C50B29" w:rsidRDefault="00C50B29">
      <w:pPr>
        <w:sectPr w:rsidR="00C50B29" w:rsidSect="00A86A1C">
          <w:headerReference w:type="default" r:id="rId14"/>
          <w:footerReference w:type="default" r:id="rId15"/>
          <w:headerReference w:type="first" r:id="rId16"/>
          <w:footerReference w:type="first" r:id="rId17"/>
          <w:type w:val="oddPage"/>
          <w:pgSz w:w="11907" w:h="16840" w:code="9"/>
          <w:pgMar w:top="1871" w:right="1418" w:bottom="1021" w:left="1418" w:header="680" w:footer="454" w:gutter="0"/>
          <w:pgNumType w:start="1"/>
          <w:cols w:space="708"/>
          <w:titlePg/>
          <w:docGrid w:linePitch="360"/>
        </w:sectPr>
      </w:pPr>
    </w:p>
    <w:p w14:paraId="508895FD" w14:textId="77777777" w:rsidR="00C50B29" w:rsidRDefault="00C50B29" w:rsidP="00760383">
      <w:pPr>
        <w:pStyle w:val="NormalNoSpace"/>
      </w:pPr>
      <w:bookmarkStart w:id="5" w:name="InsideTitlePage"/>
    </w:p>
    <w:p w14:paraId="074217A3" w14:textId="77777777" w:rsidR="00A86A1C" w:rsidRPr="00A86A1C" w:rsidRDefault="00A86A1C" w:rsidP="00A86A1C">
      <w:pPr>
        <w:pStyle w:val="NormalWeb"/>
        <w:spacing w:line="360" w:lineRule="auto"/>
        <w:rPr>
          <w:rFonts w:ascii="Arial" w:hAnsi="Arial" w:cs="Arial"/>
          <w:sz w:val="20"/>
          <w:szCs w:val="20"/>
        </w:rPr>
      </w:pPr>
      <w:r w:rsidRPr="00A86A1C">
        <w:rPr>
          <w:rFonts w:ascii="Arial" w:hAnsi="Arial" w:cs="Arial"/>
          <w:b/>
          <w:bCs/>
          <w:sz w:val="20"/>
          <w:szCs w:val="20"/>
        </w:rPr>
        <w:t xml:space="preserve">LIFE </w:t>
      </w:r>
      <w:r w:rsidRPr="00A86A1C">
        <w:rPr>
          <w:rStyle w:val="spelle"/>
          <w:rFonts w:ascii="Arial" w:hAnsi="Arial" w:cs="Arial"/>
          <w:b/>
          <w:bCs/>
          <w:sz w:val="20"/>
          <w:szCs w:val="20"/>
        </w:rPr>
        <w:t>Natura</w:t>
      </w:r>
      <w:r w:rsidRPr="00A86A1C">
        <w:rPr>
          <w:rFonts w:ascii="Arial" w:hAnsi="Arial" w:cs="Arial"/>
          <w:b/>
          <w:bCs/>
          <w:sz w:val="20"/>
          <w:szCs w:val="20"/>
        </w:rPr>
        <w:t xml:space="preserve"> 2000 Programme for Wales</w:t>
      </w:r>
    </w:p>
    <w:p w14:paraId="0D91801D" w14:textId="77777777" w:rsidR="00A86A1C" w:rsidRPr="00A86A1C" w:rsidRDefault="00A86A1C" w:rsidP="00A86A1C">
      <w:pPr>
        <w:pStyle w:val="NormalWeb"/>
        <w:spacing w:line="360" w:lineRule="auto"/>
        <w:rPr>
          <w:rFonts w:ascii="Arial" w:hAnsi="Arial" w:cs="Arial"/>
          <w:sz w:val="20"/>
          <w:szCs w:val="20"/>
        </w:rPr>
      </w:pPr>
      <w:r w:rsidRPr="00A86A1C">
        <w:rPr>
          <w:rFonts w:ascii="Arial" w:hAnsi="Arial" w:cs="Arial"/>
          <w:b/>
          <w:bCs/>
          <w:sz w:val="20"/>
          <w:szCs w:val="20"/>
        </w:rPr>
        <w:t xml:space="preserve">LIFE N2K Wales: LIFE 11 NAT/UK/385 </w:t>
      </w:r>
    </w:p>
    <w:p w14:paraId="21EC9F58" w14:textId="77777777" w:rsidR="00A86A1C" w:rsidRPr="00A86A1C" w:rsidRDefault="00A86A1C" w:rsidP="00A86A1C">
      <w:pPr>
        <w:pStyle w:val="NormalWeb"/>
        <w:spacing w:line="360" w:lineRule="auto"/>
        <w:rPr>
          <w:rFonts w:ascii="Arial" w:hAnsi="Arial" w:cs="Arial"/>
          <w:sz w:val="20"/>
          <w:szCs w:val="20"/>
        </w:rPr>
      </w:pPr>
      <w:r w:rsidRPr="00A86A1C">
        <w:rPr>
          <w:rFonts w:ascii="Arial" w:hAnsi="Arial" w:cs="Arial"/>
          <w:b/>
          <w:bCs/>
          <w:sz w:val="20"/>
          <w:szCs w:val="20"/>
        </w:rPr>
        <w:t>Action A.5 Review of funding</w:t>
      </w:r>
    </w:p>
    <w:p w14:paraId="22EEDDEF" w14:textId="0DA9BF66" w:rsidR="0030062C" w:rsidRDefault="00A86A1C" w:rsidP="00A86A1C">
      <w:pPr>
        <w:spacing w:before="0" w:after="0" w:line="240" w:lineRule="auto"/>
        <w:sectPr w:rsidR="0030062C" w:rsidSect="00C50B29">
          <w:headerReference w:type="default" r:id="rId18"/>
          <w:footerReference w:type="default" r:id="rId19"/>
          <w:headerReference w:type="first" r:id="rId20"/>
          <w:footerReference w:type="first" r:id="rId21"/>
          <w:type w:val="evenPage"/>
          <w:pgSz w:w="11907" w:h="16840" w:code="9"/>
          <w:pgMar w:top="1871" w:right="1418" w:bottom="1021" w:left="1418" w:header="680" w:footer="454" w:gutter="0"/>
          <w:pgNumType w:fmt="lowerRoman" w:start="1"/>
          <w:cols w:space="708"/>
          <w:titlePg/>
          <w:docGrid w:linePitch="360"/>
        </w:sectPr>
      </w:pPr>
      <w:r w:rsidRPr="00A86A1C">
        <w:rPr>
          <w:rFonts w:cs="Arial"/>
          <w:b/>
          <w:bCs/>
          <w:szCs w:val="20"/>
        </w:rPr>
        <w:t xml:space="preserve">LIFE </w:t>
      </w:r>
      <w:r w:rsidRPr="00A86A1C">
        <w:rPr>
          <w:rStyle w:val="spelle"/>
          <w:rFonts w:cs="Arial"/>
          <w:b/>
          <w:bCs/>
          <w:szCs w:val="20"/>
        </w:rPr>
        <w:t>Natura</w:t>
      </w:r>
      <w:r w:rsidRPr="00A86A1C">
        <w:rPr>
          <w:rFonts w:cs="Arial"/>
          <w:b/>
          <w:bCs/>
          <w:szCs w:val="20"/>
        </w:rPr>
        <w:t xml:space="preserve"> 2000 Programme for Wales contract to review current funding arrangements for N2K management and identify and evaluate potential new funding mechanisms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F60A4F" w:rsidRPr="007B47FB" w14:paraId="68A4AC6A" w14:textId="77777777" w:rsidTr="00ED420E">
        <w:trPr>
          <w:trHeight w:hRule="exact" w:val="4536"/>
        </w:trPr>
        <w:tc>
          <w:tcPr>
            <w:tcW w:w="9072" w:type="dxa"/>
            <w:vAlign w:val="bottom"/>
          </w:tcPr>
          <w:p w14:paraId="2511FCE6" w14:textId="1BF365D7" w:rsidR="00F60A4F" w:rsidRPr="007B47FB" w:rsidRDefault="00F60A4F" w:rsidP="00ED420E">
            <w:pPr>
              <w:pStyle w:val="DocTitle"/>
            </w:pPr>
            <w:bookmarkStart w:id="6" w:name="DocTitle2"/>
            <w:bookmarkStart w:id="7" w:name="DocControlPage"/>
            <w:bookmarkStart w:id="8" w:name="Section2"/>
            <w:bookmarkEnd w:id="0"/>
            <w:bookmarkEnd w:id="5"/>
            <w:bookmarkEnd w:id="6"/>
          </w:p>
          <w:p w14:paraId="3E1FCB69" w14:textId="6396A3C6" w:rsidR="00F60A4F" w:rsidRPr="007B47FB" w:rsidRDefault="00F60A4F" w:rsidP="00ED420E">
            <w:pPr>
              <w:pStyle w:val="DocSubTitle"/>
            </w:pPr>
            <w:bookmarkStart w:id="9" w:name="DocSubTitle2"/>
            <w:bookmarkEnd w:id="9"/>
          </w:p>
          <w:p w14:paraId="64CB5C66" w14:textId="77777777" w:rsidR="00F60A4F" w:rsidRPr="007B47FB" w:rsidRDefault="00F60A4F" w:rsidP="00ED420E"/>
        </w:tc>
      </w:tr>
      <w:tr w:rsidR="00F60A4F" w:rsidRPr="007B47FB" w14:paraId="3EE7C977" w14:textId="77777777" w:rsidTr="00ED420E">
        <w:trPr>
          <w:trHeight w:hRule="exact" w:val="3969"/>
        </w:trPr>
        <w:tc>
          <w:tcPr>
            <w:tcW w:w="9072" w:type="dxa"/>
            <w:vAlign w:val="bottom"/>
          </w:tcPr>
          <w:p w14:paraId="107745E9" w14:textId="77777777" w:rsidR="00F60A4F" w:rsidRDefault="00F60A4F" w:rsidP="00ED420E">
            <w:pPr>
              <w:pStyle w:val="NormalNoSpace"/>
            </w:pPr>
            <w:bookmarkStart w:id="10" w:name="ReportText"/>
            <w:r w:rsidRPr="007B47FB">
              <w:t>A report submitted by</w:t>
            </w:r>
            <w:bookmarkEnd w:id="10"/>
            <w:r w:rsidRPr="007B47FB">
              <w:t xml:space="preserve"> </w:t>
            </w:r>
            <w:r w:rsidRPr="00CF6BC1">
              <w:rPr>
                <w:rFonts w:ascii="Calibri" w:hAnsi="Calibri"/>
                <w:color w:val="0067AC"/>
                <w:sz w:val="24"/>
              </w:rPr>
              <w:t>ICF</w:t>
            </w:r>
            <w:r w:rsidRPr="00B53B30">
              <w:rPr>
                <w:rFonts w:ascii="Calibri" w:hAnsi="Calibri"/>
                <w:color w:val="0067AC"/>
                <w:sz w:val="24"/>
              </w:rPr>
              <w:t xml:space="preserve"> Consulting Services</w:t>
            </w:r>
          </w:p>
          <w:p w14:paraId="3ED6920A" w14:textId="16DF60B3" w:rsidR="00F60A4F" w:rsidRPr="007B47FB" w:rsidRDefault="00F60A4F" w:rsidP="00ED420E">
            <w:bookmarkStart w:id="11" w:name="DocDate2Txt"/>
            <w:r w:rsidRPr="007B47FB">
              <w:t xml:space="preserve">Date: </w:t>
            </w:r>
            <w:bookmarkStart w:id="12" w:name="DocDate2"/>
            <w:bookmarkStart w:id="13" w:name="JobNo2Txt"/>
            <w:bookmarkEnd w:id="11"/>
            <w:r w:rsidR="00EE77C4">
              <w:t>06 March 2015</w:t>
            </w:r>
            <w:bookmarkEnd w:id="12"/>
          </w:p>
          <w:p w14:paraId="48AD6425" w14:textId="1C6B4809" w:rsidR="00F60A4F" w:rsidRPr="007B47FB" w:rsidRDefault="00F60A4F" w:rsidP="00F60A4F">
            <w:bookmarkStart w:id="14" w:name="JobNo2Text"/>
            <w:r w:rsidRPr="007B47FB">
              <w:t>Job Number</w:t>
            </w:r>
            <w:r w:rsidR="00AF7274">
              <w:t>: 30300027</w:t>
            </w:r>
            <w:r w:rsidRPr="007B47FB">
              <w:t xml:space="preserve"> </w:t>
            </w:r>
            <w:bookmarkStart w:id="15" w:name="JobNo2"/>
            <w:bookmarkEnd w:id="13"/>
            <w:bookmarkEnd w:id="14"/>
            <w:bookmarkEnd w:id="15"/>
          </w:p>
        </w:tc>
      </w:tr>
      <w:tr w:rsidR="00F60A4F" w:rsidRPr="007B47FB" w14:paraId="749FE997" w14:textId="77777777" w:rsidTr="00ED420E">
        <w:trPr>
          <w:trHeight w:hRule="exact" w:val="4990"/>
        </w:trPr>
        <w:tc>
          <w:tcPr>
            <w:tcW w:w="9072" w:type="dxa"/>
            <w:vAlign w:val="bottom"/>
          </w:tcPr>
          <w:p w14:paraId="5D28B4E4" w14:textId="418422BA" w:rsidR="00F60A4F" w:rsidRPr="007B47FB" w:rsidRDefault="00F60A4F" w:rsidP="00ED420E">
            <w:pPr>
              <w:pStyle w:val="GHKContactsHeading"/>
            </w:pPr>
            <w:bookmarkStart w:id="16" w:name="GHKAuthor"/>
            <w:bookmarkEnd w:id="16"/>
          </w:p>
          <w:p w14:paraId="782FC5CD" w14:textId="5E36CBD6" w:rsidR="00F60A4F" w:rsidRPr="007B47FB" w:rsidRDefault="00F60A4F" w:rsidP="00F60A4F">
            <w:pPr>
              <w:pStyle w:val="GHKContactsHeading"/>
              <w:jc w:val="left"/>
            </w:pPr>
            <w:bookmarkStart w:id="17" w:name="GHKName"/>
            <w:bookmarkStart w:id="18" w:name="GHKNameTxt"/>
            <w:r>
              <w:t>ICF Consulting Services Limited</w:t>
            </w:r>
            <w:bookmarkEnd w:id="17"/>
          </w:p>
          <w:p w14:paraId="5BC4422E" w14:textId="07DBE090" w:rsidR="00F60A4F" w:rsidRPr="007B47FB" w:rsidRDefault="00F60A4F" w:rsidP="00F60A4F">
            <w:pPr>
              <w:pStyle w:val="GHKContacts"/>
              <w:jc w:val="left"/>
            </w:pPr>
            <w:bookmarkStart w:id="19" w:name="GHKAddress"/>
            <w:bookmarkStart w:id="20" w:name="GHKAddressTxt"/>
            <w:bookmarkEnd w:id="18"/>
            <w:r>
              <w:t>Watling House</w:t>
            </w:r>
            <w:r>
              <w:br/>
              <w:t>33 Cannon Street</w:t>
            </w:r>
            <w:r>
              <w:br/>
              <w:t>London</w:t>
            </w:r>
            <w:r>
              <w:br/>
              <w:t>EC4M 5SB</w:t>
            </w:r>
            <w:bookmarkEnd w:id="19"/>
          </w:p>
          <w:p w14:paraId="132BD088" w14:textId="2D09439C" w:rsidR="00F60A4F" w:rsidRPr="007B47FB" w:rsidRDefault="00F60A4F" w:rsidP="00F60A4F">
            <w:pPr>
              <w:pStyle w:val="GHKContacts"/>
              <w:jc w:val="left"/>
            </w:pPr>
            <w:bookmarkStart w:id="21" w:name="GHKContact"/>
            <w:bookmarkStart w:id="22" w:name="GHKContactTxt"/>
            <w:bookmarkStart w:id="23" w:name="GHKWebTxt"/>
            <w:bookmarkEnd w:id="20"/>
            <w:r>
              <w:t>T +44 (0)20 3096 4800</w:t>
            </w:r>
            <w:r>
              <w:br/>
              <w:t>F +44 (0)20 3368 6960</w:t>
            </w:r>
            <w:bookmarkEnd w:id="21"/>
          </w:p>
          <w:p w14:paraId="12EBA183" w14:textId="037A901E" w:rsidR="00F60A4F" w:rsidRPr="007B47FB" w:rsidRDefault="00F60A4F" w:rsidP="00F60A4F">
            <w:pPr>
              <w:pStyle w:val="GHKContacts"/>
              <w:jc w:val="left"/>
            </w:pPr>
            <w:bookmarkStart w:id="24" w:name="GHKWeb"/>
            <w:bookmarkEnd w:id="22"/>
            <w:bookmarkEnd w:id="23"/>
            <w:r>
              <w:t>www.icfi.com</w:t>
            </w:r>
            <w:bookmarkEnd w:id="24"/>
          </w:p>
        </w:tc>
      </w:tr>
    </w:tbl>
    <w:p w14:paraId="35D13F3E" w14:textId="77777777" w:rsidR="00F60A4F" w:rsidRDefault="00F60A4F" w:rsidP="00ED420E">
      <w:pPr>
        <w:pStyle w:val="NormalNoSpace"/>
        <w:sectPr w:rsidR="00F60A4F" w:rsidSect="00ED420E">
          <w:footerReference w:type="default" r:id="rId22"/>
          <w:pgSz w:w="11907" w:h="16840" w:code="9"/>
          <w:pgMar w:top="1871" w:right="1418" w:bottom="1021" w:left="1418" w:header="680" w:footer="454" w:gutter="0"/>
          <w:pgNumType w:fmt="lowerRoman" w:start="1"/>
          <w:cols w:space="708"/>
          <w:docGrid w:linePitch="360"/>
        </w:sectPr>
      </w:pPr>
    </w:p>
    <w:p w14:paraId="40F93DE1" w14:textId="77777777" w:rsidR="00D17D9A" w:rsidRPr="007B47FB" w:rsidRDefault="00410549" w:rsidP="00ED0340">
      <w:pPr>
        <w:pStyle w:val="Heading1NoTOC"/>
      </w:pPr>
      <w:r>
        <w:t>Document C</w:t>
      </w:r>
      <w:r w:rsidR="00D17D9A" w:rsidRPr="007B47FB">
        <w:t>ontrol</w:t>
      </w:r>
    </w:p>
    <w:tbl>
      <w:tblPr>
        <w:tblStyle w:val="TableGrid"/>
        <w:tblW w:w="9071" w:type="dxa"/>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Layout w:type="fixed"/>
        <w:tblCellMar>
          <w:top w:w="57" w:type="dxa"/>
          <w:left w:w="0" w:type="dxa"/>
          <w:bottom w:w="28" w:type="dxa"/>
          <w:right w:w="0" w:type="dxa"/>
        </w:tblCellMar>
        <w:tblLook w:val="04A0" w:firstRow="1" w:lastRow="0" w:firstColumn="1" w:lastColumn="0" w:noHBand="0" w:noVBand="1"/>
      </w:tblPr>
      <w:tblGrid>
        <w:gridCol w:w="2269"/>
        <w:gridCol w:w="6802"/>
      </w:tblGrid>
      <w:tr w:rsidR="00C44300" w:rsidRPr="007B47FB" w14:paraId="227254E1" w14:textId="77777777" w:rsidTr="00C44300">
        <w:trPr>
          <w:cantSplit/>
        </w:trPr>
        <w:tc>
          <w:tcPr>
            <w:tcW w:w="2269" w:type="dxa"/>
            <w:shd w:val="solid" w:color="FFFFFF" w:fill="FFFFFF"/>
          </w:tcPr>
          <w:p w14:paraId="34C7C033" w14:textId="77777777" w:rsidR="00C44300" w:rsidRPr="007B47FB" w:rsidRDefault="00C44300" w:rsidP="00C44300">
            <w:pPr>
              <w:pStyle w:val="TableTitle"/>
            </w:pPr>
            <w:r w:rsidRPr="007B47FB">
              <w:t>Document Title</w:t>
            </w:r>
          </w:p>
        </w:tc>
        <w:tc>
          <w:tcPr>
            <w:tcW w:w="6802" w:type="dxa"/>
            <w:shd w:val="solid" w:color="FFFFFF" w:fill="FFFFFF"/>
          </w:tcPr>
          <w:p w14:paraId="6E2527BC" w14:textId="71414B1C" w:rsidR="00C44300" w:rsidRPr="007B47FB" w:rsidRDefault="00E36BAA" w:rsidP="00ED1063">
            <w:pPr>
              <w:pStyle w:val="TableText"/>
            </w:pPr>
            <w:bookmarkStart w:id="25" w:name="DocTitle3"/>
            <w:bookmarkEnd w:id="25"/>
            <w:r>
              <w:t>Final</w:t>
            </w:r>
            <w:r w:rsidR="00772C3C">
              <w:t xml:space="preserve"> Report</w:t>
            </w:r>
          </w:p>
        </w:tc>
      </w:tr>
      <w:tr w:rsidR="00C44300" w:rsidRPr="007B47FB" w14:paraId="01D5FA02" w14:textId="77777777" w:rsidTr="00C44300">
        <w:trPr>
          <w:cantSplit/>
        </w:trPr>
        <w:tc>
          <w:tcPr>
            <w:tcW w:w="2269" w:type="dxa"/>
            <w:tcBorders>
              <w:bottom w:val="single" w:sz="2" w:space="0" w:color="0067AB"/>
            </w:tcBorders>
            <w:shd w:val="solid" w:color="FFFFFF" w:fill="FFFFFF"/>
          </w:tcPr>
          <w:p w14:paraId="172EFFB3" w14:textId="77777777" w:rsidR="00C44300" w:rsidRPr="007B47FB" w:rsidRDefault="00C44300" w:rsidP="00C44300">
            <w:pPr>
              <w:pStyle w:val="TableTitle"/>
            </w:pPr>
            <w:r w:rsidRPr="007B47FB">
              <w:t>Job No.</w:t>
            </w:r>
          </w:p>
        </w:tc>
        <w:tc>
          <w:tcPr>
            <w:tcW w:w="6802" w:type="dxa"/>
            <w:tcBorders>
              <w:bottom w:val="single" w:sz="2" w:space="0" w:color="0067AB"/>
            </w:tcBorders>
            <w:shd w:val="solid" w:color="FFFFFF" w:fill="FFFFFF"/>
          </w:tcPr>
          <w:p w14:paraId="01144634" w14:textId="42D79C28" w:rsidR="00C44300" w:rsidRPr="007B47FB" w:rsidRDefault="00772C3C" w:rsidP="00C44300">
            <w:pPr>
              <w:pStyle w:val="TableText"/>
            </w:pPr>
            <w:bookmarkStart w:id="26" w:name="JobNo3"/>
            <w:bookmarkEnd w:id="26"/>
            <w:r>
              <w:t>30300027</w:t>
            </w:r>
          </w:p>
        </w:tc>
      </w:tr>
      <w:tr w:rsidR="00C44300" w:rsidRPr="007B47FB" w14:paraId="1378737F" w14:textId="77777777" w:rsidTr="00C44300">
        <w:trPr>
          <w:cantSplit/>
        </w:trPr>
        <w:tc>
          <w:tcPr>
            <w:tcW w:w="2269" w:type="dxa"/>
            <w:shd w:val="solid" w:color="FFFFFF" w:fill="FFFFFF"/>
          </w:tcPr>
          <w:p w14:paraId="08E4CC4A" w14:textId="77777777" w:rsidR="00C44300" w:rsidRPr="007B47FB" w:rsidRDefault="00C44300" w:rsidP="00C44300">
            <w:pPr>
              <w:pStyle w:val="TableTitle"/>
            </w:pPr>
            <w:r w:rsidRPr="007B47FB">
              <w:t>Prepared by</w:t>
            </w:r>
          </w:p>
        </w:tc>
        <w:tc>
          <w:tcPr>
            <w:tcW w:w="6802" w:type="dxa"/>
            <w:shd w:val="solid" w:color="FFFFFF" w:fill="FFFFFF"/>
          </w:tcPr>
          <w:p w14:paraId="4C7DDC47" w14:textId="303D279D" w:rsidR="00C44300" w:rsidRPr="007B47FB" w:rsidRDefault="00772C3C" w:rsidP="00C44300">
            <w:pPr>
              <w:pStyle w:val="TableText"/>
            </w:pPr>
            <w:r>
              <w:t>David McNeil and Rupert Haines</w:t>
            </w:r>
          </w:p>
        </w:tc>
      </w:tr>
      <w:tr w:rsidR="00C44300" w:rsidRPr="007B47FB" w14:paraId="26E7CB38" w14:textId="77777777" w:rsidTr="00C44300">
        <w:trPr>
          <w:cantSplit/>
        </w:trPr>
        <w:tc>
          <w:tcPr>
            <w:tcW w:w="2269" w:type="dxa"/>
            <w:tcBorders>
              <w:bottom w:val="single" w:sz="2" w:space="0" w:color="0067AB"/>
            </w:tcBorders>
            <w:shd w:val="solid" w:color="FFFFFF" w:fill="FFFFFF"/>
          </w:tcPr>
          <w:p w14:paraId="0EF3987F" w14:textId="77777777" w:rsidR="00C44300" w:rsidRPr="007B47FB" w:rsidRDefault="00C44300" w:rsidP="00C44300">
            <w:pPr>
              <w:pStyle w:val="TableTitle"/>
            </w:pPr>
            <w:r w:rsidRPr="007B47FB">
              <w:t>Checked by</w:t>
            </w:r>
          </w:p>
        </w:tc>
        <w:tc>
          <w:tcPr>
            <w:tcW w:w="6802" w:type="dxa"/>
            <w:tcBorders>
              <w:bottom w:val="single" w:sz="2" w:space="0" w:color="0067AB"/>
            </w:tcBorders>
            <w:shd w:val="solid" w:color="FFFFFF" w:fill="FFFFFF"/>
          </w:tcPr>
          <w:p w14:paraId="322DECF2" w14:textId="34A84A50" w:rsidR="00C44300" w:rsidRPr="007B47FB" w:rsidRDefault="00772C3C" w:rsidP="00C44300">
            <w:pPr>
              <w:pStyle w:val="TableText"/>
            </w:pPr>
            <w:r>
              <w:t>Matt Rayment</w:t>
            </w:r>
          </w:p>
        </w:tc>
      </w:tr>
      <w:tr w:rsidR="00C44300" w:rsidRPr="007B47FB" w14:paraId="41117D09" w14:textId="77777777" w:rsidTr="00C44300">
        <w:trPr>
          <w:cantSplit/>
        </w:trPr>
        <w:tc>
          <w:tcPr>
            <w:tcW w:w="2269" w:type="dxa"/>
            <w:shd w:val="solid" w:color="FFFFFF" w:fill="FFFFFF"/>
          </w:tcPr>
          <w:p w14:paraId="256BEBE0" w14:textId="77777777" w:rsidR="00C44300" w:rsidRPr="007B47FB" w:rsidRDefault="00C44300" w:rsidP="00C44300">
            <w:pPr>
              <w:pStyle w:val="TableTitle"/>
            </w:pPr>
            <w:r w:rsidRPr="007B47FB">
              <w:t>Date</w:t>
            </w:r>
          </w:p>
        </w:tc>
        <w:tc>
          <w:tcPr>
            <w:tcW w:w="6802" w:type="dxa"/>
            <w:shd w:val="solid" w:color="FFFFFF" w:fill="FFFFFF"/>
          </w:tcPr>
          <w:p w14:paraId="3844C39F" w14:textId="34A35563" w:rsidR="00C44300" w:rsidRPr="007B47FB" w:rsidRDefault="00EE77C4" w:rsidP="00E13636">
            <w:pPr>
              <w:pStyle w:val="TableText"/>
            </w:pPr>
            <w:r>
              <w:t>06 March 2015</w:t>
            </w:r>
          </w:p>
        </w:tc>
      </w:tr>
    </w:tbl>
    <w:p w14:paraId="56F686AE" w14:textId="70F797CE" w:rsidR="00B56815" w:rsidRDefault="00F60A4F" w:rsidP="00430C1F">
      <w:bookmarkStart w:id="27" w:name="ProposalCopyrightText"/>
      <w:r>
        <w:t xml:space="preserve">This report is the copyright of Natural Resources Wales and has been prepared by ICF Consulting Ltd under contract to Natural Resources Wales </w:t>
      </w:r>
      <w:r w:rsidRPr="00F60A4F">
        <w:rPr>
          <w:rFonts w:ascii="Calibri" w:hAnsi="Calibri"/>
          <w:sz w:val="22"/>
          <w:szCs w:val="22"/>
        </w:rPr>
        <w:t xml:space="preserve">for </w:t>
      </w:r>
      <w:r w:rsidRPr="00F60A4F">
        <w:rPr>
          <w:rFonts w:cs="Arial"/>
          <w:szCs w:val="20"/>
        </w:rPr>
        <w:t>the LIFE Natura 2000 Programme, LIFE 11 NAT UK 385. The contents of this report may not be reproduced in whole or in part, nor passed to any other organisation or person without the specific prior written permission of Natural Resources Wales</w:t>
      </w:r>
      <w:r>
        <w:t>.</w:t>
      </w:r>
      <w:bookmarkEnd w:id="27"/>
      <w:r w:rsidR="00B02F83">
        <w:t xml:space="preserve"> </w:t>
      </w:r>
    </w:p>
    <w:p w14:paraId="4A9994D5" w14:textId="50BD8E2A" w:rsidR="00A06420" w:rsidRDefault="00F60A4F" w:rsidP="00430C1F">
      <w:bookmarkStart w:id="28" w:name="ProposalDataRisk"/>
      <w:r>
        <w:t>ICF has used reasonable skill and care in checking the accuracy and completeness of information supplied by the client or third parties in the course of this project under which the report was produced. ICF is however unable to warrant either the accuracy or completeness of such information supplied by the client or third parties, nor that it is fit for any purpose. ICF does not accept responsibility for any legal, commercial or other consequences that may arise directly or indirectly as a result of the use by ICF of inaccurate or incomplete information supplied by the client or third parties in the course of this project or its inclusion in this project or its inclusion in this report.</w:t>
      </w:r>
      <w:bookmarkEnd w:id="28"/>
    </w:p>
    <w:p w14:paraId="00EF7E22" w14:textId="77777777" w:rsidR="005D41A0" w:rsidRDefault="005D41A0" w:rsidP="00430C1F">
      <w:pPr>
        <w:sectPr w:rsidR="005D41A0" w:rsidSect="00C50B29">
          <w:footerReference w:type="default" r:id="rId23"/>
          <w:pgSz w:w="11907" w:h="16840" w:code="9"/>
          <w:pgMar w:top="1871" w:right="1418" w:bottom="1021" w:left="1418" w:header="680" w:footer="454" w:gutter="0"/>
          <w:pgNumType w:fmt="lowerRoman" w:start="1"/>
          <w:cols w:space="708"/>
          <w:docGrid w:linePitch="360"/>
        </w:sectPr>
      </w:pPr>
    </w:p>
    <w:bookmarkEnd w:id="1"/>
    <w:bookmarkEnd w:id="7"/>
    <w:p w14:paraId="03874AB9" w14:textId="77777777" w:rsidR="00F60A4F" w:rsidRPr="007B47FB" w:rsidRDefault="00F60A4F" w:rsidP="00ED0340">
      <w:pPr>
        <w:pStyle w:val="Heading1NoTOC"/>
      </w:pPr>
      <w:r w:rsidRPr="007B47FB">
        <w:t>Contents</w:t>
      </w:r>
      <w:bookmarkStart w:id="29" w:name="_GoBack"/>
      <w:bookmarkEnd w:id="29"/>
    </w:p>
    <w:bookmarkStart w:id="30" w:name="ContentsOpt1"/>
    <w:p w14:paraId="400768D8" w14:textId="77777777" w:rsidR="001655CC" w:rsidRDefault="00F60A4F">
      <w:pPr>
        <w:pStyle w:val="TOC2"/>
        <w:rPr>
          <w:rFonts w:asciiTheme="minorHAnsi" w:eastAsiaTheme="minorEastAsia" w:hAnsiTheme="minorHAnsi" w:cstheme="minorBidi"/>
          <w:b w:val="0"/>
          <w:noProof/>
          <w:color w:val="auto"/>
          <w:sz w:val="22"/>
          <w:szCs w:val="22"/>
          <w:lang w:eastAsia="en-GB"/>
        </w:rPr>
      </w:pPr>
      <w:r w:rsidRPr="007B47FB">
        <w:rPr>
          <w:color w:val="0067AC" w:themeColor="text2"/>
        </w:rPr>
        <w:fldChar w:fldCharType="begin"/>
      </w:r>
      <w:r>
        <w:instrText>TOC \H \Z \T "Heading 1,1,Heading 1NoPg,1,ESHeading 1,2,Heading 2,3,Heading 1NoNumb,2,Heading 2NoNumb,5,ESHeading 2,3,AnnexHeading,2,AnnexHeading NoPage,2,Stage,7"</w:instrText>
      </w:r>
      <w:r w:rsidRPr="007B47FB">
        <w:rPr>
          <w:color w:val="0067AC" w:themeColor="text2"/>
        </w:rPr>
        <w:fldChar w:fldCharType="separate"/>
      </w:r>
      <w:hyperlink w:anchor="_Toc421880644" w:history="1">
        <w:r w:rsidR="001655CC" w:rsidRPr="002C1EF0">
          <w:rPr>
            <w:rStyle w:val="Hyperlink"/>
            <w:noProof/>
            <w:lang w:val="cy-GB"/>
          </w:rPr>
          <w:t>Crynodeb gweithredol</w:t>
        </w:r>
        <w:r w:rsidR="001655CC">
          <w:rPr>
            <w:noProof/>
            <w:webHidden/>
          </w:rPr>
          <w:tab/>
        </w:r>
        <w:r w:rsidR="001655CC">
          <w:rPr>
            <w:noProof/>
            <w:webHidden/>
          </w:rPr>
          <w:fldChar w:fldCharType="begin"/>
        </w:r>
        <w:r w:rsidR="001655CC">
          <w:rPr>
            <w:noProof/>
            <w:webHidden/>
          </w:rPr>
          <w:instrText xml:space="preserve"> PAGEREF _Toc421880644 \h </w:instrText>
        </w:r>
        <w:r w:rsidR="001655CC">
          <w:rPr>
            <w:noProof/>
            <w:webHidden/>
          </w:rPr>
        </w:r>
        <w:r w:rsidR="001655CC">
          <w:rPr>
            <w:noProof/>
            <w:webHidden/>
          </w:rPr>
          <w:fldChar w:fldCharType="separate"/>
        </w:r>
        <w:r w:rsidR="001655CC">
          <w:rPr>
            <w:noProof/>
            <w:webHidden/>
          </w:rPr>
          <w:t>4</w:t>
        </w:r>
        <w:r w:rsidR="001655CC">
          <w:rPr>
            <w:noProof/>
            <w:webHidden/>
          </w:rPr>
          <w:fldChar w:fldCharType="end"/>
        </w:r>
      </w:hyperlink>
    </w:p>
    <w:p w14:paraId="371847BF" w14:textId="77777777" w:rsidR="001655CC" w:rsidRDefault="001655CC">
      <w:pPr>
        <w:pStyle w:val="TOC2"/>
        <w:rPr>
          <w:rFonts w:asciiTheme="minorHAnsi" w:eastAsiaTheme="minorEastAsia" w:hAnsiTheme="minorHAnsi" w:cstheme="minorBidi"/>
          <w:b w:val="0"/>
          <w:noProof/>
          <w:color w:val="auto"/>
          <w:sz w:val="22"/>
          <w:szCs w:val="22"/>
          <w:lang w:eastAsia="en-GB"/>
        </w:rPr>
      </w:pPr>
      <w:hyperlink w:anchor="_Toc421880649" w:history="1">
        <w:r w:rsidRPr="002C1EF0">
          <w:rPr>
            <w:rStyle w:val="Hyperlink"/>
            <w:noProof/>
          </w:rPr>
          <w:t>Executive summary</w:t>
        </w:r>
        <w:r>
          <w:rPr>
            <w:noProof/>
            <w:webHidden/>
          </w:rPr>
          <w:tab/>
        </w:r>
        <w:r>
          <w:rPr>
            <w:noProof/>
            <w:webHidden/>
          </w:rPr>
          <w:fldChar w:fldCharType="begin"/>
        </w:r>
        <w:r>
          <w:rPr>
            <w:noProof/>
            <w:webHidden/>
          </w:rPr>
          <w:instrText xml:space="preserve"> PAGEREF _Toc421880649 \h </w:instrText>
        </w:r>
        <w:r>
          <w:rPr>
            <w:noProof/>
            <w:webHidden/>
          </w:rPr>
        </w:r>
        <w:r>
          <w:rPr>
            <w:noProof/>
            <w:webHidden/>
          </w:rPr>
          <w:fldChar w:fldCharType="separate"/>
        </w:r>
        <w:r>
          <w:rPr>
            <w:noProof/>
            <w:webHidden/>
          </w:rPr>
          <w:t>11</w:t>
        </w:r>
        <w:r>
          <w:rPr>
            <w:noProof/>
            <w:webHidden/>
          </w:rPr>
          <w:fldChar w:fldCharType="end"/>
        </w:r>
      </w:hyperlink>
    </w:p>
    <w:p w14:paraId="1ABB4ADA" w14:textId="77777777" w:rsidR="001655CC" w:rsidRDefault="001655CC">
      <w:pPr>
        <w:pStyle w:val="TOC1"/>
        <w:rPr>
          <w:rFonts w:asciiTheme="minorHAnsi" w:eastAsiaTheme="minorEastAsia" w:hAnsiTheme="minorHAnsi" w:cstheme="minorBidi"/>
          <w:b w:val="0"/>
          <w:noProof/>
          <w:color w:val="auto"/>
          <w:sz w:val="22"/>
          <w:szCs w:val="22"/>
          <w:lang w:eastAsia="en-GB"/>
        </w:rPr>
      </w:pPr>
      <w:hyperlink w:anchor="_Toc421880654" w:history="1">
        <w:r w:rsidRPr="002C1EF0">
          <w:rPr>
            <w:rStyle w:val="Hyperlink"/>
            <w:noProof/>
            <w14:scene3d>
              <w14:camera w14:prst="orthographicFront"/>
              <w14:lightRig w14:rig="threePt" w14:dir="t">
                <w14:rot w14:lat="0" w14:lon="0" w14:rev="0"/>
              </w14:lightRig>
            </w14:scene3d>
          </w:rPr>
          <w:t>1</w:t>
        </w:r>
        <w:r>
          <w:rPr>
            <w:rFonts w:asciiTheme="minorHAnsi" w:eastAsiaTheme="minorEastAsia" w:hAnsiTheme="minorHAnsi" w:cstheme="minorBidi"/>
            <w:b w:val="0"/>
            <w:noProof/>
            <w:color w:val="auto"/>
            <w:sz w:val="22"/>
            <w:szCs w:val="22"/>
            <w:lang w:eastAsia="en-GB"/>
          </w:rPr>
          <w:tab/>
        </w:r>
        <w:r w:rsidRPr="002C1EF0">
          <w:rPr>
            <w:rStyle w:val="Hyperlink"/>
            <w:noProof/>
          </w:rPr>
          <w:t>Introduction</w:t>
        </w:r>
        <w:r>
          <w:rPr>
            <w:noProof/>
            <w:webHidden/>
          </w:rPr>
          <w:tab/>
        </w:r>
        <w:r>
          <w:rPr>
            <w:noProof/>
            <w:webHidden/>
          </w:rPr>
          <w:fldChar w:fldCharType="begin"/>
        </w:r>
        <w:r>
          <w:rPr>
            <w:noProof/>
            <w:webHidden/>
          </w:rPr>
          <w:instrText xml:space="preserve"> PAGEREF _Toc421880654 \h </w:instrText>
        </w:r>
        <w:r>
          <w:rPr>
            <w:noProof/>
            <w:webHidden/>
          </w:rPr>
        </w:r>
        <w:r>
          <w:rPr>
            <w:noProof/>
            <w:webHidden/>
          </w:rPr>
          <w:fldChar w:fldCharType="separate"/>
        </w:r>
        <w:r>
          <w:rPr>
            <w:noProof/>
            <w:webHidden/>
          </w:rPr>
          <w:t>18</w:t>
        </w:r>
        <w:r>
          <w:rPr>
            <w:noProof/>
            <w:webHidden/>
          </w:rPr>
          <w:fldChar w:fldCharType="end"/>
        </w:r>
      </w:hyperlink>
    </w:p>
    <w:p w14:paraId="1E3348D7" w14:textId="77777777" w:rsidR="001655CC" w:rsidRDefault="001655CC">
      <w:pPr>
        <w:pStyle w:val="TOC3"/>
        <w:rPr>
          <w:rFonts w:asciiTheme="minorHAnsi" w:eastAsiaTheme="minorEastAsia" w:hAnsiTheme="minorHAnsi" w:cstheme="minorBidi"/>
          <w:noProof/>
          <w:sz w:val="22"/>
          <w:szCs w:val="22"/>
          <w:lang w:eastAsia="en-GB"/>
        </w:rPr>
      </w:pPr>
      <w:hyperlink w:anchor="_Toc421880655" w:history="1">
        <w:r w:rsidRPr="002C1EF0">
          <w:rPr>
            <w:rStyle w:val="Hyperlink"/>
            <w:noProof/>
          </w:rPr>
          <w:t>1.1</w:t>
        </w:r>
        <w:r>
          <w:rPr>
            <w:rFonts w:asciiTheme="minorHAnsi" w:eastAsiaTheme="minorEastAsia" w:hAnsiTheme="minorHAnsi" w:cstheme="minorBidi"/>
            <w:noProof/>
            <w:sz w:val="22"/>
            <w:szCs w:val="22"/>
            <w:lang w:eastAsia="en-GB"/>
          </w:rPr>
          <w:tab/>
        </w:r>
        <w:r w:rsidRPr="002C1EF0">
          <w:rPr>
            <w:rStyle w:val="Hyperlink"/>
            <w:noProof/>
          </w:rPr>
          <w:t>The Context</w:t>
        </w:r>
        <w:r>
          <w:rPr>
            <w:noProof/>
            <w:webHidden/>
          </w:rPr>
          <w:tab/>
        </w:r>
        <w:r>
          <w:rPr>
            <w:noProof/>
            <w:webHidden/>
          </w:rPr>
          <w:fldChar w:fldCharType="begin"/>
        </w:r>
        <w:r>
          <w:rPr>
            <w:noProof/>
            <w:webHidden/>
          </w:rPr>
          <w:instrText xml:space="preserve"> PAGEREF _Toc421880655 \h </w:instrText>
        </w:r>
        <w:r>
          <w:rPr>
            <w:noProof/>
            <w:webHidden/>
          </w:rPr>
        </w:r>
        <w:r>
          <w:rPr>
            <w:noProof/>
            <w:webHidden/>
          </w:rPr>
          <w:fldChar w:fldCharType="separate"/>
        </w:r>
        <w:r>
          <w:rPr>
            <w:noProof/>
            <w:webHidden/>
          </w:rPr>
          <w:t>18</w:t>
        </w:r>
        <w:r>
          <w:rPr>
            <w:noProof/>
            <w:webHidden/>
          </w:rPr>
          <w:fldChar w:fldCharType="end"/>
        </w:r>
      </w:hyperlink>
    </w:p>
    <w:p w14:paraId="307E2A10" w14:textId="77777777" w:rsidR="001655CC" w:rsidRDefault="001655CC">
      <w:pPr>
        <w:pStyle w:val="TOC3"/>
        <w:rPr>
          <w:rFonts w:asciiTheme="minorHAnsi" w:eastAsiaTheme="minorEastAsia" w:hAnsiTheme="minorHAnsi" w:cstheme="minorBidi"/>
          <w:noProof/>
          <w:sz w:val="22"/>
          <w:szCs w:val="22"/>
          <w:lang w:eastAsia="en-GB"/>
        </w:rPr>
      </w:pPr>
      <w:hyperlink w:anchor="_Toc421880656" w:history="1">
        <w:r w:rsidRPr="002C1EF0">
          <w:rPr>
            <w:rStyle w:val="Hyperlink"/>
            <w:noProof/>
          </w:rPr>
          <w:t>1.2</w:t>
        </w:r>
        <w:r>
          <w:rPr>
            <w:rFonts w:asciiTheme="minorHAnsi" w:eastAsiaTheme="minorEastAsia" w:hAnsiTheme="minorHAnsi" w:cstheme="minorBidi"/>
            <w:noProof/>
            <w:sz w:val="22"/>
            <w:szCs w:val="22"/>
            <w:lang w:eastAsia="en-GB"/>
          </w:rPr>
          <w:tab/>
        </w:r>
        <w:r w:rsidRPr="002C1EF0">
          <w:rPr>
            <w:rStyle w:val="Hyperlink"/>
            <w:noProof/>
          </w:rPr>
          <w:t>Aims and purpose of the research</w:t>
        </w:r>
        <w:r>
          <w:rPr>
            <w:noProof/>
            <w:webHidden/>
          </w:rPr>
          <w:tab/>
        </w:r>
        <w:r>
          <w:rPr>
            <w:noProof/>
            <w:webHidden/>
          </w:rPr>
          <w:fldChar w:fldCharType="begin"/>
        </w:r>
        <w:r>
          <w:rPr>
            <w:noProof/>
            <w:webHidden/>
          </w:rPr>
          <w:instrText xml:space="preserve"> PAGEREF _Toc421880656 \h </w:instrText>
        </w:r>
        <w:r>
          <w:rPr>
            <w:noProof/>
            <w:webHidden/>
          </w:rPr>
        </w:r>
        <w:r>
          <w:rPr>
            <w:noProof/>
            <w:webHidden/>
          </w:rPr>
          <w:fldChar w:fldCharType="separate"/>
        </w:r>
        <w:r>
          <w:rPr>
            <w:noProof/>
            <w:webHidden/>
          </w:rPr>
          <w:t>20</w:t>
        </w:r>
        <w:r>
          <w:rPr>
            <w:noProof/>
            <w:webHidden/>
          </w:rPr>
          <w:fldChar w:fldCharType="end"/>
        </w:r>
      </w:hyperlink>
    </w:p>
    <w:p w14:paraId="73206600" w14:textId="77777777" w:rsidR="001655CC" w:rsidRDefault="001655CC">
      <w:pPr>
        <w:pStyle w:val="TOC3"/>
        <w:rPr>
          <w:rFonts w:asciiTheme="minorHAnsi" w:eastAsiaTheme="minorEastAsia" w:hAnsiTheme="minorHAnsi" w:cstheme="minorBidi"/>
          <w:noProof/>
          <w:sz w:val="22"/>
          <w:szCs w:val="22"/>
          <w:lang w:eastAsia="en-GB"/>
        </w:rPr>
      </w:pPr>
      <w:hyperlink w:anchor="_Toc421880657" w:history="1">
        <w:r w:rsidRPr="002C1EF0">
          <w:rPr>
            <w:rStyle w:val="Hyperlink"/>
            <w:noProof/>
          </w:rPr>
          <w:t>1.3</w:t>
        </w:r>
        <w:r>
          <w:rPr>
            <w:rFonts w:asciiTheme="minorHAnsi" w:eastAsiaTheme="minorEastAsia" w:hAnsiTheme="minorHAnsi" w:cstheme="minorBidi"/>
            <w:noProof/>
            <w:sz w:val="22"/>
            <w:szCs w:val="22"/>
            <w:lang w:eastAsia="en-GB"/>
          </w:rPr>
          <w:tab/>
        </w:r>
        <w:r w:rsidRPr="002C1EF0">
          <w:rPr>
            <w:rStyle w:val="Hyperlink"/>
            <w:noProof/>
          </w:rPr>
          <w:t>The study approach and methodology</w:t>
        </w:r>
        <w:r>
          <w:rPr>
            <w:noProof/>
            <w:webHidden/>
          </w:rPr>
          <w:tab/>
        </w:r>
        <w:r>
          <w:rPr>
            <w:noProof/>
            <w:webHidden/>
          </w:rPr>
          <w:fldChar w:fldCharType="begin"/>
        </w:r>
        <w:r>
          <w:rPr>
            <w:noProof/>
            <w:webHidden/>
          </w:rPr>
          <w:instrText xml:space="preserve"> PAGEREF _Toc421880657 \h </w:instrText>
        </w:r>
        <w:r>
          <w:rPr>
            <w:noProof/>
            <w:webHidden/>
          </w:rPr>
        </w:r>
        <w:r>
          <w:rPr>
            <w:noProof/>
            <w:webHidden/>
          </w:rPr>
          <w:fldChar w:fldCharType="separate"/>
        </w:r>
        <w:r>
          <w:rPr>
            <w:noProof/>
            <w:webHidden/>
          </w:rPr>
          <w:t>21</w:t>
        </w:r>
        <w:r>
          <w:rPr>
            <w:noProof/>
            <w:webHidden/>
          </w:rPr>
          <w:fldChar w:fldCharType="end"/>
        </w:r>
      </w:hyperlink>
    </w:p>
    <w:p w14:paraId="3CF60510" w14:textId="77777777" w:rsidR="001655CC" w:rsidRDefault="001655CC">
      <w:pPr>
        <w:pStyle w:val="TOC3"/>
        <w:rPr>
          <w:rFonts w:asciiTheme="minorHAnsi" w:eastAsiaTheme="minorEastAsia" w:hAnsiTheme="minorHAnsi" w:cstheme="minorBidi"/>
          <w:noProof/>
          <w:sz w:val="22"/>
          <w:szCs w:val="22"/>
          <w:lang w:eastAsia="en-GB"/>
        </w:rPr>
      </w:pPr>
      <w:hyperlink w:anchor="_Toc421880658" w:history="1">
        <w:r w:rsidRPr="002C1EF0">
          <w:rPr>
            <w:rStyle w:val="Hyperlink"/>
            <w:noProof/>
          </w:rPr>
          <w:t>1.4</w:t>
        </w:r>
        <w:r>
          <w:rPr>
            <w:rFonts w:asciiTheme="minorHAnsi" w:eastAsiaTheme="minorEastAsia" w:hAnsiTheme="minorHAnsi" w:cstheme="minorBidi"/>
            <w:noProof/>
            <w:sz w:val="22"/>
            <w:szCs w:val="22"/>
            <w:lang w:eastAsia="en-GB"/>
          </w:rPr>
          <w:tab/>
        </w:r>
        <w:r w:rsidRPr="002C1EF0">
          <w:rPr>
            <w:rStyle w:val="Hyperlink"/>
            <w:noProof/>
          </w:rPr>
          <w:t>Structure of this report</w:t>
        </w:r>
        <w:r>
          <w:rPr>
            <w:noProof/>
            <w:webHidden/>
          </w:rPr>
          <w:tab/>
        </w:r>
        <w:r>
          <w:rPr>
            <w:noProof/>
            <w:webHidden/>
          </w:rPr>
          <w:fldChar w:fldCharType="begin"/>
        </w:r>
        <w:r>
          <w:rPr>
            <w:noProof/>
            <w:webHidden/>
          </w:rPr>
          <w:instrText xml:space="preserve"> PAGEREF _Toc421880658 \h </w:instrText>
        </w:r>
        <w:r>
          <w:rPr>
            <w:noProof/>
            <w:webHidden/>
          </w:rPr>
        </w:r>
        <w:r>
          <w:rPr>
            <w:noProof/>
            <w:webHidden/>
          </w:rPr>
          <w:fldChar w:fldCharType="separate"/>
        </w:r>
        <w:r>
          <w:rPr>
            <w:noProof/>
            <w:webHidden/>
          </w:rPr>
          <w:t>21</w:t>
        </w:r>
        <w:r>
          <w:rPr>
            <w:noProof/>
            <w:webHidden/>
          </w:rPr>
          <w:fldChar w:fldCharType="end"/>
        </w:r>
      </w:hyperlink>
    </w:p>
    <w:p w14:paraId="452D026A" w14:textId="77777777" w:rsidR="001655CC" w:rsidRDefault="001655CC">
      <w:pPr>
        <w:pStyle w:val="TOC1"/>
        <w:rPr>
          <w:rFonts w:asciiTheme="minorHAnsi" w:eastAsiaTheme="minorEastAsia" w:hAnsiTheme="minorHAnsi" w:cstheme="minorBidi"/>
          <w:b w:val="0"/>
          <w:noProof/>
          <w:color w:val="auto"/>
          <w:sz w:val="22"/>
          <w:szCs w:val="22"/>
          <w:lang w:eastAsia="en-GB"/>
        </w:rPr>
      </w:pPr>
      <w:hyperlink w:anchor="_Toc421880659" w:history="1">
        <w:r w:rsidRPr="002C1EF0">
          <w:rPr>
            <w:rStyle w:val="Hyperlink"/>
            <w:noProof/>
            <w14:scene3d>
              <w14:camera w14:prst="orthographicFront"/>
              <w14:lightRig w14:rig="threePt" w14:dir="t">
                <w14:rot w14:lat="0" w14:lon="0" w14:rev="0"/>
              </w14:lightRig>
            </w14:scene3d>
          </w:rPr>
          <w:t>2</w:t>
        </w:r>
        <w:r>
          <w:rPr>
            <w:rFonts w:asciiTheme="minorHAnsi" w:eastAsiaTheme="minorEastAsia" w:hAnsiTheme="minorHAnsi" w:cstheme="minorBidi"/>
            <w:b w:val="0"/>
            <w:noProof/>
            <w:color w:val="auto"/>
            <w:sz w:val="22"/>
            <w:szCs w:val="22"/>
            <w:lang w:eastAsia="en-GB"/>
          </w:rPr>
          <w:tab/>
        </w:r>
        <w:r w:rsidRPr="002C1EF0">
          <w:rPr>
            <w:rStyle w:val="Hyperlink"/>
            <w:noProof/>
          </w:rPr>
          <w:t>Conservation Need, Management and Funding</w:t>
        </w:r>
        <w:r>
          <w:rPr>
            <w:noProof/>
            <w:webHidden/>
          </w:rPr>
          <w:tab/>
        </w:r>
        <w:r>
          <w:rPr>
            <w:noProof/>
            <w:webHidden/>
          </w:rPr>
          <w:fldChar w:fldCharType="begin"/>
        </w:r>
        <w:r>
          <w:rPr>
            <w:noProof/>
            <w:webHidden/>
          </w:rPr>
          <w:instrText xml:space="preserve"> PAGEREF _Toc421880659 \h </w:instrText>
        </w:r>
        <w:r>
          <w:rPr>
            <w:noProof/>
            <w:webHidden/>
          </w:rPr>
        </w:r>
        <w:r>
          <w:rPr>
            <w:noProof/>
            <w:webHidden/>
          </w:rPr>
          <w:fldChar w:fldCharType="separate"/>
        </w:r>
        <w:r>
          <w:rPr>
            <w:noProof/>
            <w:webHidden/>
          </w:rPr>
          <w:t>23</w:t>
        </w:r>
        <w:r>
          <w:rPr>
            <w:noProof/>
            <w:webHidden/>
          </w:rPr>
          <w:fldChar w:fldCharType="end"/>
        </w:r>
      </w:hyperlink>
    </w:p>
    <w:p w14:paraId="6AC280E9" w14:textId="77777777" w:rsidR="001655CC" w:rsidRDefault="001655CC">
      <w:pPr>
        <w:pStyle w:val="TOC3"/>
        <w:rPr>
          <w:rFonts w:asciiTheme="minorHAnsi" w:eastAsiaTheme="minorEastAsia" w:hAnsiTheme="minorHAnsi" w:cstheme="minorBidi"/>
          <w:noProof/>
          <w:sz w:val="22"/>
          <w:szCs w:val="22"/>
          <w:lang w:eastAsia="en-GB"/>
        </w:rPr>
      </w:pPr>
      <w:hyperlink w:anchor="_Toc421880660" w:history="1">
        <w:r w:rsidRPr="002C1EF0">
          <w:rPr>
            <w:rStyle w:val="Hyperlink"/>
            <w:noProof/>
          </w:rPr>
          <w:t>2.2</w:t>
        </w:r>
        <w:r>
          <w:rPr>
            <w:rFonts w:asciiTheme="minorHAnsi" w:eastAsiaTheme="minorEastAsia" w:hAnsiTheme="minorHAnsi" w:cstheme="minorBidi"/>
            <w:noProof/>
            <w:sz w:val="22"/>
            <w:szCs w:val="22"/>
            <w:lang w:eastAsia="en-GB"/>
          </w:rPr>
          <w:tab/>
        </w:r>
        <w:r w:rsidRPr="002C1EF0">
          <w:rPr>
            <w:rStyle w:val="Hyperlink"/>
            <w:noProof/>
          </w:rPr>
          <w:t>Conservation need</w:t>
        </w:r>
        <w:r>
          <w:rPr>
            <w:noProof/>
            <w:webHidden/>
          </w:rPr>
          <w:tab/>
        </w:r>
        <w:r>
          <w:rPr>
            <w:noProof/>
            <w:webHidden/>
          </w:rPr>
          <w:fldChar w:fldCharType="begin"/>
        </w:r>
        <w:r>
          <w:rPr>
            <w:noProof/>
            <w:webHidden/>
          </w:rPr>
          <w:instrText xml:space="preserve"> PAGEREF _Toc421880660 \h </w:instrText>
        </w:r>
        <w:r>
          <w:rPr>
            <w:noProof/>
            <w:webHidden/>
          </w:rPr>
        </w:r>
        <w:r>
          <w:rPr>
            <w:noProof/>
            <w:webHidden/>
          </w:rPr>
          <w:fldChar w:fldCharType="separate"/>
        </w:r>
        <w:r>
          <w:rPr>
            <w:noProof/>
            <w:webHidden/>
          </w:rPr>
          <w:t>24</w:t>
        </w:r>
        <w:r>
          <w:rPr>
            <w:noProof/>
            <w:webHidden/>
          </w:rPr>
          <w:fldChar w:fldCharType="end"/>
        </w:r>
      </w:hyperlink>
    </w:p>
    <w:p w14:paraId="42D853C5" w14:textId="77777777" w:rsidR="001655CC" w:rsidRDefault="001655CC">
      <w:pPr>
        <w:pStyle w:val="TOC3"/>
        <w:rPr>
          <w:rFonts w:asciiTheme="minorHAnsi" w:eastAsiaTheme="minorEastAsia" w:hAnsiTheme="minorHAnsi" w:cstheme="minorBidi"/>
          <w:noProof/>
          <w:sz w:val="22"/>
          <w:szCs w:val="22"/>
          <w:lang w:eastAsia="en-GB"/>
        </w:rPr>
      </w:pPr>
      <w:hyperlink w:anchor="_Toc421880661" w:history="1">
        <w:r w:rsidRPr="002C1EF0">
          <w:rPr>
            <w:rStyle w:val="Hyperlink"/>
            <w:noProof/>
          </w:rPr>
          <w:t>2.3</w:t>
        </w:r>
        <w:r>
          <w:rPr>
            <w:rFonts w:asciiTheme="minorHAnsi" w:eastAsiaTheme="minorEastAsia" w:hAnsiTheme="minorHAnsi" w:cstheme="minorBidi"/>
            <w:noProof/>
            <w:sz w:val="22"/>
            <w:szCs w:val="22"/>
            <w:lang w:eastAsia="en-GB"/>
          </w:rPr>
          <w:tab/>
        </w:r>
        <w:r w:rsidRPr="002C1EF0">
          <w:rPr>
            <w:rStyle w:val="Hyperlink"/>
            <w:noProof/>
          </w:rPr>
          <w:t>Management mechanisms and actions</w:t>
        </w:r>
        <w:r>
          <w:rPr>
            <w:noProof/>
            <w:webHidden/>
          </w:rPr>
          <w:tab/>
        </w:r>
        <w:r>
          <w:rPr>
            <w:noProof/>
            <w:webHidden/>
          </w:rPr>
          <w:fldChar w:fldCharType="begin"/>
        </w:r>
        <w:r>
          <w:rPr>
            <w:noProof/>
            <w:webHidden/>
          </w:rPr>
          <w:instrText xml:space="preserve"> PAGEREF _Toc421880661 \h </w:instrText>
        </w:r>
        <w:r>
          <w:rPr>
            <w:noProof/>
            <w:webHidden/>
          </w:rPr>
        </w:r>
        <w:r>
          <w:rPr>
            <w:noProof/>
            <w:webHidden/>
          </w:rPr>
          <w:fldChar w:fldCharType="separate"/>
        </w:r>
        <w:r>
          <w:rPr>
            <w:noProof/>
            <w:webHidden/>
          </w:rPr>
          <w:t>24</w:t>
        </w:r>
        <w:r>
          <w:rPr>
            <w:noProof/>
            <w:webHidden/>
          </w:rPr>
          <w:fldChar w:fldCharType="end"/>
        </w:r>
      </w:hyperlink>
    </w:p>
    <w:p w14:paraId="00128057" w14:textId="77777777" w:rsidR="001655CC" w:rsidRDefault="001655CC">
      <w:pPr>
        <w:pStyle w:val="TOC3"/>
        <w:rPr>
          <w:rFonts w:asciiTheme="minorHAnsi" w:eastAsiaTheme="minorEastAsia" w:hAnsiTheme="minorHAnsi" w:cstheme="minorBidi"/>
          <w:noProof/>
          <w:sz w:val="22"/>
          <w:szCs w:val="22"/>
          <w:lang w:eastAsia="en-GB"/>
        </w:rPr>
      </w:pPr>
      <w:hyperlink w:anchor="_Toc421880662" w:history="1">
        <w:r w:rsidRPr="002C1EF0">
          <w:rPr>
            <w:rStyle w:val="Hyperlink"/>
            <w:noProof/>
          </w:rPr>
          <w:t>2.4</w:t>
        </w:r>
        <w:r>
          <w:rPr>
            <w:rFonts w:asciiTheme="minorHAnsi" w:eastAsiaTheme="minorEastAsia" w:hAnsiTheme="minorHAnsi" w:cstheme="minorBidi"/>
            <w:noProof/>
            <w:sz w:val="22"/>
            <w:szCs w:val="22"/>
            <w:lang w:eastAsia="en-GB"/>
          </w:rPr>
          <w:tab/>
        </w:r>
        <w:r w:rsidRPr="002C1EF0">
          <w:rPr>
            <w:rStyle w:val="Hyperlink"/>
            <w:noProof/>
          </w:rPr>
          <w:t>Funding need</w:t>
        </w:r>
        <w:r>
          <w:rPr>
            <w:noProof/>
            <w:webHidden/>
          </w:rPr>
          <w:tab/>
        </w:r>
        <w:r>
          <w:rPr>
            <w:noProof/>
            <w:webHidden/>
          </w:rPr>
          <w:fldChar w:fldCharType="begin"/>
        </w:r>
        <w:r>
          <w:rPr>
            <w:noProof/>
            <w:webHidden/>
          </w:rPr>
          <w:instrText xml:space="preserve"> PAGEREF _Toc421880662 \h </w:instrText>
        </w:r>
        <w:r>
          <w:rPr>
            <w:noProof/>
            <w:webHidden/>
          </w:rPr>
        </w:r>
        <w:r>
          <w:rPr>
            <w:noProof/>
            <w:webHidden/>
          </w:rPr>
          <w:fldChar w:fldCharType="separate"/>
        </w:r>
        <w:r>
          <w:rPr>
            <w:noProof/>
            <w:webHidden/>
          </w:rPr>
          <w:t>28</w:t>
        </w:r>
        <w:r>
          <w:rPr>
            <w:noProof/>
            <w:webHidden/>
          </w:rPr>
          <w:fldChar w:fldCharType="end"/>
        </w:r>
      </w:hyperlink>
    </w:p>
    <w:p w14:paraId="60D23FED" w14:textId="77777777" w:rsidR="001655CC" w:rsidRDefault="001655CC">
      <w:pPr>
        <w:pStyle w:val="TOC1"/>
        <w:rPr>
          <w:rFonts w:asciiTheme="minorHAnsi" w:eastAsiaTheme="minorEastAsia" w:hAnsiTheme="minorHAnsi" w:cstheme="minorBidi"/>
          <w:b w:val="0"/>
          <w:noProof/>
          <w:color w:val="auto"/>
          <w:sz w:val="22"/>
          <w:szCs w:val="22"/>
          <w:lang w:eastAsia="en-GB"/>
        </w:rPr>
      </w:pPr>
      <w:hyperlink w:anchor="_Toc421880663" w:history="1">
        <w:r w:rsidRPr="002C1EF0">
          <w:rPr>
            <w:rStyle w:val="Hyperlink"/>
            <w:noProof/>
            <w14:scene3d>
              <w14:camera w14:prst="orthographicFront"/>
              <w14:lightRig w14:rig="threePt" w14:dir="t">
                <w14:rot w14:lat="0" w14:lon="0" w14:rev="0"/>
              </w14:lightRig>
            </w14:scene3d>
          </w:rPr>
          <w:t>3</w:t>
        </w:r>
        <w:r>
          <w:rPr>
            <w:rFonts w:asciiTheme="minorHAnsi" w:eastAsiaTheme="minorEastAsia" w:hAnsiTheme="minorHAnsi" w:cstheme="minorBidi"/>
            <w:b w:val="0"/>
            <w:noProof/>
            <w:color w:val="auto"/>
            <w:sz w:val="22"/>
            <w:szCs w:val="22"/>
            <w:lang w:eastAsia="en-GB"/>
          </w:rPr>
          <w:tab/>
        </w:r>
        <w:r w:rsidRPr="002C1EF0">
          <w:rPr>
            <w:rStyle w:val="Hyperlink"/>
            <w:noProof/>
          </w:rPr>
          <w:t>Mapping Funding Sources to Management Actions and Management Mechanisms</w:t>
        </w:r>
        <w:r>
          <w:rPr>
            <w:noProof/>
            <w:webHidden/>
          </w:rPr>
          <w:tab/>
        </w:r>
        <w:r>
          <w:rPr>
            <w:noProof/>
            <w:webHidden/>
          </w:rPr>
          <w:fldChar w:fldCharType="begin"/>
        </w:r>
        <w:r>
          <w:rPr>
            <w:noProof/>
            <w:webHidden/>
          </w:rPr>
          <w:instrText xml:space="preserve"> PAGEREF _Toc421880663 \h </w:instrText>
        </w:r>
        <w:r>
          <w:rPr>
            <w:noProof/>
            <w:webHidden/>
          </w:rPr>
        </w:r>
        <w:r>
          <w:rPr>
            <w:noProof/>
            <w:webHidden/>
          </w:rPr>
          <w:fldChar w:fldCharType="separate"/>
        </w:r>
        <w:r>
          <w:rPr>
            <w:noProof/>
            <w:webHidden/>
          </w:rPr>
          <w:t>30</w:t>
        </w:r>
        <w:r>
          <w:rPr>
            <w:noProof/>
            <w:webHidden/>
          </w:rPr>
          <w:fldChar w:fldCharType="end"/>
        </w:r>
      </w:hyperlink>
    </w:p>
    <w:p w14:paraId="7CEB5B62" w14:textId="77777777" w:rsidR="001655CC" w:rsidRDefault="001655CC">
      <w:pPr>
        <w:pStyle w:val="TOC3"/>
        <w:rPr>
          <w:rFonts w:asciiTheme="minorHAnsi" w:eastAsiaTheme="minorEastAsia" w:hAnsiTheme="minorHAnsi" w:cstheme="minorBidi"/>
          <w:noProof/>
          <w:sz w:val="22"/>
          <w:szCs w:val="22"/>
          <w:lang w:eastAsia="en-GB"/>
        </w:rPr>
      </w:pPr>
      <w:hyperlink w:anchor="_Toc421880664" w:history="1">
        <w:r w:rsidRPr="002C1EF0">
          <w:rPr>
            <w:rStyle w:val="Hyperlink"/>
            <w:noProof/>
          </w:rPr>
          <w:t>3.1</w:t>
        </w:r>
        <w:r>
          <w:rPr>
            <w:rFonts w:asciiTheme="minorHAnsi" w:eastAsiaTheme="minorEastAsia" w:hAnsiTheme="minorHAnsi" w:cstheme="minorBidi"/>
            <w:noProof/>
            <w:sz w:val="22"/>
            <w:szCs w:val="22"/>
            <w:lang w:eastAsia="en-GB"/>
          </w:rPr>
          <w:tab/>
        </w:r>
        <w:r w:rsidRPr="002C1EF0">
          <w:rPr>
            <w:rStyle w:val="Hyperlink"/>
            <w:noProof/>
          </w:rPr>
          <w:t>Introduction</w:t>
        </w:r>
        <w:r>
          <w:rPr>
            <w:noProof/>
            <w:webHidden/>
          </w:rPr>
          <w:tab/>
        </w:r>
        <w:r>
          <w:rPr>
            <w:noProof/>
            <w:webHidden/>
          </w:rPr>
          <w:fldChar w:fldCharType="begin"/>
        </w:r>
        <w:r>
          <w:rPr>
            <w:noProof/>
            <w:webHidden/>
          </w:rPr>
          <w:instrText xml:space="preserve"> PAGEREF _Toc421880664 \h </w:instrText>
        </w:r>
        <w:r>
          <w:rPr>
            <w:noProof/>
            <w:webHidden/>
          </w:rPr>
        </w:r>
        <w:r>
          <w:rPr>
            <w:noProof/>
            <w:webHidden/>
          </w:rPr>
          <w:fldChar w:fldCharType="separate"/>
        </w:r>
        <w:r>
          <w:rPr>
            <w:noProof/>
            <w:webHidden/>
          </w:rPr>
          <w:t>30</w:t>
        </w:r>
        <w:r>
          <w:rPr>
            <w:noProof/>
            <w:webHidden/>
          </w:rPr>
          <w:fldChar w:fldCharType="end"/>
        </w:r>
      </w:hyperlink>
    </w:p>
    <w:p w14:paraId="6C1DC8D8" w14:textId="77777777" w:rsidR="001655CC" w:rsidRDefault="001655CC">
      <w:pPr>
        <w:pStyle w:val="TOC3"/>
        <w:rPr>
          <w:rFonts w:asciiTheme="minorHAnsi" w:eastAsiaTheme="minorEastAsia" w:hAnsiTheme="minorHAnsi" w:cstheme="minorBidi"/>
          <w:noProof/>
          <w:sz w:val="22"/>
          <w:szCs w:val="22"/>
          <w:lang w:eastAsia="en-GB"/>
        </w:rPr>
      </w:pPr>
      <w:hyperlink w:anchor="_Toc421880665" w:history="1">
        <w:r w:rsidRPr="002C1EF0">
          <w:rPr>
            <w:rStyle w:val="Hyperlink"/>
            <w:noProof/>
          </w:rPr>
          <w:t>3.2</w:t>
        </w:r>
        <w:r>
          <w:rPr>
            <w:rFonts w:asciiTheme="minorHAnsi" w:eastAsiaTheme="minorEastAsia" w:hAnsiTheme="minorHAnsi" w:cstheme="minorBidi"/>
            <w:noProof/>
            <w:sz w:val="22"/>
            <w:szCs w:val="22"/>
            <w:lang w:eastAsia="en-GB"/>
          </w:rPr>
          <w:tab/>
        </w:r>
        <w:r w:rsidRPr="002C1EF0">
          <w:rPr>
            <w:rStyle w:val="Hyperlink"/>
            <w:noProof/>
          </w:rPr>
          <w:t>Types of funding source</w:t>
        </w:r>
        <w:r>
          <w:rPr>
            <w:noProof/>
            <w:webHidden/>
          </w:rPr>
          <w:tab/>
        </w:r>
        <w:r>
          <w:rPr>
            <w:noProof/>
            <w:webHidden/>
          </w:rPr>
          <w:fldChar w:fldCharType="begin"/>
        </w:r>
        <w:r>
          <w:rPr>
            <w:noProof/>
            <w:webHidden/>
          </w:rPr>
          <w:instrText xml:space="preserve"> PAGEREF _Toc421880665 \h </w:instrText>
        </w:r>
        <w:r>
          <w:rPr>
            <w:noProof/>
            <w:webHidden/>
          </w:rPr>
        </w:r>
        <w:r>
          <w:rPr>
            <w:noProof/>
            <w:webHidden/>
          </w:rPr>
          <w:fldChar w:fldCharType="separate"/>
        </w:r>
        <w:r>
          <w:rPr>
            <w:noProof/>
            <w:webHidden/>
          </w:rPr>
          <w:t>30</w:t>
        </w:r>
        <w:r>
          <w:rPr>
            <w:noProof/>
            <w:webHidden/>
          </w:rPr>
          <w:fldChar w:fldCharType="end"/>
        </w:r>
      </w:hyperlink>
    </w:p>
    <w:p w14:paraId="4DAEE541" w14:textId="77777777" w:rsidR="001655CC" w:rsidRDefault="001655CC">
      <w:pPr>
        <w:pStyle w:val="TOC3"/>
        <w:rPr>
          <w:rFonts w:asciiTheme="minorHAnsi" w:eastAsiaTheme="minorEastAsia" w:hAnsiTheme="minorHAnsi" w:cstheme="minorBidi"/>
          <w:noProof/>
          <w:sz w:val="22"/>
          <w:szCs w:val="22"/>
          <w:lang w:eastAsia="en-GB"/>
        </w:rPr>
      </w:pPr>
      <w:hyperlink w:anchor="_Toc421880666" w:history="1">
        <w:r w:rsidRPr="002C1EF0">
          <w:rPr>
            <w:rStyle w:val="Hyperlink"/>
            <w:noProof/>
          </w:rPr>
          <w:t>3.3</w:t>
        </w:r>
        <w:r>
          <w:rPr>
            <w:rFonts w:asciiTheme="minorHAnsi" w:eastAsiaTheme="minorEastAsia" w:hAnsiTheme="minorHAnsi" w:cstheme="minorBidi"/>
            <w:noProof/>
            <w:sz w:val="22"/>
            <w:szCs w:val="22"/>
            <w:lang w:eastAsia="en-GB"/>
          </w:rPr>
          <w:tab/>
        </w:r>
        <w:r w:rsidRPr="002C1EF0">
          <w:rPr>
            <w:rStyle w:val="Hyperlink"/>
            <w:noProof/>
          </w:rPr>
          <w:t>Funding sources for management actions</w:t>
        </w:r>
        <w:r>
          <w:rPr>
            <w:noProof/>
            <w:webHidden/>
          </w:rPr>
          <w:tab/>
        </w:r>
        <w:r>
          <w:rPr>
            <w:noProof/>
            <w:webHidden/>
          </w:rPr>
          <w:fldChar w:fldCharType="begin"/>
        </w:r>
        <w:r>
          <w:rPr>
            <w:noProof/>
            <w:webHidden/>
          </w:rPr>
          <w:instrText xml:space="preserve"> PAGEREF _Toc421880666 \h </w:instrText>
        </w:r>
        <w:r>
          <w:rPr>
            <w:noProof/>
            <w:webHidden/>
          </w:rPr>
        </w:r>
        <w:r>
          <w:rPr>
            <w:noProof/>
            <w:webHidden/>
          </w:rPr>
          <w:fldChar w:fldCharType="separate"/>
        </w:r>
        <w:r>
          <w:rPr>
            <w:noProof/>
            <w:webHidden/>
          </w:rPr>
          <w:t>36</w:t>
        </w:r>
        <w:r>
          <w:rPr>
            <w:noProof/>
            <w:webHidden/>
          </w:rPr>
          <w:fldChar w:fldCharType="end"/>
        </w:r>
      </w:hyperlink>
    </w:p>
    <w:p w14:paraId="499DBFE9" w14:textId="77777777" w:rsidR="001655CC" w:rsidRDefault="001655CC">
      <w:pPr>
        <w:pStyle w:val="TOC3"/>
        <w:rPr>
          <w:rFonts w:asciiTheme="minorHAnsi" w:eastAsiaTheme="minorEastAsia" w:hAnsiTheme="minorHAnsi" w:cstheme="minorBidi"/>
          <w:noProof/>
          <w:sz w:val="22"/>
          <w:szCs w:val="22"/>
          <w:lang w:eastAsia="en-GB"/>
        </w:rPr>
      </w:pPr>
      <w:hyperlink w:anchor="_Toc421880667" w:history="1">
        <w:r w:rsidRPr="002C1EF0">
          <w:rPr>
            <w:rStyle w:val="Hyperlink"/>
            <w:noProof/>
          </w:rPr>
          <w:t>3.4</w:t>
        </w:r>
        <w:r>
          <w:rPr>
            <w:rFonts w:asciiTheme="minorHAnsi" w:eastAsiaTheme="minorEastAsia" w:hAnsiTheme="minorHAnsi" w:cstheme="minorBidi"/>
            <w:noProof/>
            <w:sz w:val="22"/>
            <w:szCs w:val="22"/>
            <w:lang w:eastAsia="en-GB"/>
          </w:rPr>
          <w:tab/>
        </w:r>
        <w:r w:rsidRPr="002C1EF0">
          <w:rPr>
            <w:rStyle w:val="Hyperlink"/>
            <w:noProof/>
          </w:rPr>
          <w:t>Funding sources for management mechanisms</w:t>
        </w:r>
        <w:r>
          <w:rPr>
            <w:noProof/>
            <w:webHidden/>
          </w:rPr>
          <w:tab/>
        </w:r>
        <w:r>
          <w:rPr>
            <w:noProof/>
            <w:webHidden/>
          </w:rPr>
          <w:fldChar w:fldCharType="begin"/>
        </w:r>
        <w:r>
          <w:rPr>
            <w:noProof/>
            <w:webHidden/>
          </w:rPr>
          <w:instrText xml:space="preserve"> PAGEREF _Toc421880667 \h </w:instrText>
        </w:r>
        <w:r>
          <w:rPr>
            <w:noProof/>
            <w:webHidden/>
          </w:rPr>
        </w:r>
        <w:r>
          <w:rPr>
            <w:noProof/>
            <w:webHidden/>
          </w:rPr>
          <w:fldChar w:fldCharType="separate"/>
        </w:r>
        <w:r>
          <w:rPr>
            <w:noProof/>
            <w:webHidden/>
          </w:rPr>
          <w:t>41</w:t>
        </w:r>
        <w:r>
          <w:rPr>
            <w:noProof/>
            <w:webHidden/>
          </w:rPr>
          <w:fldChar w:fldCharType="end"/>
        </w:r>
      </w:hyperlink>
    </w:p>
    <w:p w14:paraId="43D82A8E" w14:textId="77777777" w:rsidR="001655CC" w:rsidRDefault="001655CC">
      <w:pPr>
        <w:pStyle w:val="TOC1"/>
        <w:rPr>
          <w:rFonts w:asciiTheme="minorHAnsi" w:eastAsiaTheme="minorEastAsia" w:hAnsiTheme="minorHAnsi" w:cstheme="minorBidi"/>
          <w:b w:val="0"/>
          <w:noProof/>
          <w:color w:val="auto"/>
          <w:sz w:val="22"/>
          <w:szCs w:val="22"/>
          <w:lang w:eastAsia="en-GB"/>
        </w:rPr>
      </w:pPr>
      <w:hyperlink w:anchor="_Toc421880668" w:history="1">
        <w:r w:rsidRPr="002C1EF0">
          <w:rPr>
            <w:rStyle w:val="Hyperlink"/>
            <w:noProof/>
            <w14:scene3d>
              <w14:camera w14:prst="orthographicFront"/>
              <w14:lightRig w14:rig="threePt" w14:dir="t">
                <w14:rot w14:lat="0" w14:lon="0" w14:rev="0"/>
              </w14:lightRig>
            </w14:scene3d>
          </w:rPr>
          <w:t>4</w:t>
        </w:r>
        <w:r>
          <w:rPr>
            <w:rFonts w:asciiTheme="minorHAnsi" w:eastAsiaTheme="minorEastAsia" w:hAnsiTheme="minorHAnsi" w:cstheme="minorBidi"/>
            <w:b w:val="0"/>
            <w:noProof/>
            <w:color w:val="auto"/>
            <w:sz w:val="22"/>
            <w:szCs w:val="22"/>
            <w:lang w:eastAsia="en-GB"/>
          </w:rPr>
          <w:tab/>
        </w:r>
        <w:r w:rsidRPr="002C1EF0">
          <w:rPr>
            <w:rStyle w:val="Hyperlink"/>
            <w:noProof/>
          </w:rPr>
          <w:t>Opportunities, Limitations and Actions for Enhancing use of Funding Sources</w:t>
        </w:r>
        <w:r>
          <w:rPr>
            <w:noProof/>
            <w:webHidden/>
          </w:rPr>
          <w:tab/>
        </w:r>
        <w:r>
          <w:rPr>
            <w:noProof/>
            <w:webHidden/>
          </w:rPr>
          <w:fldChar w:fldCharType="begin"/>
        </w:r>
        <w:r>
          <w:rPr>
            <w:noProof/>
            <w:webHidden/>
          </w:rPr>
          <w:instrText xml:space="preserve"> PAGEREF _Toc421880668 \h </w:instrText>
        </w:r>
        <w:r>
          <w:rPr>
            <w:noProof/>
            <w:webHidden/>
          </w:rPr>
        </w:r>
        <w:r>
          <w:rPr>
            <w:noProof/>
            <w:webHidden/>
          </w:rPr>
          <w:fldChar w:fldCharType="separate"/>
        </w:r>
        <w:r>
          <w:rPr>
            <w:noProof/>
            <w:webHidden/>
          </w:rPr>
          <w:t>45</w:t>
        </w:r>
        <w:r>
          <w:rPr>
            <w:noProof/>
            <w:webHidden/>
          </w:rPr>
          <w:fldChar w:fldCharType="end"/>
        </w:r>
      </w:hyperlink>
    </w:p>
    <w:p w14:paraId="56E56C6A" w14:textId="77777777" w:rsidR="001655CC" w:rsidRDefault="001655CC">
      <w:pPr>
        <w:pStyle w:val="TOC3"/>
        <w:rPr>
          <w:rFonts w:asciiTheme="minorHAnsi" w:eastAsiaTheme="minorEastAsia" w:hAnsiTheme="minorHAnsi" w:cstheme="minorBidi"/>
          <w:noProof/>
          <w:sz w:val="22"/>
          <w:szCs w:val="22"/>
          <w:lang w:eastAsia="en-GB"/>
        </w:rPr>
      </w:pPr>
      <w:hyperlink w:anchor="_Toc421880669" w:history="1">
        <w:r w:rsidRPr="002C1EF0">
          <w:rPr>
            <w:rStyle w:val="Hyperlink"/>
            <w:noProof/>
          </w:rPr>
          <w:t>4.1</w:t>
        </w:r>
        <w:r>
          <w:rPr>
            <w:rFonts w:asciiTheme="minorHAnsi" w:eastAsiaTheme="minorEastAsia" w:hAnsiTheme="minorHAnsi" w:cstheme="minorBidi"/>
            <w:noProof/>
            <w:sz w:val="22"/>
            <w:szCs w:val="22"/>
            <w:lang w:eastAsia="en-GB"/>
          </w:rPr>
          <w:tab/>
        </w:r>
        <w:r w:rsidRPr="002C1EF0">
          <w:rPr>
            <w:rStyle w:val="Hyperlink"/>
            <w:noProof/>
          </w:rPr>
          <w:t>An assessment of the scope for enhanced use of funding sources</w:t>
        </w:r>
        <w:r>
          <w:rPr>
            <w:noProof/>
            <w:webHidden/>
          </w:rPr>
          <w:tab/>
        </w:r>
        <w:r>
          <w:rPr>
            <w:noProof/>
            <w:webHidden/>
          </w:rPr>
          <w:fldChar w:fldCharType="begin"/>
        </w:r>
        <w:r>
          <w:rPr>
            <w:noProof/>
            <w:webHidden/>
          </w:rPr>
          <w:instrText xml:space="preserve"> PAGEREF _Toc421880669 \h </w:instrText>
        </w:r>
        <w:r>
          <w:rPr>
            <w:noProof/>
            <w:webHidden/>
          </w:rPr>
        </w:r>
        <w:r>
          <w:rPr>
            <w:noProof/>
            <w:webHidden/>
          </w:rPr>
          <w:fldChar w:fldCharType="separate"/>
        </w:r>
        <w:r>
          <w:rPr>
            <w:noProof/>
            <w:webHidden/>
          </w:rPr>
          <w:t>45</w:t>
        </w:r>
        <w:r>
          <w:rPr>
            <w:noProof/>
            <w:webHidden/>
          </w:rPr>
          <w:fldChar w:fldCharType="end"/>
        </w:r>
      </w:hyperlink>
    </w:p>
    <w:p w14:paraId="3A7D0EC0" w14:textId="77777777" w:rsidR="001655CC" w:rsidRDefault="001655CC">
      <w:pPr>
        <w:pStyle w:val="TOC3"/>
        <w:rPr>
          <w:rFonts w:asciiTheme="minorHAnsi" w:eastAsiaTheme="minorEastAsia" w:hAnsiTheme="minorHAnsi" w:cstheme="minorBidi"/>
          <w:noProof/>
          <w:sz w:val="22"/>
          <w:szCs w:val="22"/>
          <w:lang w:eastAsia="en-GB"/>
        </w:rPr>
      </w:pPr>
      <w:hyperlink w:anchor="_Toc421880670" w:history="1">
        <w:r w:rsidRPr="002C1EF0">
          <w:rPr>
            <w:rStyle w:val="Hyperlink"/>
            <w:noProof/>
          </w:rPr>
          <w:t>4.2</w:t>
        </w:r>
        <w:r>
          <w:rPr>
            <w:rFonts w:asciiTheme="minorHAnsi" w:eastAsiaTheme="minorEastAsia" w:hAnsiTheme="minorHAnsi" w:cstheme="minorBidi"/>
            <w:noProof/>
            <w:sz w:val="22"/>
            <w:szCs w:val="22"/>
            <w:lang w:eastAsia="en-GB"/>
          </w:rPr>
          <w:tab/>
        </w:r>
        <w:r w:rsidRPr="002C1EF0">
          <w:rPr>
            <w:rStyle w:val="Hyperlink"/>
            <w:noProof/>
          </w:rPr>
          <w:t>NRW funds: opportunities, limitations and actions</w:t>
        </w:r>
        <w:r>
          <w:rPr>
            <w:noProof/>
            <w:webHidden/>
          </w:rPr>
          <w:tab/>
        </w:r>
        <w:r>
          <w:rPr>
            <w:noProof/>
            <w:webHidden/>
          </w:rPr>
          <w:fldChar w:fldCharType="begin"/>
        </w:r>
        <w:r>
          <w:rPr>
            <w:noProof/>
            <w:webHidden/>
          </w:rPr>
          <w:instrText xml:space="preserve"> PAGEREF _Toc421880670 \h </w:instrText>
        </w:r>
        <w:r>
          <w:rPr>
            <w:noProof/>
            <w:webHidden/>
          </w:rPr>
        </w:r>
        <w:r>
          <w:rPr>
            <w:noProof/>
            <w:webHidden/>
          </w:rPr>
          <w:fldChar w:fldCharType="separate"/>
        </w:r>
        <w:r>
          <w:rPr>
            <w:noProof/>
            <w:webHidden/>
          </w:rPr>
          <w:t>53</w:t>
        </w:r>
        <w:r>
          <w:rPr>
            <w:noProof/>
            <w:webHidden/>
          </w:rPr>
          <w:fldChar w:fldCharType="end"/>
        </w:r>
      </w:hyperlink>
    </w:p>
    <w:p w14:paraId="6AABB955" w14:textId="77777777" w:rsidR="001655CC" w:rsidRDefault="001655CC">
      <w:pPr>
        <w:pStyle w:val="TOC3"/>
        <w:rPr>
          <w:rFonts w:asciiTheme="minorHAnsi" w:eastAsiaTheme="minorEastAsia" w:hAnsiTheme="minorHAnsi" w:cstheme="minorBidi"/>
          <w:noProof/>
          <w:sz w:val="22"/>
          <w:szCs w:val="22"/>
          <w:lang w:eastAsia="en-GB"/>
        </w:rPr>
      </w:pPr>
      <w:hyperlink w:anchor="_Toc421880671" w:history="1">
        <w:r w:rsidRPr="002C1EF0">
          <w:rPr>
            <w:rStyle w:val="Hyperlink"/>
            <w:noProof/>
          </w:rPr>
          <w:t>4.3</w:t>
        </w:r>
        <w:r>
          <w:rPr>
            <w:rFonts w:asciiTheme="minorHAnsi" w:eastAsiaTheme="minorEastAsia" w:hAnsiTheme="minorHAnsi" w:cstheme="minorBidi"/>
            <w:noProof/>
            <w:sz w:val="22"/>
            <w:szCs w:val="22"/>
            <w:lang w:eastAsia="en-GB"/>
          </w:rPr>
          <w:tab/>
        </w:r>
        <w:r w:rsidRPr="002C1EF0">
          <w:rPr>
            <w:rStyle w:val="Hyperlink"/>
            <w:noProof/>
          </w:rPr>
          <w:t>EU Funds: opportunities, limitations and actions</w:t>
        </w:r>
        <w:r>
          <w:rPr>
            <w:noProof/>
            <w:webHidden/>
          </w:rPr>
          <w:tab/>
        </w:r>
        <w:r>
          <w:rPr>
            <w:noProof/>
            <w:webHidden/>
          </w:rPr>
          <w:fldChar w:fldCharType="begin"/>
        </w:r>
        <w:r>
          <w:rPr>
            <w:noProof/>
            <w:webHidden/>
          </w:rPr>
          <w:instrText xml:space="preserve"> PAGEREF _Toc421880671 \h </w:instrText>
        </w:r>
        <w:r>
          <w:rPr>
            <w:noProof/>
            <w:webHidden/>
          </w:rPr>
        </w:r>
        <w:r>
          <w:rPr>
            <w:noProof/>
            <w:webHidden/>
          </w:rPr>
          <w:fldChar w:fldCharType="separate"/>
        </w:r>
        <w:r>
          <w:rPr>
            <w:noProof/>
            <w:webHidden/>
          </w:rPr>
          <w:t>54</w:t>
        </w:r>
        <w:r>
          <w:rPr>
            <w:noProof/>
            <w:webHidden/>
          </w:rPr>
          <w:fldChar w:fldCharType="end"/>
        </w:r>
      </w:hyperlink>
    </w:p>
    <w:p w14:paraId="58F1ED0F" w14:textId="77777777" w:rsidR="001655CC" w:rsidRDefault="001655CC">
      <w:pPr>
        <w:pStyle w:val="TOC3"/>
        <w:rPr>
          <w:rFonts w:asciiTheme="minorHAnsi" w:eastAsiaTheme="minorEastAsia" w:hAnsiTheme="minorHAnsi" w:cstheme="minorBidi"/>
          <w:noProof/>
          <w:sz w:val="22"/>
          <w:szCs w:val="22"/>
          <w:lang w:eastAsia="en-GB"/>
        </w:rPr>
      </w:pPr>
      <w:hyperlink w:anchor="_Toc421880672" w:history="1">
        <w:r w:rsidRPr="002C1EF0">
          <w:rPr>
            <w:rStyle w:val="Hyperlink"/>
            <w:noProof/>
          </w:rPr>
          <w:t>4.4</w:t>
        </w:r>
        <w:r>
          <w:rPr>
            <w:rFonts w:asciiTheme="minorHAnsi" w:eastAsiaTheme="minorEastAsia" w:hAnsiTheme="minorHAnsi" w:cstheme="minorBidi"/>
            <w:noProof/>
            <w:sz w:val="22"/>
            <w:szCs w:val="22"/>
            <w:lang w:eastAsia="en-GB"/>
          </w:rPr>
          <w:tab/>
        </w:r>
        <w:r w:rsidRPr="002C1EF0">
          <w:rPr>
            <w:rStyle w:val="Hyperlink"/>
            <w:noProof/>
          </w:rPr>
          <w:t>Other sector plans, strategies and public funds: opportunities, limitations and actions</w:t>
        </w:r>
        <w:r>
          <w:rPr>
            <w:noProof/>
            <w:webHidden/>
          </w:rPr>
          <w:tab/>
        </w:r>
        <w:r>
          <w:rPr>
            <w:noProof/>
            <w:webHidden/>
          </w:rPr>
          <w:fldChar w:fldCharType="begin"/>
        </w:r>
        <w:r>
          <w:rPr>
            <w:noProof/>
            <w:webHidden/>
          </w:rPr>
          <w:instrText xml:space="preserve"> PAGEREF _Toc421880672 \h </w:instrText>
        </w:r>
        <w:r>
          <w:rPr>
            <w:noProof/>
            <w:webHidden/>
          </w:rPr>
        </w:r>
        <w:r>
          <w:rPr>
            <w:noProof/>
            <w:webHidden/>
          </w:rPr>
          <w:fldChar w:fldCharType="separate"/>
        </w:r>
        <w:r>
          <w:rPr>
            <w:noProof/>
            <w:webHidden/>
          </w:rPr>
          <w:t>57</w:t>
        </w:r>
        <w:r>
          <w:rPr>
            <w:noProof/>
            <w:webHidden/>
          </w:rPr>
          <w:fldChar w:fldCharType="end"/>
        </w:r>
      </w:hyperlink>
    </w:p>
    <w:p w14:paraId="542049F7" w14:textId="77777777" w:rsidR="001655CC" w:rsidRDefault="001655CC">
      <w:pPr>
        <w:pStyle w:val="TOC3"/>
        <w:rPr>
          <w:rFonts w:asciiTheme="minorHAnsi" w:eastAsiaTheme="minorEastAsia" w:hAnsiTheme="minorHAnsi" w:cstheme="minorBidi"/>
          <w:noProof/>
          <w:sz w:val="22"/>
          <w:szCs w:val="22"/>
          <w:lang w:eastAsia="en-GB"/>
        </w:rPr>
      </w:pPr>
      <w:hyperlink w:anchor="_Toc421880673" w:history="1">
        <w:r w:rsidRPr="002C1EF0">
          <w:rPr>
            <w:rStyle w:val="Hyperlink"/>
            <w:noProof/>
          </w:rPr>
          <w:t>4.5</w:t>
        </w:r>
        <w:r>
          <w:rPr>
            <w:rFonts w:asciiTheme="minorHAnsi" w:eastAsiaTheme="minorEastAsia" w:hAnsiTheme="minorHAnsi" w:cstheme="minorBidi"/>
            <w:noProof/>
            <w:sz w:val="22"/>
            <w:szCs w:val="22"/>
            <w:lang w:eastAsia="en-GB"/>
          </w:rPr>
          <w:tab/>
        </w:r>
        <w:r w:rsidRPr="002C1EF0">
          <w:rPr>
            <w:rStyle w:val="Hyperlink"/>
            <w:noProof/>
          </w:rPr>
          <w:t>Private, Lottery and voluntary sector funds</w:t>
        </w:r>
        <w:r>
          <w:rPr>
            <w:noProof/>
            <w:webHidden/>
          </w:rPr>
          <w:tab/>
        </w:r>
        <w:r>
          <w:rPr>
            <w:noProof/>
            <w:webHidden/>
          </w:rPr>
          <w:fldChar w:fldCharType="begin"/>
        </w:r>
        <w:r>
          <w:rPr>
            <w:noProof/>
            <w:webHidden/>
          </w:rPr>
          <w:instrText xml:space="preserve"> PAGEREF _Toc421880673 \h </w:instrText>
        </w:r>
        <w:r>
          <w:rPr>
            <w:noProof/>
            <w:webHidden/>
          </w:rPr>
        </w:r>
        <w:r>
          <w:rPr>
            <w:noProof/>
            <w:webHidden/>
          </w:rPr>
          <w:fldChar w:fldCharType="separate"/>
        </w:r>
        <w:r>
          <w:rPr>
            <w:noProof/>
            <w:webHidden/>
          </w:rPr>
          <w:t>59</w:t>
        </w:r>
        <w:r>
          <w:rPr>
            <w:noProof/>
            <w:webHidden/>
          </w:rPr>
          <w:fldChar w:fldCharType="end"/>
        </w:r>
      </w:hyperlink>
    </w:p>
    <w:p w14:paraId="75C269AF" w14:textId="77777777" w:rsidR="001655CC" w:rsidRDefault="001655CC">
      <w:pPr>
        <w:pStyle w:val="TOC3"/>
        <w:rPr>
          <w:rFonts w:asciiTheme="minorHAnsi" w:eastAsiaTheme="minorEastAsia" w:hAnsiTheme="minorHAnsi" w:cstheme="minorBidi"/>
          <w:noProof/>
          <w:sz w:val="22"/>
          <w:szCs w:val="22"/>
          <w:lang w:eastAsia="en-GB"/>
        </w:rPr>
      </w:pPr>
      <w:hyperlink w:anchor="_Toc421880674" w:history="1">
        <w:r w:rsidRPr="002C1EF0">
          <w:rPr>
            <w:rStyle w:val="Hyperlink"/>
            <w:noProof/>
          </w:rPr>
          <w:t>4.6</w:t>
        </w:r>
        <w:r>
          <w:rPr>
            <w:rFonts w:asciiTheme="minorHAnsi" w:eastAsiaTheme="minorEastAsia" w:hAnsiTheme="minorHAnsi" w:cstheme="minorBidi"/>
            <w:noProof/>
            <w:sz w:val="22"/>
            <w:szCs w:val="22"/>
            <w:lang w:eastAsia="en-GB"/>
          </w:rPr>
          <w:tab/>
        </w:r>
        <w:r w:rsidRPr="002C1EF0">
          <w:rPr>
            <w:rStyle w:val="Hyperlink"/>
            <w:noProof/>
          </w:rPr>
          <w:t>Alternative funding approaches: opportunities, limitations and actions</w:t>
        </w:r>
        <w:r>
          <w:rPr>
            <w:noProof/>
            <w:webHidden/>
          </w:rPr>
          <w:tab/>
        </w:r>
        <w:r>
          <w:rPr>
            <w:noProof/>
            <w:webHidden/>
          </w:rPr>
          <w:fldChar w:fldCharType="begin"/>
        </w:r>
        <w:r>
          <w:rPr>
            <w:noProof/>
            <w:webHidden/>
          </w:rPr>
          <w:instrText xml:space="preserve"> PAGEREF _Toc421880674 \h </w:instrText>
        </w:r>
        <w:r>
          <w:rPr>
            <w:noProof/>
            <w:webHidden/>
          </w:rPr>
        </w:r>
        <w:r>
          <w:rPr>
            <w:noProof/>
            <w:webHidden/>
          </w:rPr>
          <w:fldChar w:fldCharType="separate"/>
        </w:r>
        <w:r>
          <w:rPr>
            <w:noProof/>
            <w:webHidden/>
          </w:rPr>
          <w:t>60</w:t>
        </w:r>
        <w:r>
          <w:rPr>
            <w:noProof/>
            <w:webHidden/>
          </w:rPr>
          <w:fldChar w:fldCharType="end"/>
        </w:r>
      </w:hyperlink>
    </w:p>
    <w:p w14:paraId="3E5D606D" w14:textId="77777777" w:rsidR="001655CC" w:rsidRDefault="001655CC">
      <w:pPr>
        <w:pStyle w:val="TOC1"/>
        <w:rPr>
          <w:rFonts w:asciiTheme="minorHAnsi" w:eastAsiaTheme="minorEastAsia" w:hAnsiTheme="minorHAnsi" w:cstheme="minorBidi"/>
          <w:b w:val="0"/>
          <w:noProof/>
          <w:color w:val="auto"/>
          <w:sz w:val="22"/>
          <w:szCs w:val="22"/>
          <w:lang w:eastAsia="en-GB"/>
        </w:rPr>
      </w:pPr>
      <w:hyperlink w:anchor="_Toc421880675" w:history="1">
        <w:r w:rsidRPr="002C1EF0">
          <w:rPr>
            <w:rStyle w:val="Hyperlink"/>
            <w:noProof/>
            <w14:scene3d>
              <w14:camera w14:prst="orthographicFront"/>
              <w14:lightRig w14:rig="threePt" w14:dir="t">
                <w14:rot w14:lat="0" w14:lon="0" w14:rev="0"/>
              </w14:lightRig>
            </w14:scene3d>
          </w:rPr>
          <w:t>5</w:t>
        </w:r>
        <w:r>
          <w:rPr>
            <w:rFonts w:asciiTheme="minorHAnsi" w:eastAsiaTheme="minorEastAsia" w:hAnsiTheme="minorHAnsi" w:cstheme="minorBidi"/>
            <w:b w:val="0"/>
            <w:noProof/>
            <w:color w:val="auto"/>
            <w:sz w:val="22"/>
            <w:szCs w:val="22"/>
            <w:lang w:eastAsia="en-GB"/>
          </w:rPr>
          <w:tab/>
        </w:r>
        <w:r w:rsidRPr="002C1EF0">
          <w:rPr>
            <w:rStyle w:val="Hyperlink"/>
            <w:noProof/>
          </w:rPr>
          <w:t>Conclusions</w:t>
        </w:r>
        <w:r>
          <w:rPr>
            <w:noProof/>
            <w:webHidden/>
          </w:rPr>
          <w:tab/>
        </w:r>
        <w:r>
          <w:rPr>
            <w:noProof/>
            <w:webHidden/>
          </w:rPr>
          <w:fldChar w:fldCharType="begin"/>
        </w:r>
        <w:r>
          <w:rPr>
            <w:noProof/>
            <w:webHidden/>
          </w:rPr>
          <w:instrText xml:space="preserve"> PAGEREF _Toc421880675 \h </w:instrText>
        </w:r>
        <w:r>
          <w:rPr>
            <w:noProof/>
            <w:webHidden/>
          </w:rPr>
        </w:r>
        <w:r>
          <w:rPr>
            <w:noProof/>
            <w:webHidden/>
          </w:rPr>
          <w:fldChar w:fldCharType="separate"/>
        </w:r>
        <w:r>
          <w:rPr>
            <w:noProof/>
            <w:webHidden/>
          </w:rPr>
          <w:t>63</w:t>
        </w:r>
        <w:r>
          <w:rPr>
            <w:noProof/>
            <w:webHidden/>
          </w:rPr>
          <w:fldChar w:fldCharType="end"/>
        </w:r>
      </w:hyperlink>
    </w:p>
    <w:p w14:paraId="1F490732" w14:textId="77777777" w:rsidR="001655CC" w:rsidRDefault="001655CC">
      <w:pPr>
        <w:pStyle w:val="TOC3"/>
        <w:rPr>
          <w:rFonts w:asciiTheme="minorHAnsi" w:eastAsiaTheme="minorEastAsia" w:hAnsiTheme="minorHAnsi" w:cstheme="minorBidi"/>
          <w:noProof/>
          <w:sz w:val="22"/>
          <w:szCs w:val="22"/>
          <w:lang w:eastAsia="en-GB"/>
        </w:rPr>
      </w:pPr>
      <w:hyperlink w:anchor="_Toc421880676" w:history="1">
        <w:r w:rsidRPr="002C1EF0">
          <w:rPr>
            <w:rStyle w:val="Hyperlink"/>
            <w:noProof/>
          </w:rPr>
          <w:t>5.1</w:t>
        </w:r>
        <w:r>
          <w:rPr>
            <w:rFonts w:asciiTheme="minorHAnsi" w:eastAsiaTheme="minorEastAsia" w:hAnsiTheme="minorHAnsi" w:cstheme="minorBidi"/>
            <w:noProof/>
            <w:sz w:val="22"/>
            <w:szCs w:val="22"/>
            <w:lang w:eastAsia="en-GB"/>
          </w:rPr>
          <w:tab/>
        </w:r>
        <w:r w:rsidRPr="002C1EF0">
          <w:rPr>
            <w:rStyle w:val="Hyperlink"/>
            <w:noProof/>
          </w:rPr>
          <w:t>Diversification of funding</w:t>
        </w:r>
        <w:r>
          <w:rPr>
            <w:noProof/>
            <w:webHidden/>
          </w:rPr>
          <w:tab/>
        </w:r>
        <w:r>
          <w:rPr>
            <w:noProof/>
            <w:webHidden/>
          </w:rPr>
          <w:fldChar w:fldCharType="begin"/>
        </w:r>
        <w:r>
          <w:rPr>
            <w:noProof/>
            <w:webHidden/>
          </w:rPr>
          <w:instrText xml:space="preserve"> PAGEREF _Toc421880676 \h </w:instrText>
        </w:r>
        <w:r>
          <w:rPr>
            <w:noProof/>
            <w:webHidden/>
          </w:rPr>
        </w:r>
        <w:r>
          <w:rPr>
            <w:noProof/>
            <w:webHidden/>
          </w:rPr>
          <w:fldChar w:fldCharType="separate"/>
        </w:r>
        <w:r>
          <w:rPr>
            <w:noProof/>
            <w:webHidden/>
          </w:rPr>
          <w:t>63</w:t>
        </w:r>
        <w:r>
          <w:rPr>
            <w:noProof/>
            <w:webHidden/>
          </w:rPr>
          <w:fldChar w:fldCharType="end"/>
        </w:r>
      </w:hyperlink>
    </w:p>
    <w:p w14:paraId="4FA5DB96" w14:textId="77777777" w:rsidR="001655CC" w:rsidRDefault="001655CC">
      <w:pPr>
        <w:pStyle w:val="TOC3"/>
        <w:rPr>
          <w:rFonts w:asciiTheme="minorHAnsi" w:eastAsiaTheme="minorEastAsia" w:hAnsiTheme="minorHAnsi" w:cstheme="minorBidi"/>
          <w:noProof/>
          <w:sz w:val="22"/>
          <w:szCs w:val="22"/>
          <w:lang w:eastAsia="en-GB"/>
        </w:rPr>
      </w:pPr>
      <w:hyperlink w:anchor="_Toc421880677" w:history="1">
        <w:r w:rsidRPr="002C1EF0">
          <w:rPr>
            <w:rStyle w:val="Hyperlink"/>
            <w:noProof/>
          </w:rPr>
          <w:t>5.2</w:t>
        </w:r>
        <w:r>
          <w:rPr>
            <w:rFonts w:asciiTheme="minorHAnsi" w:eastAsiaTheme="minorEastAsia" w:hAnsiTheme="minorHAnsi" w:cstheme="minorBidi"/>
            <w:noProof/>
            <w:sz w:val="22"/>
            <w:szCs w:val="22"/>
            <w:lang w:eastAsia="en-GB"/>
          </w:rPr>
          <w:tab/>
        </w:r>
        <w:r w:rsidRPr="002C1EF0">
          <w:rPr>
            <w:rStyle w:val="Hyperlink"/>
            <w:noProof/>
          </w:rPr>
          <w:t>Barriers to accessing funds for Natura 2000</w:t>
        </w:r>
        <w:r>
          <w:rPr>
            <w:noProof/>
            <w:webHidden/>
          </w:rPr>
          <w:tab/>
        </w:r>
        <w:r>
          <w:rPr>
            <w:noProof/>
            <w:webHidden/>
          </w:rPr>
          <w:fldChar w:fldCharType="begin"/>
        </w:r>
        <w:r>
          <w:rPr>
            <w:noProof/>
            <w:webHidden/>
          </w:rPr>
          <w:instrText xml:space="preserve"> PAGEREF _Toc421880677 \h </w:instrText>
        </w:r>
        <w:r>
          <w:rPr>
            <w:noProof/>
            <w:webHidden/>
          </w:rPr>
        </w:r>
        <w:r>
          <w:rPr>
            <w:noProof/>
            <w:webHidden/>
          </w:rPr>
          <w:fldChar w:fldCharType="separate"/>
        </w:r>
        <w:r>
          <w:rPr>
            <w:noProof/>
            <w:webHidden/>
          </w:rPr>
          <w:t>63</w:t>
        </w:r>
        <w:r>
          <w:rPr>
            <w:noProof/>
            <w:webHidden/>
          </w:rPr>
          <w:fldChar w:fldCharType="end"/>
        </w:r>
      </w:hyperlink>
    </w:p>
    <w:p w14:paraId="28E5DBD7" w14:textId="77777777" w:rsidR="001655CC" w:rsidRDefault="001655CC">
      <w:pPr>
        <w:pStyle w:val="TOC3"/>
        <w:rPr>
          <w:rFonts w:asciiTheme="minorHAnsi" w:eastAsiaTheme="minorEastAsia" w:hAnsiTheme="minorHAnsi" w:cstheme="minorBidi"/>
          <w:noProof/>
          <w:sz w:val="22"/>
          <w:szCs w:val="22"/>
          <w:lang w:eastAsia="en-GB"/>
        </w:rPr>
      </w:pPr>
      <w:hyperlink w:anchor="_Toc421880678" w:history="1">
        <w:r w:rsidRPr="002C1EF0">
          <w:rPr>
            <w:rStyle w:val="Hyperlink"/>
            <w:noProof/>
          </w:rPr>
          <w:t>5.3</w:t>
        </w:r>
        <w:r>
          <w:rPr>
            <w:rFonts w:asciiTheme="minorHAnsi" w:eastAsiaTheme="minorEastAsia" w:hAnsiTheme="minorHAnsi" w:cstheme="minorBidi"/>
            <w:noProof/>
            <w:sz w:val="22"/>
            <w:szCs w:val="22"/>
            <w:lang w:eastAsia="en-GB"/>
          </w:rPr>
          <w:tab/>
        </w:r>
        <w:r w:rsidRPr="002C1EF0">
          <w:rPr>
            <w:rStyle w:val="Hyperlink"/>
            <w:noProof/>
          </w:rPr>
          <w:t>Opportunities and actions to enhance uptake</w:t>
        </w:r>
        <w:r>
          <w:rPr>
            <w:noProof/>
            <w:webHidden/>
          </w:rPr>
          <w:tab/>
        </w:r>
        <w:r>
          <w:rPr>
            <w:noProof/>
            <w:webHidden/>
          </w:rPr>
          <w:fldChar w:fldCharType="begin"/>
        </w:r>
        <w:r>
          <w:rPr>
            <w:noProof/>
            <w:webHidden/>
          </w:rPr>
          <w:instrText xml:space="preserve"> PAGEREF _Toc421880678 \h </w:instrText>
        </w:r>
        <w:r>
          <w:rPr>
            <w:noProof/>
            <w:webHidden/>
          </w:rPr>
        </w:r>
        <w:r>
          <w:rPr>
            <w:noProof/>
            <w:webHidden/>
          </w:rPr>
          <w:fldChar w:fldCharType="separate"/>
        </w:r>
        <w:r>
          <w:rPr>
            <w:noProof/>
            <w:webHidden/>
          </w:rPr>
          <w:t>63</w:t>
        </w:r>
        <w:r>
          <w:rPr>
            <w:noProof/>
            <w:webHidden/>
          </w:rPr>
          <w:fldChar w:fldCharType="end"/>
        </w:r>
      </w:hyperlink>
    </w:p>
    <w:p w14:paraId="152F927C" w14:textId="77777777" w:rsidR="001655CC" w:rsidRDefault="001655CC">
      <w:pPr>
        <w:pStyle w:val="TOC2"/>
        <w:tabs>
          <w:tab w:val="left" w:pos="1531"/>
        </w:tabs>
        <w:rPr>
          <w:rFonts w:asciiTheme="minorHAnsi" w:eastAsiaTheme="minorEastAsia" w:hAnsiTheme="minorHAnsi" w:cstheme="minorBidi"/>
          <w:b w:val="0"/>
          <w:noProof/>
          <w:color w:val="auto"/>
          <w:sz w:val="22"/>
          <w:szCs w:val="22"/>
          <w:lang w:eastAsia="en-GB"/>
        </w:rPr>
      </w:pPr>
      <w:hyperlink w:anchor="_Toc421880679" w:history="1">
        <w:r w:rsidRPr="002C1EF0">
          <w:rPr>
            <w:rStyle w:val="Hyperlink"/>
            <w:noProof/>
          </w:rPr>
          <w:t>Annex 1</w:t>
        </w:r>
        <w:r>
          <w:rPr>
            <w:rFonts w:asciiTheme="minorHAnsi" w:eastAsiaTheme="minorEastAsia" w:hAnsiTheme="minorHAnsi" w:cstheme="minorBidi"/>
            <w:b w:val="0"/>
            <w:noProof/>
            <w:color w:val="auto"/>
            <w:sz w:val="22"/>
            <w:szCs w:val="22"/>
            <w:lang w:eastAsia="en-GB"/>
          </w:rPr>
          <w:tab/>
        </w:r>
        <w:r w:rsidRPr="002C1EF0">
          <w:rPr>
            <w:rStyle w:val="Hyperlink"/>
            <w:noProof/>
          </w:rPr>
          <w:t>Funding Source Bibliography</w:t>
        </w:r>
        <w:r>
          <w:rPr>
            <w:noProof/>
            <w:webHidden/>
          </w:rPr>
          <w:tab/>
        </w:r>
        <w:r>
          <w:rPr>
            <w:noProof/>
            <w:webHidden/>
          </w:rPr>
          <w:fldChar w:fldCharType="begin"/>
        </w:r>
        <w:r>
          <w:rPr>
            <w:noProof/>
            <w:webHidden/>
          </w:rPr>
          <w:instrText xml:space="preserve"> PAGEREF _Toc421880679 \h </w:instrText>
        </w:r>
        <w:r>
          <w:rPr>
            <w:noProof/>
            <w:webHidden/>
          </w:rPr>
        </w:r>
        <w:r>
          <w:rPr>
            <w:noProof/>
            <w:webHidden/>
          </w:rPr>
          <w:fldChar w:fldCharType="separate"/>
        </w:r>
        <w:r>
          <w:rPr>
            <w:noProof/>
            <w:webHidden/>
          </w:rPr>
          <w:t>69</w:t>
        </w:r>
        <w:r>
          <w:rPr>
            <w:noProof/>
            <w:webHidden/>
          </w:rPr>
          <w:fldChar w:fldCharType="end"/>
        </w:r>
      </w:hyperlink>
    </w:p>
    <w:p w14:paraId="5D136E8B" w14:textId="77777777" w:rsidR="001655CC" w:rsidRDefault="001655CC">
      <w:pPr>
        <w:pStyle w:val="TOC2"/>
        <w:tabs>
          <w:tab w:val="left" w:pos="1531"/>
        </w:tabs>
        <w:rPr>
          <w:rFonts w:asciiTheme="minorHAnsi" w:eastAsiaTheme="minorEastAsia" w:hAnsiTheme="minorHAnsi" w:cstheme="minorBidi"/>
          <w:b w:val="0"/>
          <w:noProof/>
          <w:color w:val="auto"/>
          <w:sz w:val="22"/>
          <w:szCs w:val="22"/>
          <w:lang w:eastAsia="en-GB"/>
        </w:rPr>
      </w:pPr>
      <w:hyperlink w:anchor="_Toc421880680" w:history="1">
        <w:r w:rsidRPr="002C1EF0">
          <w:rPr>
            <w:rStyle w:val="Hyperlink"/>
            <w:noProof/>
          </w:rPr>
          <w:t>Annex 2</w:t>
        </w:r>
        <w:r>
          <w:rPr>
            <w:rFonts w:asciiTheme="minorHAnsi" w:eastAsiaTheme="minorEastAsia" w:hAnsiTheme="minorHAnsi" w:cstheme="minorBidi"/>
            <w:b w:val="0"/>
            <w:noProof/>
            <w:color w:val="auto"/>
            <w:sz w:val="22"/>
            <w:szCs w:val="22"/>
            <w:lang w:eastAsia="en-GB"/>
          </w:rPr>
          <w:tab/>
        </w:r>
        <w:r w:rsidRPr="002C1EF0">
          <w:rPr>
            <w:rStyle w:val="Hyperlink"/>
            <w:noProof/>
          </w:rPr>
          <w:t>Review of EU funds</w:t>
        </w:r>
        <w:r>
          <w:rPr>
            <w:noProof/>
            <w:webHidden/>
          </w:rPr>
          <w:tab/>
        </w:r>
        <w:r>
          <w:rPr>
            <w:noProof/>
            <w:webHidden/>
          </w:rPr>
          <w:fldChar w:fldCharType="begin"/>
        </w:r>
        <w:r>
          <w:rPr>
            <w:noProof/>
            <w:webHidden/>
          </w:rPr>
          <w:instrText xml:space="preserve"> PAGEREF _Toc421880680 \h </w:instrText>
        </w:r>
        <w:r>
          <w:rPr>
            <w:noProof/>
            <w:webHidden/>
          </w:rPr>
        </w:r>
        <w:r>
          <w:rPr>
            <w:noProof/>
            <w:webHidden/>
          </w:rPr>
          <w:fldChar w:fldCharType="separate"/>
        </w:r>
        <w:r>
          <w:rPr>
            <w:noProof/>
            <w:webHidden/>
          </w:rPr>
          <w:t>87</w:t>
        </w:r>
        <w:r>
          <w:rPr>
            <w:noProof/>
            <w:webHidden/>
          </w:rPr>
          <w:fldChar w:fldCharType="end"/>
        </w:r>
      </w:hyperlink>
    </w:p>
    <w:p w14:paraId="4D84BFFC" w14:textId="77777777" w:rsidR="001655CC" w:rsidRDefault="001655CC">
      <w:pPr>
        <w:pStyle w:val="TOC5"/>
        <w:tabs>
          <w:tab w:val="right" w:leader="dot" w:pos="9061"/>
        </w:tabs>
        <w:rPr>
          <w:rFonts w:asciiTheme="minorHAnsi" w:eastAsiaTheme="minorEastAsia" w:hAnsiTheme="minorHAnsi" w:cstheme="minorBidi"/>
          <w:noProof/>
          <w:sz w:val="22"/>
          <w:szCs w:val="22"/>
          <w:lang w:eastAsia="en-GB"/>
        </w:rPr>
      </w:pPr>
      <w:hyperlink w:anchor="_Toc421880681" w:history="1">
        <w:r w:rsidRPr="002C1EF0">
          <w:rPr>
            <w:rStyle w:val="Hyperlink"/>
            <w:noProof/>
          </w:rPr>
          <w:t>European Agricultural Fund for Rural Development</w:t>
        </w:r>
        <w:r>
          <w:rPr>
            <w:noProof/>
            <w:webHidden/>
          </w:rPr>
          <w:tab/>
        </w:r>
        <w:r>
          <w:rPr>
            <w:noProof/>
            <w:webHidden/>
          </w:rPr>
          <w:fldChar w:fldCharType="begin"/>
        </w:r>
        <w:r>
          <w:rPr>
            <w:noProof/>
            <w:webHidden/>
          </w:rPr>
          <w:instrText xml:space="preserve"> PAGEREF _Toc421880681 \h </w:instrText>
        </w:r>
        <w:r>
          <w:rPr>
            <w:noProof/>
            <w:webHidden/>
          </w:rPr>
        </w:r>
        <w:r>
          <w:rPr>
            <w:noProof/>
            <w:webHidden/>
          </w:rPr>
          <w:fldChar w:fldCharType="separate"/>
        </w:r>
        <w:r>
          <w:rPr>
            <w:noProof/>
            <w:webHidden/>
          </w:rPr>
          <w:t>87</w:t>
        </w:r>
        <w:r>
          <w:rPr>
            <w:noProof/>
            <w:webHidden/>
          </w:rPr>
          <w:fldChar w:fldCharType="end"/>
        </w:r>
      </w:hyperlink>
    </w:p>
    <w:p w14:paraId="78C5F931" w14:textId="77777777" w:rsidR="001655CC" w:rsidRDefault="001655CC">
      <w:pPr>
        <w:pStyle w:val="TOC5"/>
        <w:tabs>
          <w:tab w:val="right" w:leader="dot" w:pos="9061"/>
        </w:tabs>
        <w:rPr>
          <w:rFonts w:asciiTheme="minorHAnsi" w:eastAsiaTheme="minorEastAsia" w:hAnsiTheme="minorHAnsi" w:cstheme="minorBidi"/>
          <w:noProof/>
          <w:sz w:val="22"/>
          <w:szCs w:val="22"/>
          <w:lang w:eastAsia="en-GB"/>
        </w:rPr>
      </w:pPr>
      <w:hyperlink w:anchor="_Toc421880682" w:history="1">
        <w:r w:rsidRPr="002C1EF0">
          <w:rPr>
            <w:rStyle w:val="Hyperlink"/>
            <w:noProof/>
          </w:rPr>
          <w:t>Common Agricultural Policy – Direct Payments to Farmers</w:t>
        </w:r>
        <w:r>
          <w:rPr>
            <w:noProof/>
            <w:webHidden/>
          </w:rPr>
          <w:tab/>
        </w:r>
        <w:r>
          <w:rPr>
            <w:noProof/>
            <w:webHidden/>
          </w:rPr>
          <w:fldChar w:fldCharType="begin"/>
        </w:r>
        <w:r>
          <w:rPr>
            <w:noProof/>
            <w:webHidden/>
          </w:rPr>
          <w:instrText xml:space="preserve"> PAGEREF _Toc421880682 \h </w:instrText>
        </w:r>
        <w:r>
          <w:rPr>
            <w:noProof/>
            <w:webHidden/>
          </w:rPr>
        </w:r>
        <w:r>
          <w:rPr>
            <w:noProof/>
            <w:webHidden/>
          </w:rPr>
          <w:fldChar w:fldCharType="separate"/>
        </w:r>
        <w:r>
          <w:rPr>
            <w:noProof/>
            <w:webHidden/>
          </w:rPr>
          <w:t>90</w:t>
        </w:r>
        <w:r>
          <w:rPr>
            <w:noProof/>
            <w:webHidden/>
          </w:rPr>
          <w:fldChar w:fldCharType="end"/>
        </w:r>
      </w:hyperlink>
    </w:p>
    <w:p w14:paraId="5DF5B40D" w14:textId="77777777" w:rsidR="001655CC" w:rsidRDefault="001655CC">
      <w:pPr>
        <w:pStyle w:val="TOC5"/>
        <w:tabs>
          <w:tab w:val="right" w:leader="dot" w:pos="9061"/>
        </w:tabs>
        <w:rPr>
          <w:rFonts w:asciiTheme="minorHAnsi" w:eastAsiaTheme="minorEastAsia" w:hAnsiTheme="minorHAnsi" w:cstheme="minorBidi"/>
          <w:noProof/>
          <w:sz w:val="22"/>
          <w:szCs w:val="22"/>
          <w:lang w:eastAsia="en-GB"/>
        </w:rPr>
      </w:pPr>
      <w:hyperlink w:anchor="_Toc421880683" w:history="1">
        <w:r w:rsidRPr="002C1EF0">
          <w:rPr>
            <w:rStyle w:val="Hyperlink"/>
            <w:noProof/>
          </w:rPr>
          <w:t>European Maritime and Fisheries Fund</w:t>
        </w:r>
        <w:r>
          <w:rPr>
            <w:noProof/>
            <w:webHidden/>
          </w:rPr>
          <w:tab/>
        </w:r>
        <w:r>
          <w:rPr>
            <w:noProof/>
            <w:webHidden/>
          </w:rPr>
          <w:fldChar w:fldCharType="begin"/>
        </w:r>
        <w:r>
          <w:rPr>
            <w:noProof/>
            <w:webHidden/>
          </w:rPr>
          <w:instrText xml:space="preserve"> PAGEREF _Toc421880683 \h </w:instrText>
        </w:r>
        <w:r>
          <w:rPr>
            <w:noProof/>
            <w:webHidden/>
          </w:rPr>
        </w:r>
        <w:r>
          <w:rPr>
            <w:noProof/>
            <w:webHidden/>
          </w:rPr>
          <w:fldChar w:fldCharType="separate"/>
        </w:r>
        <w:r>
          <w:rPr>
            <w:noProof/>
            <w:webHidden/>
          </w:rPr>
          <w:t>90</w:t>
        </w:r>
        <w:r>
          <w:rPr>
            <w:noProof/>
            <w:webHidden/>
          </w:rPr>
          <w:fldChar w:fldCharType="end"/>
        </w:r>
      </w:hyperlink>
    </w:p>
    <w:p w14:paraId="36093C40" w14:textId="77777777" w:rsidR="001655CC" w:rsidRDefault="001655CC">
      <w:pPr>
        <w:pStyle w:val="TOC5"/>
        <w:tabs>
          <w:tab w:val="right" w:leader="dot" w:pos="9061"/>
        </w:tabs>
        <w:rPr>
          <w:rFonts w:asciiTheme="minorHAnsi" w:eastAsiaTheme="minorEastAsia" w:hAnsiTheme="minorHAnsi" w:cstheme="minorBidi"/>
          <w:noProof/>
          <w:sz w:val="22"/>
          <w:szCs w:val="22"/>
          <w:lang w:eastAsia="en-GB"/>
        </w:rPr>
      </w:pPr>
      <w:hyperlink w:anchor="_Toc421880684" w:history="1">
        <w:r w:rsidRPr="002C1EF0">
          <w:rPr>
            <w:rStyle w:val="Hyperlink"/>
            <w:noProof/>
          </w:rPr>
          <w:t>European Regional Development Fund</w:t>
        </w:r>
        <w:r>
          <w:rPr>
            <w:noProof/>
            <w:webHidden/>
          </w:rPr>
          <w:tab/>
        </w:r>
        <w:r>
          <w:rPr>
            <w:noProof/>
            <w:webHidden/>
          </w:rPr>
          <w:fldChar w:fldCharType="begin"/>
        </w:r>
        <w:r>
          <w:rPr>
            <w:noProof/>
            <w:webHidden/>
          </w:rPr>
          <w:instrText xml:space="preserve"> PAGEREF _Toc421880684 \h </w:instrText>
        </w:r>
        <w:r>
          <w:rPr>
            <w:noProof/>
            <w:webHidden/>
          </w:rPr>
        </w:r>
        <w:r>
          <w:rPr>
            <w:noProof/>
            <w:webHidden/>
          </w:rPr>
          <w:fldChar w:fldCharType="separate"/>
        </w:r>
        <w:r>
          <w:rPr>
            <w:noProof/>
            <w:webHidden/>
          </w:rPr>
          <w:t>92</w:t>
        </w:r>
        <w:r>
          <w:rPr>
            <w:noProof/>
            <w:webHidden/>
          </w:rPr>
          <w:fldChar w:fldCharType="end"/>
        </w:r>
      </w:hyperlink>
    </w:p>
    <w:p w14:paraId="1B5941D0" w14:textId="77777777" w:rsidR="001655CC" w:rsidRDefault="001655CC">
      <w:pPr>
        <w:pStyle w:val="TOC5"/>
        <w:tabs>
          <w:tab w:val="right" w:leader="dot" w:pos="9061"/>
        </w:tabs>
        <w:rPr>
          <w:rFonts w:asciiTheme="minorHAnsi" w:eastAsiaTheme="minorEastAsia" w:hAnsiTheme="minorHAnsi" w:cstheme="minorBidi"/>
          <w:noProof/>
          <w:sz w:val="22"/>
          <w:szCs w:val="22"/>
          <w:lang w:eastAsia="en-GB"/>
        </w:rPr>
      </w:pPr>
      <w:hyperlink w:anchor="_Toc421880685" w:history="1">
        <w:r w:rsidRPr="002C1EF0">
          <w:rPr>
            <w:rStyle w:val="Hyperlink"/>
            <w:noProof/>
          </w:rPr>
          <w:t>ERDF: Ireland-Wales Territorial Cooperation Programme</w:t>
        </w:r>
        <w:r>
          <w:rPr>
            <w:noProof/>
            <w:webHidden/>
          </w:rPr>
          <w:tab/>
        </w:r>
        <w:r>
          <w:rPr>
            <w:noProof/>
            <w:webHidden/>
          </w:rPr>
          <w:fldChar w:fldCharType="begin"/>
        </w:r>
        <w:r>
          <w:rPr>
            <w:noProof/>
            <w:webHidden/>
          </w:rPr>
          <w:instrText xml:space="preserve"> PAGEREF _Toc421880685 \h </w:instrText>
        </w:r>
        <w:r>
          <w:rPr>
            <w:noProof/>
            <w:webHidden/>
          </w:rPr>
        </w:r>
        <w:r>
          <w:rPr>
            <w:noProof/>
            <w:webHidden/>
          </w:rPr>
          <w:fldChar w:fldCharType="separate"/>
        </w:r>
        <w:r>
          <w:rPr>
            <w:noProof/>
            <w:webHidden/>
          </w:rPr>
          <w:t>93</w:t>
        </w:r>
        <w:r>
          <w:rPr>
            <w:noProof/>
            <w:webHidden/>
          </w:rPr>
          <w:fldChar w:fldCharType="end"/>
        </w:r>
      </w:hyperlink>
    </w:p>
    <w:p w14:paraId="4A3E84E1" w14:textId="77777777" w:rsidR="001655CC" w:rsidRDefault="001655CC">
      <w:pPr>
        <w:pStyle w:val="TOC5"/>
        <w:tabs>
          <w:tab w:val="right" w:leader="dot" w:pos="9061"/>
        </w:tabs>
        <w:rPr>
          <w:rFonts w:asciiTheme="minorHAnsi" w:eastAsiaTheme="minorEastAsia" w:hAnsiTheme="minorHAnsi" w:cstheme="minorBidi"/>
          <w:noProof/>
          <w:sz w:val="22"/>
          <w:szCs w:val="22"/>
          <w:lang w:eastAsia="en-GB"/>
        </w:rPr>
      </w:pPr>
      <w:hyperlink w:anchor="_Toc421880686" w:history="1">
        <w:r w:rsidRPr="002C1EF0">
          <w:rPr>
            <w:rStyle w:val="Hyperlink"/>
            <w:noProof/>
          </w:rPr>
          <w:t>European Social Fund</w:t>
        </w:r>
        <w:r>
          <w:rPr>
            <w:noProof/>
            <w:webHidden/>
          </w:rPr>
          <w:tab/>
        </w:r>
        <w:r>
          <w:rPr>
            <w:noProof/>
            <w:webHidden/>
          </w:rPr>
          <w:fldChar w:fldCharType="begin"/>
        </w:r>
        <w:r>
          <w:rPr>
            <w:noProof/>
            <w:webHidden/>
          </w:rPr>
          <w:instrText xml:space="preserve"> PAGEREF _Toc421880686 \h </w:instrText>
        </w:r>
        <w:r>
          <w:rPr>
            <w:noProof/>
            <w:webHidden/>
          </w:rPr>
        </w:r>
        <w:r>
          <w:rPr>
            <w:noProof/>
            <w:webHidden/>
          </w:rPr>
          <w:fldChar w:fldCharType="separate"/>
        </w:r>
        <w:r>
          <w:rPr>
            <w:noProof/>
            <w:webHidden/>
          </w:rPr>
          <w:t>95</w:t>
        </w:r>
        <w:r>
          <w:rPr>
            <w:noProof/>
            <w:webHidden/>
          </w:rPr>
          <w:fldChar w:fldCharType="end"/>
        </w:r>
      </w:hyperlink>
    </w:p>
    <w:p w14:paraId="5B7C8E0B" w14:textId="77777777" w:rsidR="001655CC" w:rsidRDefault="001655CC">
      <w:pPr>
        <w:pStyle w:val="TOC5"/>
        <w:tabs>
          <w:tab w:val="right" w:leader="dot" w:pos="9061"/>
        </w:tabs>
        <w:rPr>
          <w:rFonts w:asciiTheme="minorHAnsi" w:eastAsiaTheme="minorEastAsia" w:hAnsiTheme="minorHAnsi" w:cstheme="minorBidi"/>
          <w:noProof/>
          <w:sz w:val="22"/>
          <w:szCs w:val="22"/>
          <w:lang w:eastAsia="en-GB"/>
        </w:rPr>
      </w:pPr>
      <w:hyperlink w:anchor="_Toc421880687" w:history="1">
        <w:r w:rsidRPr="002C1EF0">
          <w:rPr>
            <w:rStyle w:val="Hyperlink"/>
            <w:noProof/>
          </w:rPr>
          <w:t>Horizon 2020</w:t>
        </w:r>
        <w:r>
          <w:rPr>
            <w:noProof/>
            <w:webHidden/>
          </w:rPr>
          <w:tab/>
        </w:r>
        <w:r>
          <w:rPr>
            <w:noProof/>
            <w:webHidden/>
          </w:rPr>
          <w:fldChar w:fldCharType="begin"/>
        </w:r>
        <w:r>
          <w:rPr>
            <w:noProof/>
            <w:webHidden/>
          </w:rPr>
          <w:instrText xml:space="preserve"> PAGEREF _Toc421880687 \h </w:instrText>
        </w:r>
        <w:r>
          <w:rPr>
            <w:noProof/>
            <w:webHidden/>
          </w:rPr>
        </w:r>
        <w:r>
          <w:rPr>
            <w:noProof/>
            <w:webHidden/>
          </w:rPr>
          <w:fldChar w:fldCharType="separate"/>
        </w:r>
        <w:r>
          <w:rPr>
            <w:noProof/>
            <w:webHidden/>
          </w:rPr>
          <w:t>96</w:t>
        </w:r>
        <w:r>
          <w:rPr>
            <w:noProof/>
            <w:webHidden/>
          </w:rPr>
          <w:fldChar w:fldCharType="end"/>
        </w:r>
      </w:hyperlink>
    </w:p>
    <w:p w14:paraId="546221D3" w14:textId="77777777" w:rsidR="001655CC" w:rsidRDefault="001655CC">
      <w:pPr>
        <w:pStyle w:val="TOC5"/>
        <w:tabs>
          <w:tab w:val="right" w:leader="dot" w:pos="9061"/>
        </w:tabs>
        <w:rPr>
          <w:rFonts w:asciiTheme="minorHAnsi" w:eastAsiaTheme="minorEastAsia" w:hAnsiTheme="minorHAnsi" w:cstheme="minorBidi"/>
          <w:noProof/>
          <w:sz w:val="22"/>
          <w:szCs w:val="22"/>
          <w:lang w:eastAsia="en-GB"/>
        </w:rPr>
      </w:pPr>
      <w:hyperlink w:anchor="_Toc421880688" w:history="1">
        <w:r w:rsidRPr="002C1EF0">
          <w:rPr>
            <w:rStyle w:val="Hyperlink"/>
            <w:noProof/>
          </w:rPr>
          <w:t>LIFE</w:t>
        </w:r>
        <w:r>
          <w:rPr>
            <w:noProof/>
            <w:webHidden/>
          </w:rPr>
          <w:tab/>
        </w:r>
        <w:r>
          <w:rPr>
            <w:noProof/>
            <w:webHidden/>
          </w:rPr>
          <w:fldChar w:fldCharType="begin"/>
        </w:r>
        <w:r>
          <w:rPr>
            <w:noProof/>
            <w:webHidden/>
          </w:rPr>
          <w:instrText xml:space="preserve"> PAGEREF _Toc421880688 \h </w:instrText>
        </w:r>
        <w:r>
          <w:rPr>
            <w:noProof/>
            <w:webHidden/>
          </w:rPr>
        </w:r>
        <w:r>
          <w:rPr>
            <w:noProof/>
            <w:webHidden/>
          </w:rPr>
          <w:fldChar w:fldCharType="separate"/>
        </w:r>
        <w:r>
          <w:rPr>
            <w:noProof/>
            <w:webHidden/>
          </w:rPr>
          <w:t>97</w:t>
        </w:r>
        <w:r>
          <w:rPr>
            <w:noProof/>
            <w:webHidden/>
          </w:rPr>
          <w:fldChar w:fldCharType="end"/>
        </w:r>
      </w:hyperlink>
    </w:p>
    <w:p w14:paraId="53B86FB9" w14:textId="77777777" w:rsidR="001655CC" w:rsidRDefault="001655CC">
      <w:pPr>
        <w:pStyle w:val="TOC2"/>
        <w:tabs>
          <w:tab w:val="left" w:pos="1531"/>
        </w:tabs>
        <w:rPr>
          <w:rFonts w:asciiTheme="minorHAnsi" w:eastAsiaTheme="minorEastAsia" w:hAnsiTheme="minorHAnsi" w:cstheme="minorBidi"/>
          <w:b w:val="0"/>
          <w:noProof/>
          <w:color w:val="auto"/>
          <w:sz w:val="22"/>
          <w:szCs w:val="22"/>
          <w:lang w:eastAsia="en-GB"/>
        </w:rPr>
      </w:pPr>
      <w:hyperlink w:anchor="_Toc421880689" w:history="1">
        <w:r w:rsidRPr="002C1EF0">
          <w:rPr>
            <w:rStyle w:val="Hyperlink"/>
            <w:noProof/>
          </w:rPr>
          <w:t>Annex 3</w:t>
        </w:r>
        <w:r>
          <w:rPr>
            <w:rFonts w:asciiTheme="minorHAnsi" w:eastAsiaTheme="minorEastAsia" w:hAnsiTheme="minorHAnsi" w:cstheme="minorBidi"/>
            <w:b w:val="0"/>
            <w:noProof/>
            <w:color w:val="auto"/>
            <w:sz w:val="22"/>
            <w:szCs w:val="22"/>
            <w:lang w:eastAsia="en-GB"/>
          </w:rPr>
          <w:tab/>
        </w:r>
        <w:r w:rsidRPr="002C1EF0">
          <w:rPr>
            <w:rStyle w:val="Hyperlink"/>
            <w:noProof/>
          </w:rPr>
          <w:t>Review of other sector plans, strategies and public funds</w:t>
        </w:r>
        <w:r>
          <w:rPr>
            <w:noProof/>
            <w:webHidden/>
          </w:rPr>
          <w:tab/>
        </w:r>
        <w:r>
          <w:rPr>
            <w:noProof/>
            <w:webHidden/>
          </w:rPr>
          <w:fldChar w:fldCharType="begin"/>
        </w:r>
        <w:r>
          <w:rPr>
            <w:noProof/>
            <w:webHidden/>
          </w:rPr>
          <w:instrText xml:space="preserve"> PAGEREF _Toc421880689 \h </w:instrText>
        </w:r>
        <w:r>
          <w:rPr>
            <w:noProof/>
            <w:webHidden/>
          </w:rPr>
        </w:r>
        <w:r>
          <w:rPr>
            <w:noProof/>
            <w:webHidden/>
          </w:rPr>
          <w:fldChar w:fldCharType="separate"/>
        </w:r>
        <w:r>
          <w:rPr>
            <w:noProof/>
            <w:webHidden/>
          </w:rPr>
          <w:t>99</w:t>
        </w:r>
        <w:r>
          <w:rPr>
            <w:noProof/>
            <w:webHidden/>
          </w:rPr>
          <w:fldChar w:fldCharType="end"/>
        </w:r>
      </w:hyperlink>
    </w:p>
    <w:p w14:paraId="65A2DE67" w14:textId="77777777" w:rsidR="001655CC" w:rsidRDefault="001655CC">
      <w:pPr>
        <w:pStyle w:val="TOC5"/>
        <w:tabs>
          <w:tab w:val="right" w:leader="dot" w:pos="9061"/>
        </w:tabs>
        <w:rPr>
          <w:rFonts w:asciiTheme="minorHAnsi" w:eastAsiaTheme="minorEastAsia" w:hAnsiTheme="minorHAnsi" w:cstheme="minorBidi"/>
          <w:noProof/>
          <w:sz w:val="22"/>
          <w:szCs w:val="22"/>
          <w:lang w:eastAsia="en-GB"/>
        </w:rPr>
      </w:pPr>
      <w:hyperlink w:anchor="_Toc421880690" w:history="1">
        <w:r w:rsidRPr="002C1EF0">
          <w:rPr>
            <w:rStyle w:val="Hyperlink"/>
            <w:noProof/>
          </w:rPr>
          <w:t>River Basin Management</w:t>
        </w:r>
        <w:r>
          <w:rPr>
            <w:noProof/>
            <w:webHidden/>
          </w:rPr>
          <w:tab/>
        </w:r>
        <w:r>
          <w:rPr>
            <w:noProof/>
            <w:webHidden/>
          </w:rPr>
          <w:fldChar w:fldCharType="begin"/>
        </w:r>
        <w:r>
          <w:rPr>
            <w:noProof/>
            <w:webHidden/>
          </w:rPr>
          <w:instrText xml:space="preserve"> PAGEREF _Toc421880690 \h </w:instrText>
        </w:r>
        <w:r>
          <w:rPr>
            <w:noProof/>
            <w:webHidden/>
          </w:rPr>
        </w:r>
        <w:r>
          <w:rPr>
            <w:noProof/>
            <w:webHidden/>
          </w:rPr>
          <w:fldChar w:fldCharType="separate"/>
        </w:r>
        <w:r>
          <w:rPr>
            <w:noProof/>
            <w:webHidden/>
          </w:rPr>
          <w:t>99</w:t>
        </w:r>
        <w:r>
          <w:rPr>
            <w:noProof/>
            <w:webHidden/>
          </w:rPr>
          <w:fldChar w:fldCharType="end"/>
        </w:r>
      </w:hyperlink>
    </w:p>
    <w:p w14:paraId="343AF939" w14:textId="77777777" w:rsidR="001655CC" w:rsidRDefault="001655CC">
      <w:pPr>
        <w:pStyle w:val="TOC5"/>
        <w:tabs>
          <w:tab w:val="right" w:leader="dot" w:pos="9061"/>
        </w:tabs>
        <w:rPr>
          <w:rFonts w:asciiTheme="minorHAnsi" w:eastAsiaTheme="minorEastAsia" w:hAnsiTheme="minorHAnsi" w:cstheme="minorBidi"/>
          <w:noProof/>
          <w:sz w:val="22"/>
          <w:szCs w:val="22"/>
          <w:lang w:eastAsia="en-GB"/>
        </w:rPr>
      </w:pPr>
      <w:hyperlink w:anchor="_Toc421880691" w:history="1">
        <w:r w:rsidRPr="002C1EF0">
          <w:rPr>
            <w:rStyle w:val="Hyperlink"/>
            <w:noProof/>
          </w:rPr>
          <w:t>Flood and Coastal Erosion Risk Management (FCERM)</w:t>
        </w:r>
        <w:r>
          <w:rPr>
            <w:noProof/>
            <w:webHidden/>
          </w:rPr>
          <w:tab/>
        </w:r>
        <w:r>
          <w:rPr>
            <w:noProof/>
            <w:webHidden/>
          </w:rPr>
          <w:fldChar w:fldCharType="begin"/>
        </w:r>
        <w:r>
          <w:rPr>
            <w:noProof/>
            <w:webHidden/>
          </w:rPr>
          <w:instrText xml:space="preserve"> PAGEREF _Toc421880691 \h </w:instrText>
        </w:r>
        <w:r>
          <w:rPr>
            <w:noProof/>
            <w:webHidden/>
          </w:rPr>
        </w:r>
        <w:r>
          <w:rPr>
            <w:noProof/>
            <w:webHidden/>
          </w:rPr>
          <w:fldChar w:fldCharType="separate"/>
        </w:r>
        <w:r>
          <w:rPr>
            <w:noProof/>
            <w:webHidden/>
          </w:rPr>
          <w:t>99</w:t>
        </w:r>
        <w:r>
          <w:rPr>
            <w:noProof/>
            <w:webHidden/>
          </w:rPr>
          <w:fldChar w:fldCharType="end"/>
        </w:r>
      </w:hyperlink>
    </w:p>
    <w:p w14:paraId="5577D772" w14:textId="77777777" w:rsidR="001655CC" w:rsidRDefault="001655CC">
      <w:pPr>
        <w:pStyle w:val="TOC5"/>
        <w:tabs>
          <w:tab w:val="right" w:leader="dot" w:pos="9061"/>
        </w:tabs>
        <w:rPr>
          <w:rFonts w:asciiTheme="minorHAnsi" w:eastAsiaTheme="minorEastAsia" w:hAnsiTheme="minorHAnsi" w:cstheme="minorBidi"/>
          <w:noProof/>
          <w:sz w:val="22"/>
          <w:szCs w:val="22"/>
          <w:lang w:eastAsia="en-GB"/>
        </w:rPr>
      </w:pPr>
      <w:hyperlink w:anchor="_Toc421880692" w:history="1">
        <w:r w:rsidRPr="002C1EF0">
          <w:rPr>
            <w:rStyle w:val="Hyperlink"/>
            <w:noProof/>
          </w:rPr>
          <w:t>Marine planning and fisheries</w:t>
        </w:r>
        <w:r>
          <w:rPr>
            <w:noProof/>
            <w:webHidden/>
          </w:rPr>
          <w:tab/>
        </w:r>
        <w:r>
          <w:rPr>
            <w:noProof/>
            <w:webHidden/>
          </w:rPr>
          <w:fldChar w:fldCharType="begin"/>
        </w:r>
        <w:r>
          <w:rPr>
            <w:noProof/>
            <w:webHidden/>
          </w:rPr>
          <w:instrText xml:space="preserve"> PAGEREF _Toc421880692 \h </w:instrText>
        </w:r>
        <w:r>
          <w:rPr>
            <w:noProof/>
            <w:webHidden/>
          </w:rPr>
        </w:r>
        <w:r>
          <w:rPr>
            <w:noProof/>
            <w:webHidden/>
          </w:rPr>
          <w:fldChar w:fldCharType="separate"/>
        </w:r>
        <w:r>
          <w:rPr>
            <w:noProof/>
            <w:webHidden/>
          </w:rPr>
          <w:t>102</w:t>
        </w:r>
        <w:r>
          <w:rPr>
            <w:noProof/>
            <w:webHidden/>
          </w:rPr>
          <w:fldChar w:fldCharType="end"/>
        </w:r>
      </w:hyperlink>
    </w:p>
    <w:p w14:paraId="71912526" w14:textId="77777777" w:rsidR="001655CC" w:rsidRDefault="001655CC">
      <w:pPr>
        <w:pStyle w:val="TOC5"/>
        <w:tabs>
          <w:tab w:val="right" w:leader="dot" w:pos="9061"/>
        </w:tabs>
        <w:rPr>
          <w:rFonts w:asciiTheme="minorHAnsi" w:eastAsiaTheme="minorEastAsia" w:hAnsiTheme="minorHAnsi" w:cstheme="minorBidi"/>
          <w:noProof/>
          <w:sz w:val="22"/>
          <w:szCs w:val="22"/>
          <w:lang w:eastAsia="en-GB"/>
        </w:rPr>
      </w:pPr>
      <w:hyperlink w:anchor="_Toc421880693" w:history="1">
        <w:r w:rsidRPr="002C1EF0">
          <w:rPr>
            <w:rStyle w:val="Hyperlink"/>
            <w:noProof/>
          </w:rPr>
          <w:t>Woodland management</w:t>
        </w:r>
        <w:r>
          <w:rPr>
            <w:noProof/>
            <w:webHidden/>
          </w:rPr>
          <w:tab/>
        </w:r>
        <w:r>
          <w:rPr>
            <w:noProof/>
            <w:webHidden/>
          </w:rPr>
          <w:fldChar w:fldCharType="begin"/>
        </w:r>
        <w:r>
          <w:rPr>
            <w:noProof/>
            <w:webHidden/>
          </w:rPr>
          <w:instrText xml:space="preserve"> PAGEREF _Toc421880693 \h </w:instrText>
        </w:r>
        <w:r>
          <w:rPr>
            <w:noProof/>
            <w:webHidden/>
          </w:rPr>
        </w:r>
        <w:r>
          <w:rPr>
            <w:noProof/>
            <w:webHidden/>
          </w:rPr>
          <w:fldChar w:fldCharType="separate"/>
        </w:r>
        <w:r>
          <w:rPr>
            <w:noProof/>
            <w:webHidden/>
          </w:rPr>
          <w:t>103</w:t>
        </w:r>
        <w:r>
          <w:rPr>
            <w:noProof/>
            <w:webHidden/>
          </w:rPr>
          <w:fldChar w:fldCharType="end"/>
        </w:r>
      </w:hyperlink>
    </w:p>
    <w:p w14:paraId="684B22DB" w14:textId="77777777" w:rsidR="001655CC" w:rsidRDefault="001655CC">
      <w:pPr>
        <w:pStyle w:val="TOC5"/>
        <w:tabs>
          <w:tab w:val="right" w:leader="dot" w:pos="9061"/>
        </w:tabs>
        <w:rPr>
          <w:rFonts w:asciiTheme="minorHAnsi" w:eastAsiaTheme="minorEastAsia" w:hAnsiTheme="minorHAnsi" w:cstheme="minorBidi"/>
          <w:noProof/>
          <w:sz w:val="22"/>
          <w:szCs w:val="22"/>
          <w:lang w:eastAsia="en-GB"/>
        </w:rPr>
      </w:pPr>
      <w:hyperlink w:anchor="_Toc421880694" w:history="1">
        <w:r w:rsidRPr="002C1EF0">
          <w:rPr>
            <w:rStyle w:val="Hyperlink"/>
            <w:noProof/>
          </w:rPr>
          <w:t>Research grants</w:t>
        </w:r>
        <w:r>
          <w:rPr>
            <w:noProof/>
            <w:webHidden/>
          </w:rPr>
          <w:tab/>
        </w:r>
        <w:r>
          <w:rPr>
            <w:noProof/>
            <w:webHidden/>
          </w:rPr>
          <w:fldChar w:fldCharType="begin"/>
        </w:r>
        <w:r>
          <w:rPr>
            <w:noProof/>
            <w:webHidden/>
          </w:rPr>
          <w:instrText xml:space="preserve"> PAGEREF _Toc421880694 \h </w:instrText>
        </w:r>
        <w:r>
          <w:rPr>
            <w:noProof/>
            <w:webHidden/>
          </w:rPr>
        </w:r>
        <w:r>
          <w:rPr>
            <w:noProof/>
            <w:webHidden/>
          </w:rPr>
          <w:fldChar w:fldCharType="separate"/>
        </w:r>
        <w:r>
          <w:rPr>
            <w:noProof/>
            <w:webHidden/>
          </w:rPr>
          <w:t>104</w:t>
        </w:r>
        <w:r>
          <w:rPr>
            <w:noProof/>
            <w:webHidden/>
          </w:rPr>
          <w:fldChar w:fldCharType="end"/>
        </w:r>
      </w:hyperlink>
    </w:p>
    <w:p w14:paraId="258515BC" w14:textId="77777777" w:rsidR="001655CC" w:rsidRDefault="001655CC">
      <w:pPr>
        <w:pStyle w:val="TOC2"/>
        <w:tabs>
          <w:tab w:val="left" w:pos="1531"/>
        </w:tabs>
        <w:rPr>
          <w:rFonts w:asciiTheme="minorHAnsi" w:eastAsiaTheme="minorEastAsia" w:hAnsiTheme="minorHAnsi" w:cstheme="minorBidi"/>
          <w:b w:val="0"/>
          <w:noProof/>
          <w:color w:val="auto"/>
          <w:sz w:val="22"/>
          <w:szCs w:val="22"/>
          <w:lang w:eastAsia="en-GB"/>
        </w:rPr>
      </w:pPr>
      <w:hyperlink w:anchor="_Toc421880695" w:history="1">
        <w:r w:rsidRPr="002C1EF0">
          <w:rPr>
            <w:rStyle w:val="Hyperlink"/>
            <w:noProof/>
          </w:rPr>
          <w:t>Annex 4</w:t>
        </w:r>
        <w:r>
          <w:rPr>
            <w:rFonts w:asciiTheme="minorHAnsi" w:eastAsiaTheme="minorEastAsia" w:hAnsiTheme="minorHAnsi" w:cstheme="minorBidi"/>
            <w:b w:val="0"/>
            <w:noProof/>
            <w:color w:val="auto"/>
            <w:sz w:val="22"/>
            <w:szCs w:val="22"/>
            <w:lang w:eastAsia="en-GB"/>
          </w:rPr>
          <w:tab/>
        </w:r>
        <w:r w:rsidRPr="002C1EF0">
          <w:rPr>
            <w:rStyle w:val="Hyperlink"/>
            <w:noProof/>
          </w:rPr>
          <w:t>Review of Private, Lottery and Voluntary Sector Funds</w:t>
        </w:r>
        <w:r>
          <w:rPr>
            <w:noProof/>
            <w:webHidden/>
          </w:rPr>
          <w:tab/>
        </w:r>
        <w:r>
          <w:rPr>
            <w:noProof/>
            <w:webHidden/>
          </w:rPr>
          <w:fldChar w:fldCharType="begin"/>
        </w:r>
        <w:r>
          <w:rPr>
            <w:noProof/>
            <w:webHidden/>
          </w:rPr>
          <w:instrText xml:space="preserve"> PAGEREF _Toc421880695 \h </w:instrText>
        </w:r>
        <w:r>
          <w:rPr>
            <w:noProof/>
            <w:webHidden/>
          </w:rPr>
        </w:r>
        <w:r>
          <w:rPr>
            <w:noProof/>
            <w:webHidden/>
          </w:rPr>
          <w:fldChar w:fldCharType="separate"/>
        </w:r>
        <w:r>
          <w:rPr>
            <w:noProof/>
            <w:webHidden/>
          </w:rPr>
          <w:t>106</w:t>
        </w:r>
        <w:r>
          <w:rPr>
            <w:noProof/>
            <w:webHidden/>
          </w:rPr>
          <w:fldChar w:fldCharType="end"/>
        </w:r>
      </w:hyperlink>
    </w:p>
    <w:p w14:paraId="7D9F8F88" w14:textId="77777777" w:rsidR="001655CC" w:rsidRDefault="001655CC">
      <w:pPr>
        <w:pStyle w:val="TOC5"/>
        <w:tabs>
          <w:tab w:val="right" w:leader="dot" w:pos="9061"/>
        </w:tabs>
        <w:rPr>
          <w:rFonts w:asciiTheme="minorHAnsi" w:eastAsiaTheme="minorEastAsia" w:hAnsiTheme="minorHAnsi" w:cstheme="minorBidi"/>
          <w:noProof/>
          <w:sz w:val="22"/>
          <w:szCs w:val="22"/>
          <w:lang w:eastAsia="en-GB"/>
        </w:rPr>
      </w:pPr>
      <w:hyperlink w:anchor="_Toc421880696" w:history="1">
        <w:r w:rsidRPr="002C1EF0">
          <w:rPr>
            <w:rStyle w:val="Hyperlink"/>
            <w:noProof/>
          </w:rPr>
          <w:t>Private, Lottery and Voluntary funds: conservation and landscape</w:t>
        </w:r>
        <w:r>
          <w:rPr>
            <w:noProof/>
            <w:webHidden/>
          </w:rPr>
          <w:tab/>
        </w:r>
        <w:r>
          <w:rPr>
            <w:noProof/>
            <w:webHidden/>
          </w:rPr>
          <w:fldChar w:fldCharType="begin"/>
        </w:r>
        <w:r>
          <w:rPr>
            <w:noProof/>
            <w:webHidden/>
          </w:rPr>
          <w:instrText xml:space="preserve"> PAGEREF _Toc421880696 \h </w:instrText>
        </w:r>
        <w:r>
          <w:rPr>
            <w:noProof/>
            <w:webHidden/>
          </w:rPr>
        </w:r>
        <w:r>
          <w:rPr>
            <w:noProof/>
            <w:webHidden/>
          </w:rPr>
          <w:fldChar w:fldCharType="separate"/>
        </w:r>
        <w:r>
          <w:rPr>
            <w:noProof/>
            <w:webHidden/>
          </w:rPr>
          <w:t>106</w:t>
        </w:r>
        <w:r>
          <w:rPr>
            <w:noProof/>
            <w:webHidden/>
          </w:rPr>
          <w:fldChar w:fldCharType="end"/>
        </w:r>
      </w:hyperlink>
    </w:p>
    <w:p w14:paraId="6D52441F" w14:textId="77777777" w:rsidR="001655CC" w:rsidRDefault="001655CC">
      <w:pPr>
        <w:pStyle w:val="TOC5"/>
        <w:tabs>
          <w:tab w:val="right" w:leader="dot" w:pos="9061"/>
        </w:tabs>
        <w:rPr>
          <w:rFonts w:asciiTheme="minorHAnsi" w:eastAsiaTheme="minorEastAsia" w:hAnsiTheme="minorHAnsi" w:cstheme="minorBidi"/>
          <w:noProof/>
          <w:sz w:val="22"/>
          <w:szCs w:val="22"/>
          <w:lang w:eastAsia="en-GB"/>
        </w:rPr>
      </w:pPr>
      <w:hyperlink w:anchor="_Toc421880697" w:history="1">
        <w:r w:rsidRPr="002C1EF0">
          <w:rPr>
            <w:rStyle w:val="Hyperlink"/>
            <w:noProof/>
          </w:rPr>
          <w:t>Private, Lottery and Voluntary funds: skills, education and community</w:t>
        </w:r>
        <w:r>
          <w:rPr>
            <w:noProof/>
            <w:webHidden/>
          </w:rPr>
          <w:tab/>
        </w:r>
        <w:r>
          <w:rPr>
            <w:noProof/>
            <w:webHidden/>
          </w:rPr>
          <w:fldChar w:fldCharType="begin"/>
        </w:r>
        <w:r>
          <w:rPr>
            <w:noProof/>
            <w:webHidden/>
          </w:rPr>
          <w:instrText xml:space="preserve"> PAGEREF _Toc421880697 \h </w:instrText>
        </w:r>
        <w:r>
          <w:rPr>
            <w:noProof/>
            <w:webHidden/>
          </w:rPr>
        </w:r>
        <w:r>
          <w:rPr>
            <w:noProof/>
            <w:webHidden/>
          </w:rPr>
          <w:fldChar w:fldCharType="separate"/>
        </w:r>
        <w:r>
          <w:rPr>
            <w:noProof/>
            <w:webHidden/>
          </w:rPr>
          <w:t>107</w:t>
        </w:r>
        <w:r>
          <w:rPr>
            <w:noProof/>
            <w:webHidden/>
          </w:rPr>
          <w:fldChar w:fldCharType="end"/>
        </w:r>
      </w:hyperlink>
    </w:p>
    <w:p w14:paraId="080C52E0" w14:textId="77777777" w:rsidR="001655CC" w:rsidRDefault="001655CC">
      <w:pPr>
        <w:pStyle w:val="TOC5"/>
        <w:tabs>
          <w:tab w:val="right" w:leader="dot" w:pos="9061"/>
        </w:tabs>
        <w:rPr>
          <w:rFonts w:asciiTheme="minorHAnsi" w:eastAsiaTheme="minorEastAsia" w:hAnsiTheme="minorHAnsi" w:cstheme="minorBidi"/>
          <w:noProof/>
          <w:sz w:val="22"/>
          <w:szCs w:val="22"/>
          <w:lang w:eastAsia="en-GB"/>
        </w:rPr>
      </w:pPr>
      <w:hyperlink w:anchor="_Toc421880698" w:history="1">
        <w:r w:rsidRPr="002C1EF0">
          <w:rPr>
            <w:rStyle w:val="Hyperlink"/>
            <w:noProof/>
          </w:rPr>
          <w:t>Landfill Communities Fund</w:t>
        </w:r>
        <w:r>
          <w:rPr>
            <w:noProof/>
            <w:webHidden/>
          </w:rPr>
          <w:tab/>
        </w:r>
        <w:r>
          <w:rPr>
            <w:noProof/>
            <w:webHidden/>
          </w:rPr>
          <w:fldChar w:fldCharType="begin"/>
        </w:r>
        <w:r>
          <w:rPr>
            <w:noProof/>
            <w:webHidden/>
          </w:rPr>
          <w:instrText xml:space="preserve"> PAGEREF _Toc421880698 \h </w:instrText>
        </w:r>
        <w:r>
          <w:rPr>
            <w:noProof/>
            <w:webHidden/>
          </w:rPr>
        </w:r>
        <w:r>
          <w:rPr>
            <w:noProof/>
            <w:webHidden/>
          </w:rPr>
          <w:fldChar w:fldCharType="separate"/>
        </w:r>
        <w:r>
          <w:rPr>
            <w:noProof/>
            <w:webHidden/>
          </w:rPr>
          <w:t>107</w:t>
        </w:r>
        <w:r>
          <w:rPr>
            <w:noProof/>
            <w:webHidden/>
          </w:rPr>
          <w:fldChar w:fldCharType="end"/>
        </w:r>
      </w:hyperlink>
    </w:p>
    <w:p w14:paraId="5BD4075B" w14:textId="77777777" w:rsidR="001655CC" w:rsidRDefault="001655CC">
      <w:pPr>
        <w:pStyle w:val="TOC2"/>
        <w:tabs>
          <w:tab w:val="left" w:pos="1531"/>
        </w:tabs>
        <w:rPr>
          <w:rFonts w:asciiTheme="minorHAnsi" w:eastAsiaTheme="minorEastAsia" w:hAnsiTheme="minorHAnsi" w:cstheme="minorBidi"/>
          <w:b w:val="0"/>
          <w:noProof/>
          <w:color w:val="auto"/>
          <w:sz w:val="22"/>
          <w:szCs w:val="22"/>
          <w:lang w:eastAsia="en-GB"/>
        </w:rPr>
      </w:pPr>
      <w:hyperlink w:anchor="_Toc421880699" w:history="1">
        <w:r w:rsidRPr="002C1EF0">
          <w:rPr>
            <w:rStyle w:val="Hyperlink"/>
            <w:noProof/>
          </w:rPr>
          <w:t>Annex 5</w:t>
        </w:r>
        <w:r>
          <w:rPr>
            <w:rFonts w:asciiTheme="minorHAnsi" w:eastAsiaTheme="minorEastAsia" w:hAnsiTheme="minorHAnsi" w:cstheme="minorBidi"/>
            <w:b w:val="0"/>
            <w:noProof/>
            <w:color w:val="auto"/>
            <w:sz w:val="22"/>
            <w:szCs w:val="22"/>
            <w:lang w:eastAsia="en-GB"/>
          </w:rPr>
          <w:tab/>
        </w:r>
        <w:r w:rsidRPr="002C1EF0">
          <w:rPr>
            <w:rStyle w:val="Hyperlink"/>
            <w:noProof/>
          </w:rPr>
          <w:t>Review of alternative funding sources</w:t>
        </w:r>
        <w:r>
          <w:rPr>
            <w:noProof/>
            <w:webHidden/>
          </w:rPr>
          <w:tab/>
        </w:r>
        <w:r>
          <w:rPr>
            <w:noProof/>
            <w:webHidden/>
          </w:rPr>
          <w:fldChar w:fldCharType="begin"/>
        </w:r>
        <w:r>
          <w:rPr>
            <w:noProof/>
            <w:webHidden/>
          </w:rPr>
          <w:instrText xml:space="preserve"> PAGEREF _Toc421880699 \h </w:instrText>
        </w:r>
        <w:r>
          <w:rPr>
            <w:noProof/>
            <w:webHidden/>
          </w:rPr>
        </w:r>
        <w:r>
          <w:rPr>
            <w:noProof/>
            <w:webHidden/>
          </w:rPr>
          <w:fldChar w:fldCharType="separate"/>
        </w:r>
        <w:r>
          <w:rPr>
            <w:noProof/>
            <w:webHidden/>
          </w:rPr>
          <w:t>109</w:t>
        </w:r>
        <w:r>
          <w:rPr>
            <w:noProof/>
            <w:webHidden/>
          </w:rPr>
          <w:fldChar w:fldCharType="end"/>
        </w:r>
      </w:hyperlink>
    </w:p>
    <w:p w14:paraId="702B1FCC" w14:textId="77777777" w:rsidR="001655CC" w:rsidRDefault="001655CC">
      <w:pPr>
        <w:pStyle w:val="TOC5"/>
        <w:tabs>
          <w:tab w:val="right" w:leader="dot" w:pos="9061"/>
        </w:tabs>
        <w:rPr>
          <w:rFonts w:asciiTheme="minorHAnsi" w:eastAsiaTheme="minorEastAsia" w:hAnsiTheme="minorHAnsi" w:cstheme="minorBidi"/>
          <w:noProof/>
          <w:sz w:val="22"/>
          <w:szCs w:val="22"/>
          <w:lang w:eastAsia="en-GB"/>
        </w:rPr>
      </w:pPr>
      <w:hyperlink w:anchor="_Toc421880700" w:history="1">
        <w:r w:rsidRPr="002C1EF0">
          <w:rPr>
            <w:rStyle w:val="Hyperlink"/>
            <w:noProof/>
          </w:rPr>
          <w:t>Ecological compensation</w:t>
        </w:r>
        <w:r>
          <w:rPr>
            <w:noProof/>
            <w:webHidden/>
          </w:rPr>
          <w:tab/>
        </w:r>
        <w:r>
          <w:rPr>
            <w:noProof/>
            <w:webHidden/>
          </w:rPr>
          <w:fldChar w:fldCharType="begin"/>
        </w:r>
        <w:r>
          <w:rPr>
            <w:noProof/>
            <w:webHidden/>
          </w:rPr>
          <w:instrText xml:space="preserve"> PAGEREF _Toc421880700 \h </w:instrText>
        </w:r>
        <w:r>
          <w:rPr>
            <w:noProof/>
            <w:webHidden/>
          </w:rPr>
        </w:r>
        <w:r>
          <w:rPr>
            <w:noProof/>
            <w:webHidden/>
          </w:rPr>
          <w:fldChar w:fldCharType="separate"/>
        </w:r>
        <w:r>
          <w:rPr>
            <w:noProof/>
            <w:webHidden/>
          </w:rPr>
          <w:t>109</w:t>
        </w:r>
        <w:r>
          <w:rPr>
            <w:noProof/>
            <w:webHidden/>
          </w:rPr>
          <w:fldChar w:fldCharType="end"/>
        </w:r>
      </w:hyperlink>
    </w:p>
    <w:p w14:paraId="416FCAF9" w14:textId="77777777" w:rsidR="001655CC" w:rsidRDefault="001655CC">
      <w:pPr>
        <w:pStyle w:val="TOC5"/>
        <w:tabs>
          <w:tab w:val="right" w:leader="dot" w:pos="9061"/>
        </w:tabs>
        <w:rPr>
          <w:rFonts w:asciiTheme="minorHAnsi" w:eastAsiaTheme="minorEastAsia" w:hAnsiTheme="minorHAnsi" w:cstheme="minorBidi"/>
          <w:noProof/>
          <w:sz w:val="22"/>
          <w:szCs w:val="22"/>
          <w:lang w:eastAsia="en-GB"/>
        </w:rPr>
      </w:pPr>
      <w:hyperlink w:anchor="_Toc421880701" w:history="1">
        <w:r w:rsidRPr="002C1EF0">
          <w:rPr>
            <w:rStyle w:val="Hyperlink"/>
            <w:noProof/>
          </w:rPr>
          <w:t>Environmental bonds</w:t>
        </w:r>
        <w:r>
          <w:rPr>
            <w:noProof/>
            <w:webHidden/>
          </w:rPr>
          <w:tab/>
        </w:r>
        <w:r>
          <w:rPr>
            <w:noProof/>
            <w:webHidden/>
          </w:rPr>
          <w:fldChar w:fldCharType="begin"/>
        </w:r>
        <w:r>
          <w:rPr>
            <w:noProof/>
            <w:webHidden/>
          </w:rPr>
          <w:instrText xml:space="preserve"> PAGEREF _Toc421880701 \h </w:instrText>
        </w:r>
        <w:r>
          <w:rPr>
            <w:noProof/>
            <w:webHidden/>
          </w:rPr>
        </w:r>
        <w:r>
          <w:rPr>
            <w:noProof/>
            <w:webHidden/>
          </w:rPr>
          <w:fldChar w:fldCharType="separate"/>
        </w:r>
        <w:r>
          <w:rPr>
            <w:noProof/>
            <w:webHidden/>
          </w:rPr>
          <w:t>110</w:t>
        </w:r>
        <w:r>
          <w:rPr>
            <w:noProof/>
            <w:webHidden/>
          </w:rPr>
          <w:fldChar w:fldCharType="end"/>
        </w:r>
      </w:hyperlink>
    </w:p>
    <w:p w14:paraId="78CA81A7" w14:textId="77777777" w:rsidR="001655CC" w:rsidRDefault="001655CC">
      <w:pPr>
        <w:pStyle w:val="TOC5"/>
        <w:tabs>
          <w:tab w:val="right" w:leader="dot" w:pos="9061"/>
        </w:tabs>
        <w:rPr>
          <w:rFonts w:asciiTheme="minorHAnsi" w:eastAsiaTheme="minorEastAsia" w:hAnsiTheme="minorHAnsi" w:cstheme="minorBidi"/>
          <w:noProof/>
          <w:sz w:val="22"/>
          <w:szCs w:val="22"/>
          <w:lang w:eastAsia="en-GB"/>
        </w:rPr>
      </w:pPr>
      <w:hyperlink w:anchor="_Toc421880702" w:history="1">
        <w:r w:rsidRPr="002C1EF0">
          <w:rPr>
            <w:rStyle w:val="Hyperlink"/>
            <w:noProof/>
          </w:rPr>
          <w:t>Loan finance</w:t>
        </w:r>
        <w:r>
          <w:rPr>
            <w:noProof/>
            <w:webHidden/>
          </w:rPr>
          <w:tab/>
        </w:r>
        <w:r>
          <w:rPr>
            <w:noProof/>
            <w:webHidden/>
          </w:rPr>
          <w:fldChar w:fldCharType="begin"/>
        </w:r>
        <w:r>
          <w:rPr>
            <w:noProof/>
            <w:webHidden/>
          </w:rPr>
          <w:instrText xml:space="preserve"> PAGEREF _Toc421880702 \h </w:instrText>
        </w:r>
        <w:r>
          <w:rPr>
            <w:noProof/>
            <w:webHidden/>
          </w:rPr>
        </w:r>
        <w:r>
          <w:rPr>
            <w:noProof/>
            <w:webHidden/>
          </w:rPr>
          <w:fldChar w:fldCharType="separate"/>
        </w:r>
        <w:r>
          <w:rPr>
            <w:noProof/>
            <w:webHidden/>
          </w:rPr>
          <w:t>111</w:t>
        </w:r>
        <w:r>
          <w:rPr>
            <w:noProof/>
            <w:webHidden/>
          </w:rPr>
          <w:fldChar w:fldCharType="end"/>
        </w:r>
      </w:hyperlink>
    </w:p>
    <w:p w14:paraId="0BDCE3A6" w14:textId="77777777" w:rsidR="001655CC" w:rsidRDefault="001655CC">
      <w:pPr>
        <w:pStyle w:val="TOC5"/>
        <w:tabs>
          <w:tab w:val="right" w:leader="dot" w:pos="9061"/>
        </w:tabs>
        <w:rPr>
          <w:rFonts w:asciiTheme="minorHAnsi" w:eastAsiaTheme="minorEastAsia" w:hAnsiTheme="minorHAnsi" w:cstheme="minorBidi"/>
          <w:noProof/>
          <w:sz w:val="22"/>
          <w:szCs w:val="22"/>
          <w:lang w:eastAsia="en-GB"/>
        </w:rPr>
      </w:pPr>
      <w:hyperlink w:anchor="_Toc421880703" w:history="1">
        <w:r w:rsidRPr="002C1EF0">
          <w:rPr>
            <w:rStyle w:val="Hyperlink"/>
            <w:noProof/>
          </w:rPr>
          <w:t>Marketed products</w:t>
        </w:r>
        <w:r>
          <w:rPr>
            <w:noProof/>
            <w:webHidden/>
          </w:rPr>
          <w:tab/>
        </w:r>
        <w:r>
          <w:rPr>
            <w:noProof/>
            <w:webHidden/>
          </w:rPr>
          <w:fldChar w:fldCharType="begin"/>
        </w:r>
        <w:r>
          <w:rPr>
            <w:noProof/>
            <w:webHidden/>
          </w:rPr>
          <w:instrText xml:space="preserve"> PAGEREF _Toc421880703 \h </w:instrText>
        </w:r>
        <w:r>
          <w:rPr>
            <w:noProof/>
            <w:webHidden/>
          </w:rPr>
        </w:r>
        <w:r>
          <w:rPr>
            <w:noProof/>
            <w:webHidden/>
          </w:rPr>
          <w:fldChar w:fldCharType="separate"/>
        </w:r>
        <w:r>
          <w:rPr>
            <w:noProof/>
            <w:webHidden/>
          </w:rPr>
          <w:t>111</w:t>
        </w:r>
        <w:r>
          <w:rPr>
            <w:noProof/>
            <w:webHidden/>
          </w:rPr>
          <w:fldChar w:fldCharType="end"/>
        </w:r>
      </w:hyperlink>
    </w:p>
    <w:p w14:paraId="34161413" w14:textId="77777777" w:rsidR="001655CC" w:rsidRDefault="001655CC">
      <w:pPr>
        <w:pStyle w:val="TOC5"/>
        <w:tabs>
          <w:tab w:val="right" w:leader="dot" w:pos="9061"/>
        </w:tabs>
        <w:rPr>
          <w:rFonts w:asciiTheme="minorHAnsi" w:eastAsiaTheme="minorEastAsia" w:hAnsiTheme="minorHAnsi" w:cstheme="minorBidi"/>
          <w:noProof/>
          <w:sz w:val="22"/>
          <w:szCs w:val="22"/>
          <w:lang w:eastAsia="en-GB"/>
        </w:rPr>
      </w:pPr>
      <w:hyperlink w:anchor="_Toc421880704" w:history="1">
        <w:r w:rsidRPr="002C1EF0">
          <w:rPr>
            <w:rStyle w:val="Hyperlink"/>
            <w:noProof/>
          </w:rPr>
          <w:t>Nutrient offsetting</w:t>
        </w:r>
        <w:r>
          <w:rPr>
            <w:noProof/>
            <w:webHidden/>
          </w:rPr>
          <w:tab/>
        </w:r>
        <w:r>
          <w:rPr>
            <w:noProof/>
            <w:webHidden/>
          </w:rPr>
          <w:fldChar w:fldCharType="begin"/>
        </w:r>
        <w:r>
          <w:rPr>
            <w:noProof/>
            <w:webHidden/>
          </w:rPr>
          <w:instrText xml:space="preserve"> PAGEREF _Toc421880704 \h </w:instrText>
        </w:r>
        <w:r>
          <w:rPr>
            <w:noProof/>
            <w:webHidden/>
          </w:rPr>
        </w:r>
        <w:r>
          <w:rPr>
            <w:noProof/>
            <w:webHidden/>
          </w:rPr>
          <w:fldChar w:fldCharType="separate"/>
        </w:r>
        <w:r>
          <w:rPr>
            <w:noProof/>
            <w:webHidden/>
          </w:rPr>
          <w:t>113</w:t>
        </w:r>
        <w:r>
          <w:rPr>
            <w:noProof/>
            <w:webHidden/>
          </w:rPr>
          <w:fldChar w:fldCharType="end"/>
        </w:r>
      </w:hyperlink>
    </w:p>
    <w:p w14:paraId="4E0CDC4B" w14:textId="77777777" w:rsidR="001655CC" w:rsidRDefault="001655CC">
      <w:pPr>
        <w:pStyle w:val="TOC5"/>
        <w:tabs>
          <w:tab w:val="right" w:leader="dot" w:pos="9061"/>
        </w:tabs>
        <w:rPr>
          <w:rFonts w:asciiTheme="minorHAnsi" w:eastAsiaTheme="minorEastAsia" w:hAnsiTheme="minorHAnsi" w:cstheme="minorBidi"/>
          <w:noProof/>
          <w:sz w:val="22"/>
          <w:szCs w:val="22"/>
          <w:lang w:eastAsia="en-GB"/>
        </w:rPr>
      </w:pPr>
      <w:hyperlink w:anchor="_Toc421880705" w:history="1">
        <w:r w:rsidRPr="002C1EF0">
          <w:rPr>
            <w:rStyle w:val="Hyperlink"/>
            <w:noProof/>
          </w:rPr>
          <w:t>Payments for Ecosystem Services (PES)</w:t>
        </w:r>
        <w:r>
          <w:rPr>
            <w:noProof/>
            <w:webHidden/>
          </w:rPr>
          <w:tab/>
        </w:r>
        <w:r>
          <w:rPr>
            <w:noProof/>
            <w:webHidden/>
          </w:rPr>
          <w:fldChar w:fldCharType="begin"/>
        </w:r>
        <w:r>
          <w:rPr>
            <w:noProof/>
            <w:webHidden/>
          </w:rPr>
          <w:instrText xml:space="preserve"> PAGEREF _Toc421880705 \h </w:instrText>
        </w:r>
        <w:r>
          <w:rPr>
            <w:noProof/>
            <w:webHidden/>
          </w:rPr>
        </w:r>
        <w:r>
          <w:rPr>
            <w:noProof/>
            <w:webHidden/>
          </w:rPr>
          <w:fldChar w:fldCharType="separate"/>
        </w:r>
        <w:r>
          <w:rPr>
            <w:noProof/>
            <w:webHidden/>
          </w:rPr>
          <w:t>114</w:t>
        </w:r>
        <w:r>
          <w:rPr>
            <w:noProof/>
            <w:webHidden/>
          </w:rPr>
          <w:fldChar w:fldCharType="end"/>
        </w:r>
      </w:hyperlink>
    </w:p>
    <w:p w14:paraId="5E6BF659" w14:textId="77777777" w:rsidR="001655CC" w:rsidRDefault="001655CC">
      <w:pPr>
        <w:pStyle w:val="TOC5"/>
        <w:tabs>
          <w:tab w:val="right" w:leader="dot" w:pos="9061"/>
        </w:tabs>
        <w:rPr>
          <w:rFonts w:asciiTheme="minorHAnsi" w:eastAsiaTheme="minorEastAsia" w:hAnsiTheme="minorHAnsi" w:cstheme="minorBidi"/>
          <w:noProof/>
          <w:sz w:val="22"/>
          <w:szCs w:val="22"/>
          <w:lang w:eastAsia="en-GB"/>
        </w:rPr>
      </w:pPr>
      <w:hyperlink w:anchor="_Toc421880706" w:history="1">
        <w:r w:rsidRPr="002C1EF0">
          <w:rPr>
            <w:rStyle w:val="Hyperlink"/>
            <w:noProof/>
          </w:rPr>
          <w:t>Visitor payback schemes</w:t>
        </w:r>
        <w:r>
          <w:rPr>
            <w:noProof/>
            <w:webHidden/>
          </w:rPr>
          <w:tab/>
        </w:r>
        <w:r>
          <w:rPr>
            <w:noProof/>
            <w:webHidden/>
          </w:rPr>
          <w:fldChar w:fldCharType="begin"/>
        </w:r>
        <w:r>
          <w:rPr>
            <w:noProof/>
            <w:webHidden/>
          </w:rPr>
          <w:instrText xml:space="preserve"> PAGEREF _Toc421880706 \h </w:instrText>
        </w:r>
        <w:r>
          <w:rPr>
            <w:noProof/>
            <w:webHidden/>
          </w:rPr>
        </w:r>
        <w:r>
          <w:rPr>
            <w:noProof/>
            <w:webHidden/>
          </w:rPr>
          <w:fldChar w:fldCharType="separate"/>
        </w:r>
        <w:r>
          <w:rPr>
            <w:noProof/>
            <w:webHidden/>
          </w:rPr>
          <w:t>116</w:t>
        </w:r>
        <w:r>
          <w:rPr>
            <w:noProof/>
            <w:webHidden/>
          </w:rPr>
          <w:fldChar w:fldCharType="end"/>
        </w:r>
      </w:hyperlink>
    </w:p>
    <w:p w14:paraId="6ED68AA6" w14:textId="77777777" w:rsidR="001655CC" w:rsidRDefault="001655CC">
      <w:pPr>
        <w:pStyle w:val="TOC2"/>
        <w:tabs>
          <w:tab w:val="left" w:pos="1531"/>
        </w:tabs>
        <w:rPr>
          <w:rFonts w:asciiTheme="minorHAnsi" w:eastAsiaTheme="minorEastAsia" w:hAnsiTheme="minorHAnsi" w:cstheme="minorBidi"/>
          <w:b w:val="0"/>
          <w:noProof/>
          <w:color w:val="auto"/>
          <w:sz w:val="22"/>
          <w:szCs w:val="22"/>
          <w:lang w:eastAsia="en-GB"/>
        </w:rPr>
      </w:pPr>
      <w:hyperlink w:anchor="_Toc421880707" w:history="1">
        <w:r w:rsidRPr="002C1EF0">
          <w:rPr>
            <w:rStyle w:val="Hyperlink"/>
            <w:noProof/>
          </w:rPr>
          <w:t>Annex 6</w:t>
        </w:r>
        <w:r>
          <w:rPr>
            <w:rFonts w:asciiTheme="minorHAnsi" w:eastAsiaTheme="minorEastAsia" w:hAnsiTheme="minorHAnsi" w:cstheme="minorBidi"/>
            <w:b w:val="0"/>
            <w:noProof/>
            <w:color w:val="auto"/>
            <w:sz w:val="22"/>
            <w:szCs w:val="22"/>
            <w:lang w:eastAsia="en-GB"/>
          </w:rPr>
          <w:tab/>
        </w:r>
        <w:r w:rsidRPr="002C1EF0">
          <w:rPr>
            <w:rStyle w:val="Hyperlink"/>
            <w:noProof/>
          </w:rPr>
          <w:t>EU Funds - detailed analysis of relevance of articles in legal texts</w:t>
        </w:r>
        <w:r>
          <w:rPr>
            <w:noProof/>
            <w:webHidden/>
          </w:rPr>
          <w:tab/>
        </w:r>
        <w:r>
          <w:rPr>
            <w:noProof/>
            <w:webHidden/>
          </w:rPr>
          <w:fldChar w:fldCharType="begin"/>
        </w:r>
        <w:r>
          <w:rPr>
            <w:noProof/>
            <w:webHidden/>
          </w:rPr>
          <w:instrText xml:space="preserve"> PAGEREF _Toc421880707 \h </w:instrText>
        </w:r>
        <w:r>
          <w:rPr>
            <w:noProof/>
            <w:webHidden/>
          </w:rPr>
        </w:r>
        <w:r>
          <w:rPr>
            <w:noProof/>
            <w:webHidden/>
          </w:rPr>
          <w:fldChar w:fldCharType="separate"/>
        </w:r>
        <w:r>
          <w:rPr>
            <w:noProof/>
            <w:webHidden/>
          </w:rPr>
          <w:t>118</w:t>
        </w:r>
        <w:r>
          <w:rPr>
            <w:noProof/>
            <w:webHidden/>
          </w:rPr>
          <w:fldChar w:fldCharType="end"/>
        </w:r>
      </w:hyperlink>
    </w:p>
    <w:p w14:paraId="3791E5BC" w14:textId="77777777" w:rsidR="001655CC" w:rsidRDefault="001655CC">
      <w:pPr>
        <w:pStyle w:val="TOC5"/>
        <w:tabs>
          <w:tab w:val="right" w:leader="dot" w:pos="9061"/>
        </w:tabs>
        <w:rPr>
          <w:rFonts w:asciiTheme="minorHAnsi" w:eastAsiaTheme="minorEastAsia" w:hAnsiTheme="minorHAnsi" w:cstheme="minorBidi"/>
          <w:noProof/>
          <w:sz w:val="22"/>
          <w:szCs w:val="22"/>
          <w:lang w:eastAsia="en-GB"/>
        </w:rPr>
      </w:pPr>
      <w:hyperlink w:anchor="_Toc421880708" w:history="1">
        <w:r w:rsidRPr="002C1EF0">
          <w:rPr>
            <w:rStyle w:val="Hyperlink"/>
            <w:noProof/>
          </w:rPr>
          <w:t>EMFF</w:t>
        </w:r>
        <w:r>
          <w:rPr>
            <w:noProof/>
            <w:webHidden/>
          </w:rPr>
          <w:tab/>
        </w:r>
        <w:r>
          <w:rPr>
            <w:noProof/>
            <w:webHidden/>
          </w:rPr>
          <w:fldChar w:fldCharType="begin"/>
        </w:r>
        <w:r>
          <w:rPr>
            <w:noProof/>
            <w:webHidden/>
          </w:rPr>
          <w:instrText xml:space="preserve"> PAGEREF _Toc421880708 \h </w:instrText>
        </w:r>
        <w:r>
          <w:rPr>
            <w:noProof/>
            <w:webHidden/>
          </w:rPr>
        </w:r>
        <w:r>
          <w:rPr>
            <w:noProof/>
            <w:webHidden/>
          </w:rPr>
          <w:fldChar w:fldCharType="separate"/>
        </w:r>
        <w:r>
          <w:rPr>
            <w:noProof/>
            <w:webHidden/>
          </w:rPr>
          <w:t>118</w:t>
        </w:r>
        <w:r>
          <w:rPr>
            <w:noProof/>
            <w:webHidden/>
          </w:rPr>
          <w:fldChar w:fldCharType="end"/>
        </w:r>
      </w:hyperlink>
    </w:p>
    <w:p w14:paraId="732738A2" w14:textId="77777777" w:rsidR="001655CC" w:rsidRDefault="001655CC">
      <w:pPr>
        <w:pStyle w:val="TOC5"/>
        <w:tabs>
          <w:tab w:val="right" w:leader="dot" w:pos="9061"/>
        </w:tabs>
        <w:rPr>
          <w:rFonts w:asciiTheme="minorHAnsi" w:eastAsiaTheme="minorEastAsia" w:hAnsiTheme="minorHAnsi" w:cstheme="minorBidi"/>
          <w:noProof/>
          <w:sz w:val="22"/>
          <w:szCs w:val="22"/>
          <w:lang w:eastAsia="en-GB"/>
        </w:rPr>
      </w:pPr>
      <w:hyperlink w:anchor="_Toc421880709" w:history="1">
        <w:r w:rsidRPr="002C1EF0">
          <w:rPr>
            <w:rStyle w:val="Hyperlink"/>
            <w:noProof/>
          </w:rPr>
          <w:t>EAFRD</w:t>
        </w:r>
        <w:r>
          <w:rPr>
            <w:noProof/>
            <w:webHidden/>
          </w:rPr>
          <w:tab/>
        </w:r>
        <w:r>
          <w:rPr>
            <w:noProof/>
            <w:webHidden/>
          </w:rPr>
          <w:fldChar w:fldCharType="begin"/>
        </w:r>
        <w:r>
          <w:rPr>
            <w:noProof/>
            <w:webHidden/>
          </w:rPr>
          <w:instrText xml:space="preserve"> PAGEREF _Toc421880709 \h </w:instrText>
        </w:r>
        <w:r>
          <w:rPr>
            <w:noProof/>
            <w:webHidden/>
          </w:rPr>
        </w:r>
        <w:r>
          <w:rPr>
            <w:noProof/>
            <w:webHidden/>
          </w:rPr>
          <w:fldChar w:fldCharType="separate"/>
        </w:r>
        <w:r>
          <w:rPr>
            <w:noProof/>
            <w:webHidden/>
          </w:rPr>
          <w:t>121</w:t>
        </w:r>
        <w:r>
          <w:rPr>
            <w:noProof/>
            <w:webHidden/>
          </w:rPr>
          <w:fldChar w:fldCharType="end"/>
        </w:r>
      </w:hyperlink>
    </w:p>
    <w:p w14:paraId="42B488CD" w14:textId="77777777" w:rsidR="001655CC" w:rsidRDefault="001655CC">
      <w:pPr>
        <w:pStyle w:val="TOC5"/>
        <w:tabs>
          <w:tab w:val="right" w:leader="dot" w:pos="9061"/>
        </w:tabs>
        <w:rPr>
          <w:rFonts w:asciiTheme="minorHAnsi" w:eastAsiaTheme="minorEastAsia" w:hAnsiTheme="minorHAnsi" w:cstheme="minorBidi"/>
          <w:noProof/>
          <w:sz w:val="22"/>
          <w:szCs w:val="22"/>
          <w:lang w:eastAsia="en-GB"/>
        </w:rPr>
      </w:pPr>
      <w:hyperlink w:anchor="_Toc421880710" w:history="1">
        <w:r w:rsidRPr="002C1EF0">
          <w:rPr>
            <w:rStyle w:val="Hyperlink"/>
            <w:noProof/>
          </w:rPr>
          <w:t>ERDF</w:t>
        </w:r>
        <w:r>
          <w:rPr>
            <w:noProof/>
            <w:webHidden/>
          </w:rPr>
          <w:tab/>
        </w:r>
        <w:r>
          <w:rPr>
            <w:noProof/>
            <w:webHidden/>
          </w:rPr>
          <w:fldChar w:fldCharType="begin"/>
        </w:r>
        <w:r>
          <w:rPr>
            <w:noProof/>
            <w:webHidden/>
          </w:rPr>
          <w:instrText xml:space="preserve"> PAGEREF _Toc421880710 \h </w:instrText>
        </w:r>
        <w:r>
          <w:rPr>
            <w:noProof/>
            <w:webHidden/>
          </w:rPr>
        </w:r>
        <w:r>
          <w:rPr>
            <w:noProof/>
            <w:webHidden/>
          </w:rPr>
          <w:fldChar w:fldCharType="separate"/>
        </w:r>
        <w:r>
          <w:rPr>
            <w:noProof/>
            <w:webHidden/>
          </w:rPr>
          <w:t>123</w:t>
        </w:r>
        <w:r>
          <w:rPr>
            <w:noProof/>
            <w:webHidden/>
          </w:rPr>
          <w:fldChar w:fldCharType="end"/>
        </w:r>
      </w:hyperlink>
    </w:p>
    <w:p w14:paraId="22F0F452" w14:textId="77777777" w:rsidR="001655CC" w:rsidRDefault="001655CC">
      <w:pPr>
        <w:pStyle w:val="TOC5"/>
        <w:tabs>
          <w:tab w:val="right" w:leader="dot" w:pos="9061"/>
        </w:tabs>
        <w:rPr>
          <w:rFonts w:asciiTheme="minorHAnsi" w:eastAsiaTheme="minorEastAsia" w:hAnsiTheme="minorHAnsi" w:cstheme="minorBidi"/>
          <w:noProof/>
          <w:sz w:val="22"/>
          <w:szCs w:val="22"/>
          <w:lang w:eastAsia="en-GB"/>
        </w:rPr>
      </w:pPr>
      <w:hyperlink w:anchor="_Toc421880711" w:history="1">
        <w:r w:rsidRPr="002C1EF0">
          <w:rPr>
            <w:rStyle w:val="Hyperlink"/>
            <w:noProof/>
          </w:rPr>
          <w:t>ESF</w:t>
        </w:r>
        <w:r>
          <w:rPr>
            <w:noProof/>
            <w:webHidden/>
          </w:rPr>
          <w:tab/>
        </w:r>
        <w:r>
          <w:rPr>
            <w:noProof/>
            <w:webHidden/>
          </w:rPr>
          <w:fldChar w:fldCharType="begin"/>
        </w:r>
        <w:r>
          <w:rPr>
            <w:noProof/>
            <w:webHidden/>
          </w:rPr>
          <w:instrText xml:space="preserve"> PAGEREF _Toc421880711 \h </w:instrText>
        </w:r>
        <w:r>
          <w:rPr>
            <w:noProof/>
            <w:webHidden/>
          </w:rPr>
        </w:r>
        <w:r>
          <w:rPr>
            <w:noProof/>
            <w:webHidden/>
          </w:rPr>
          <w:fldChar w:fldCharType="separate"/>
        </w:r>
        <w:r>
          <w:rPr>
            <w:noProof/>
            <w:webHidden/>
          </w:rPr>
          <w:t>125</w:t>
        </w:r>
        <w:r>
          <w:rPr>
            <w:noProof/>
            <w:webHidden/>
          </w:rPr>
          <w:fldChar w:fldCharType="end"/>
        </w:r>
      </w:hyperlink>
    </w:p>
    <w:p w14:paraId="10D9AB15" w14:textId="77777777" w:rsidR="001655CC" w:rsidRDefault="001655CC">
      <w:pPr>
        <w:pStyle w:val="TOC5"/>
        <w:tabs>
          <w:tab w:val="right" w:leader="dot" w:pos="9061"/>
        </w:tabs>
        <w:rPr>
          <w:rFonts w:asciiTheme="minorHAnsi" w:eastAsiaTheme="minorEastAsia" w:hAnsiTheme="minorHAnsi" w:cstheme="minorBidi"/>
          <w:noProof/>
          <w:sz w:val="22"/>
          <w:szCs w:val="22"/>
          <w:lang w:eastAsia="en-GB"/>
        </w:rPr>
      </w:pPr>
      <w:hyperlink w:anchor="_Toc421880712" w:history="1">
        <w:r w:rsidRPr="002C1EF0">
          <w:rPr>
            <w:rStyle w:val="Hyperlink"/>
            <w:noProof/>
          </w:rPr>
          <w:t>LIFE</w:t>
        </w:r>
        <w:r>
          <w:rPr>
            <w:noProof/>
            <w:webHidden/>
          </w:rPr>
          <w:tab/>
        </w:r>
        <w:r>
          <w:rPr>
            <w:noProof/>
            <w:webHidden/>
          </w:rPr>
          <w:fldChar w:fldCharType="begin"/>
        </w:r>
        <w:r>
          <w:rPr>
            <w:noProof/>
            <w:webHidden/>
          </w:rPr>
          <w:instrText xml:space="preserve"> PAGEREF _Toc421880712 \h </w:instrText>
        </w:r>
        <w:r>
          <w:rPr>
            <w:noProof/>
            <w:webHidden/>
          </w:rPr>
        </w:r>
        <w:r>
          <w:rPr>
            <w:noProof/>
            <w:webHidden/>
          </w:rPr>
          <w:fldChar w:fldCharType="separate"/>
        </w:r>
        <w:r>
          <w:rPr>
            <w:noProof/>
            <w:webHidden/>
          </w:rPr>
          <w:t>126</w:t>
        </w:r>
        <w:r>
          <w:rPr>
            <w:noProof/>
            <w:webHidden/>
          </w:rPr>
          <w:fldChar w:fldCharType="end"/>
        </w:r>
      </w:hyperlink>
    </w:p>
    <w:p w14:paraId="09850E70" w14:textId="77777777" w:rsidR="001655CC" w:rsidRDefault="001655CC">
      <w:pPr>
        <w:pStyle w:val="TOC5"/>
        <w:tabs>
          <w:tab w:val="right" w:leader="dot" w:pos="9061"/>
        </w:tabs>
        <w:rPr>
          <w:rFonts w:asciiTheme="minorHAnsi" w:eastAsiaTheme="minorEastAsia" w:hAnsiTheme="minorHAnsi" w:cstheme="minorBidi"/>
          <w:noProof/>
          <w:sz w:val="22"/>
          <w:szCs w:val="22"/>
          <w:lang w:eastAsia="en-GB"/>
        </w:rPr>
      </w:pPr>
      <w:hyperlink w:anchor="_Toc421880713" w:history="1">
        <w:r w:rsidRPr="002C1EF0">
          <w:rPr>
            <w:rStyle w:val="Hyperlink"/>
            <w:noProof/>
          </w:rPr>
          <w:t>Horizon 2020</w:t>
        </w:r>
        <w:r>
          <w:rPr>
            <w:noProof/>
            <w:webHidden/>
          </w:rPr>
          <w:tab/>
        </w:r>
        <w:r>
          <w:rPr>
            <w:noProof/>
            <w:webHidden/>
          </w:rPr>
          <w:fldChar w:fldCharType="begin"/>
        </w:r>
        <w:r>
          <w:rPr>
            <w:noProof/>
            <w:webHidden/>
          </w:rPr>
          <w:instrText xml:space="preserve"> PAGEREF _Toc421880713 \h </w:instrText>
        </w:r>
        <w:r>
          <w:rPr>
            <w:noProof/>
            <w:webHidden/>
          </w:rPr>
        </w:r>
        <w:r>
          <w:rPr>
            <w:noProof/>
            <w:webHidden/>
          </w:rPr>
          <w:fldChar w:fldCharType="separate"/>
        </w:r>
        <w:r>
          <w:rPr>
            <w:noProof/>
            <w:webHidden/>
          </w:rPr>
          <w:t>126</w:t>
        </w:r>
        <w:r>
          <w:rPr>
            <w:noProof/>
            <w:webHidden/>
          </w:rPr>
          <w:fldChar w:fldCharType="end"/>
        </w:r>
      </w:hyperlink>
    </w:p>
    <w:p w14:paraId="50878EF1" w14:textId="77777777" w:rsidR="001655CC" w:rsidRDefault="001655CC">
      <w:pPr>
        <w:pStyle w:val="TOC2"/>
        <w:tabs>
          <w:tab w:val="left" w:pos="1531"/>
        </w:tabs>
        <w:rPr>
          <w:rFonts w:asciiTheme="minorHAnsi" w:eastAsiaTheme="minorEastAsia" w:hAnsiTheme="minorHAnsi" w:cstheme="minorBidi"/>
          <w:b w:val="0"/>
          <w:noProof/>
          <w:color w:val="auto"/>
          <w:sz w:val="22"/>
          <w:szCs w:val="22"/>
          <w:lang w:eastAsia="en-GB"/>
        </w:rPr>
      </w:pPr>
      <w:hyperlink w:anchor="_Toc421880714" w:history="1">
        <w:r w:rsidRPr="002C1EF0">
          <w:rPr>
            <w:rStyle w:val="Hyperlink"/>
            <w:noProof/>
          </w:rPr>
          <w:t>Annex 7</w:t>
        </w:r>
        <w:r>
          <w:rPr>
            <w:rFonts w:asciiTheme="minorHAnsi" w:eastAsiaTheme="minorEastAsia" w:hAnsiTheme="minorHAnsi" w:cstheme="minorBidi"/>
            <w:b w:val="0"/>
            <w:noProof/>
            <w:color w:val="auto"/>
            <w:sz w:val="22"/>
            <w:szCs w:val="22"/>
            <w:lang w:eastAsia="en-GB"/>
          </w:rPr>
          <w:tab/>
        </w:r>
        <w:r w:rsidRPr="002C1EF0">
          <w:rPr>
            <w:rStyle w:val="Hyperlink"/>
            <w:noProof/>
          </w:rPr>
          <w:t>Project Research Consultees</w:t>
        </w:r>
        <w:r>
          <w:rPr>
            <w:noProof/>
            <w:webHidden/>
          </w:rPr>
          <w:tab/>
        </w:r>
        <w:r>
          <w:rPr>
            <w:noProof/>
            <w:webHidden/>
          </w:rPr>
          <w:fldChar w:fldCharType="begin"/>
        </w:r>
        <w:r>
          <w:rPr>
            <w:noProof/>
            <w:webHidden/>
          </w:rPr>
          <w:instrText xml:space="preserve"> PAGEREF _Toc421880714 \h </w:instrText>
        </w:r>
        <w:r>
          <w:rPr>
            <w:noProof/>
            <w:webHidden/>
          </w:rPr>
        </w:r>
        <w:r>
          <w:rPr>
            <w:noProof/>
            <w:webHidden/>
          </w:rPr>
          <w:fldChar w:fldCharType="separate"/>
        </w:r>
        <w:r>
          <w:rPr>
            <w:noProof/>
            <w:webHidden/>
          </w:rPr>
          <w:t>128</w:t>
        </w:r>
        <w:r>
          <w:rPr>
            <w:noProof/>
            <w:webHidden/>
          </w:rPr>
          <w:fldChar w:fldCharType="end"/>
        </w:r>
      </w:hyperlink>
    </w:p>
    <w:p w14:paraId="7B838C7D" w14:textId="77777777" w:rsidR="001655CC" w:rsidRDefault="001655CC">
      <w:pPr>
        <w:pStyle w:val="TOC2"/>
        <w:tabs>
          <w:tab w:val="left" w:pos="1531"/>
        </w:tabs>
        <w:rPr>
          <w:rFonts w:asciiTheme="minorHAnsi" w:eastAsiaTheme="minorEastAsia" w:hAnsiTheme="minorHAnsi" w:cstheme="minorBidi"/>
          <w:b w:val="0"/>
          <w:noProof/>
          <w:color w:val="auto"/>
          <w:sz w:val="22"/>
          <w:szCs w:val="22"/>
          <w:lang w:eastAsia="en-GB"/>
        </w:rPr>
      </w:pPr>
      <w:hyperlink w:anchor="_Toc421880715" w:history="1">
        <w:r w:rsidRPr="002C1EF0">
          <w:rPr>
            <w:rStyle w:val="Hyperlink"/>
            <w:noProof/>
          </w:rPr>
          <w:t>Annex 8</w:t>
        </w:r>
        <w:r>
          <w:rPr>
            <w:rFonts w:asciiTheme="minorHAnsi" w:eastAsiaTheme="minorEastAsia" w:hAnsiTheme="minorHAnsi" w:cstheme="minorBidi"/>
            <w:b w:val="0"/>
            <w:noProof/>
            <w:color w:val="auto"/>
            <w:sz w:val="22"/>
            <w:szCs w:val="22"/>
            <w:lang w:eastAsia="en-GB"/>
          </w:rPr>
          <w:tab/>
        </w:r>
        <w:r w:rsidRPr="002C1EF0">
          <w:rPr>
            <w:rStyle w:val="Hyperlink"/>
            <w:noProof/>
          </w:rPr>
          <w:t>References</w:t>
        </w:r>
        <w:r>
          <w:rPr>
            <w:noProof/>
            <w:webHidden/>
          </w:rPr>
          <w:tab/>
        </w:r>
        <w:r>
          <w:rPr>
            <w:noProof/>
            <w:webHidden/>
          </w:rPr>
          <w:fldChar w:fldCharType="begin"/>
        </w:r>
        <w:r>
          <w:rPr>
            <w:noProof/>
            <w:webHidden/>
          </w:rPr>
          <w:instrText xml:space="preserve"> PAGEREF _Toc421880715 \h </w:instrText>
        </w:r>
        <w:r>
          <w:rPr>
            <w:noProof/>
            <w:webHidden/>
          </w:rPr>
        </w:r>
        <w:r>
          <w:rPr>
            <w:noProof/>
            <w:webHidden/>
          </w:rPr>
          <w:fldChar w:fldCharType="separate"/>
        </w:r>
        <w:r>
          <w:rPr>
            <w:noProof/>
            <w:webHidden/>
          </w:rPr>
          <w:t>129</w:t>
        </w:r>
        <w:r>
          <w:rPr>
            <w:noProof/>
            <w:webHidden/>
          </w:rPr>
          <w:fldChar w:fldCharType="end"/>
        </w:r>
      </w:hyperlink>
    </w:p>
    <w:p w14:paraId="033CE852" w14:textId="77777777" w:rsidR="00F60A4F" w:rsidRPr="007B47FB" w:rsidRDefault="00F60A4F" w:rsidP="00ED0340">
      <w:r w:rsidRPr="007B47FB">
        <w:fldChar w:fldCharType="end"/>
      </w:r>
    </w:p>
    <w:bookmarkEnd w:id="30"/>
    <w:p w14:paraId="395D33AD" w14:textId="06B4A3F4" w:rsidR="00F60A4F" w:rsidRPr="007B47FB" w:rsidRDefault="00F60A4F" w:rsidP="00ED420E">
      <w:pPr>
        <w:pStyle w:val="NormalNoSpace"/>
      </w:pPr>
    </w:p>
    <w:p w14:paraId="5088D251" w14:textId="77777777" w:rsidR="00D17D9A" w:rsidRPr="007B47FB" w:rsidRDefault="00D17D9A" w:rsidP="005B10E4">
      <w:pPr>
        <w:pStyle w:val="Heading1NoNumb"/>
        <w:sectPr w:rsidR="00D17D9A" w:rsidRPr="007B47FB" w:rsidSect="00C50B29">
          <w:pgSz w:w="11907" w:h="16840" w:code="9"/>
          <w:pgMar w:top="1871" w:right="1418" w:bottom="1021" w:left="1418" w:header="680" w:footer="454" w:gutter="0"/>
          <w:pgNumType w:fmt="lowerRoman"/>
          <w:cols w:space="708"/>
          <w:docGrid w:linePitch="360"/>
        </w:sectPr>
      </w:pPr>
    </w:p>
    <w:p w14:paraId="3A0DF5CC" w14:textId="77777777" w:rsidR="001655CC" w:rsidRPr="008C2197" w:rsidRDefault="001655CC" w:rsidP="001655CC">
      <w:pPr>
        <w:pStyle w:val="Heading1NoNumb"/>
        <w:rPr>
          <w:lang w:val="cy-GB"/>
        </w:rPr>
      </w:pPr>
      <w:bookmarkStart w:id="31" w:name="_Toc322437594"/>
      <w:bookmarkStart w:id="32" w:name="_Toc395088879"/>
      <w:bookmarkStart w:id="33" w:name="_Toc407617979"/>
      <w:bookmarkStart w:id="34" w:name="_Toc408093982"/>
      <w:bookmarkStart w:id="35" w:name="_Toc408850977"/>
      <w:bookmarkStart w:id="36" w:name="ExecSummPage"/>
      <w:bookmarkStart w:id="37" w:name="_Toc421880644"/>
      <w:bookmarkEnd w:id="8"/>
      <w:r w:rsidRPr="008C2197">
        <w:rPr>
          <w:lang w:val="cy-GB"/>
        </w:rPr>
        <w:t>Crynodeb gweithredol</w:t>
      </w:r>
      <w:bookmarkEnd w:id="37"/>
    </w:p>
    <w:p w14:paraId="449B6A8D" w14:textId="77777777" w:rsidR="001655CC" w:rsidRPr="008C2197" w:rsidRDefault="001655CC" w:rsidP="001655CC">
      <w:pPr>
        <w:pStyle w:val="Heading2NoNumb"/>
        <w:rPr>
          <w:lang w:val="cy-GB"/>
        </w:rPr>
      </w:pPr>
      <w:bookmarkStart w:id="38" w:name="_Toc421880645"/>
      <w:r w:rsidRPr="008C2197">
        <w:rPr>
          <w:lang w:val="cy-GB"/>
        </w:rPr>
        <w:t>Cyflwyniad</w:t>
      </w:r>
      <w:bookmarkEnd w:id="38"/>
    </w:p>
    <w:p w14:paraId="19537C17" w14:textId="77777777" w:rsidR="001655CC" w:rsidRPr="008C2197" w:rsidRDefault="001655CC" w:rsidP="001655CC">
      <w:pPr>
        <w:rPr>
          <w:lang w:val="cy-GB"/>
        </w:rPr>
      </w:pPr>
      <w:r w:rsidRPr="008C2197">
        <w:rPr>
          <w:lang w:val="cy-GB"/>
        </w:rPr>
        <w:t>Rhwydwaith safleoedd natur mwyaf arbennig yr UE yw Natura 2000. Nhw sydd wrth galon polisi bioamrywiaeth yr UE, ac mae eu gwarchod a’u rheoli nhw yn chwarae rhan allweddol yn yr ymdrechion i atal colledion bioamrywiaeth. Mae diogelu a chyfoethogi’r buddion y mae Natura 2000 yn eu cynnig yn dibynnu ar weithredu a rheoli’r rhwydwaith yn effeithiol. Mae gan Gymru 20 Ardal Gwarchodaeth Arbennig (AGA) a 92 Ardal Cadwraeth Arbennig  (ACA), a gyda’i gilydd mae’r rhain yn rhychwantu dros 700,000 hectar, sy’n 8.5% o arwynebedd tir Cymru a 35% o’i dyfroedd tiriogaethol. Mae’r rhwydwaith felly yn cynrychioli cyfran sylweddol o diriogaeth Cymru. Fodd bynnag, megis yn yr UE drwyddi draw, mae statws cadwraethol llawer o’r rhwydwaith yn anffafriol, ac mae angen ymdrech</w:t>
      </w:r>
      <w:r>
        <w:rPr>
          <w:lang w:val="cy-GB"/>
        </w:rPr>
        <w:t>u’n f</w:t>
      </w:r>
      <w:r w:rsidRPr="008C2197">
        <w:rPr>
          <w:lang w:val="cy-GB"/>
        </w:rPr>
        <w:t>awr ar weithgareddau adfer a rheoli.</w:t>
      </w:r>
    </w:p>
    <w:p w14:paraId="32CC422B" w14:textId="77777777" w:rsidR="001655CC" w:rsidRPr="008C2197" w:rsidRDefault="001655CC" w:rsidP="001655CC">
      <w:pPr>
        <w:rPr>
          <w:lang w:val="cy-GB"/>
        </w:rPr>
      </w:pPr>
      <w:r w:rsidRPr="008C2197">
        <w:rPr>
          <w:lang w:val="cy-GB"/>
        </w:rPr>
        <w:t xml:space="preserve">Mae gweithgareddau adfer a rheoli mor eang eu cwmpas yn golygu bod angen llawer iawn o arian. Mae Fframwaith Gweithredu â Blaenoriaeth diwygiedig Cymru yn amlygu costau </w:t>
      </w:r>
      <w:r>
        <w:rPr>
          <w:lang w:val="cy-GB"/>
        </w:rPr>
        <w:t xml:space="preserve">rheoli </w:t>
      </w:r>
      <w:r w:rsidRPr="008C2197">
        <w:rPr>
          <w:lang w:val="cy-GB"/>
        </w:rPr>
        <w:t>blynyddol o oddeutu £13.8m/fl a chostau untro o £3.1m i’r rhwydwaith cyfan (Llywodraeth Cymru, 2014). Megis yn y rhan fwyaf o ardaloedd eraill Ewro</w:t>
      </w:r>
      <w:r>
        <w:rPr>
          <w:lang w:val="cy-GB"/>
        </w:rPr>
        <w:t>p</w:t>
      </w:r>
      <w:r w:rsidRPr="008C2197">
        <w:rPr>
          <w:lang w:val="cy-GB"/>
        </w:rPr>
        <w:t>, mae costau rheoli rhwydwaith Cymru yn cael eu hysgwyddo ar hyn o bryd yn gyfan gwbl bron gan awdurdodau cyhoeddus. Tra bu llawer o’r ffocws ar lefel yr UE ar gynyddu’r arian a geir o gyllideb yr UE, cydnabyddir bod ffynonellau arian cyhoeddus eraill, ac arian gan y sector preifat a chyrff anllywodraethol eraill, hefyd yn bwysig – a’r disgwyl yw y byddant yn gynyddol bwysig yn y dyfodol. Er enghraifft, mae taliadau am wasanaethau ecosystem megis storio carbon, dal llifogydd, puro dŵr, yn ogystal â darparu nwyddau cyhoeddus fel tirwedd a bioamrywiaeth, yn cynnig ffynonellau ariannu newydd posib, gan brynwyr sector cyhoeddus (e.e. cynlluniau amaeth-amgylcheddol) yn ogystal â chynlluniau Talu am Wasanaethau Ecosystem sy’n cael eu hariannu’n breifat (e.e. taliadau gan gwmnïau dŵr, cynlluniau gwrthbwyso carbon).</w:t>
      </w:r>
    </w:p>
    <w:p w14:paraId="61132DDB" w14:textId="77777777" w:rsidR="001655CC" w:rsidRPr="008C2197" w:rsidRDefault="001655CC" w:rsidP="001655CC">
      <w:pPr>
        <w:rPr>
          <w:lang w:val="cy-GB"/>
        </w:rPr>
      </w:pPr>
      <w:r w:rsidRPr="008C2197">
        <w:rPr>
          <w:lang w:val="cy-GB"/>
        </w:rPr>
        <w:t>Er mwyn gwella’r ffordd y caiff y rhwydwaith ei reoli, dyfarnwyd arian LIFE+ i Cyfoeth Naturiol Cymru (CNC) i ariannu prosiect, Rhaglen LIFE Natura 2000 Cymru (LIFE 11 NAT/UK/385). Diben y prosiect yw datblygu rhaglen strategol, wedi’i blaenoriaethu, i reoli ac adfer safleoedd Natura 2000 Cymru. Bydd y rhaglen yn galluogi Cymru i wneud cynnydd sylweddol tuag at wella’r cynefinoedd a’r rhywogaethau dynodedig o fewn Natura 2000 nes eu bod mewn cyflwr ffafriol, ac yn helpu Cymru i gyflawni’i hymrwymiadau o dan Gyfarwyddebau Cynefinoedd ac Adar Ewrop. Mae’r adroddiad hwn yn cyfrannu at y rhaglen hon drwy archwilio opsiynau ariannu presennol Natura 2000 yng Nghymru ac opsiynau posib i’r dyfodol. Mae’n gweithredu fel rhyw fath o ‘fap ariannu’ ac adnodd sy’n cyfleu potensial gwahanol fathau o ariannu i fynd i’r afael â’r camau rheoli disgwyliedig, ac yn nodi’r mecanweithiau y gellir eu defnyddio i roi’r camau hynny ar waith. Mae felly yn ceisio darparu opsiynau i amrywio’r ffynonellau ariannu er mwyn ymdrin â bwlch ariannu disgwyliedig Natura 2000 Cymru. Mae’n gam pwysig i alluogi arfarniad eang ei gwmpas o opsiynau ariannu fel rhan o’r gwaith o ddatblygu’r Fframwaith Gweithredu â Blaenoriaeth, unwaith y bydd anghenion cadwraeth a rheolaeth Natura 2000 yng Nghymru wedi cael eu dwyn ynghyd a’u sefydlu ar eu gwedd derfynol.</w:t>
      </w:r>
    </w:p>
    <w:p w14:paraId="37D31A47" w14:textId="77777777" w:rsidR="001655CC" w:rsidRPr="008C2197" w:rsidRDefault="001655CC" w:rsidP="001655CC">
      <w:pPr>
        <w:pStyle w:val="Heading3NoNumb"/>
        <w:rPr>
          <w:lang w:val="cy-GB"/>
        </w:rPr>
      </w:pPr>
      <w:r w:rsidRPr="008C2197">
        <w:rPr>
          <w:lang w:val="cy-GB"/>
        </w:rPr>
        <w:t>Trefn yr astudiaeth</w:t>
      </w:r>
    </w:p>
    <w:p w14:paraId="38A3E8F7" w14:textId="77777777" w:rsidR="001655CC" w:rsidRPr="008C2197" w:rsidRDefault="001655CC" w:rsidP="001655CC">
      <w:pPr>
        <w:rPr>
          <w:lang w:val="cy-GB"/>
        </w:rPr>
      </w:pPr>
      <w:r w:rsidRPr="008C2197">
        <w:rPr>
          <w:lang w:val="cy-GB"/>
        </w:rPr>
        <w:t>Cynlluniwyd yr astudiaeth fel ei bod yn dwyn ynghyd yr elfennau allweddol sy’n ofynnol er mwyn deall y prif gyfleoedd i ehangu a chynyddu’r arian sydd ar gael i Natura 2000 a beth y gellir ei wneud i helpu i fanteisio’n llawn ar y cyfleoedd hyn. Ymgymerodd y prosiect â’r tasgau canlynol felly:</w:t>
      </w:r>
    </w:p>
    <w:p w14:paraId="032D170A" w14:textId="77777777" w:rsidR="001655CC" w:rsidRPr="008C2197" w:rsidRDefault="001655CC" w:rsidP="001655CC">
      <w:pPr>
        <w:pStyle w:val="Bullet1Last"/>
        <w:rPr>
          <w:lang w:val="cy-GB"/>
        </w:rPr>
      </w:pPr>
      <w:r w:rsidRPr="008C2197">
        <w:rPr>
          <w:lang w:val="cy-GB"/>
        </w:rPr>
        <w:t>Sefydlu llyfryddiaeth o ffynonellau ariannu.</w:t>
      </w:r>
    </w:p>
    <w:p w14:paraId="73D97CCC" w14:textId="77777777" w:rsidR="001655CC" w:rsidRPr="008C2197" w:rsidRDefault="001655CC" w:rsidP="001655CC">
      <w:pPr>
        <w:pStyle w:val="Bullet1Last"/>
        <w:rPr>
          <w:lang w:val="cy-GB"/>
        </w:rPr>
      </w:pPr>
      <w:r w:rsidRPr="008C2197">
        <w:rPr>
          <w:lang w:val="cy-GB"/>
        </w:rPr>
        <w:t>Adolygu rhestr hir o ffynonellau ariannu a’r cyfleoedd i gynyddu’r defnydd ohonynt ynghyd â mynediad.</w:t>
      </w:r>
    </w:p>
    <w:p w14:paraId="799597B8" w14:textId="77777777" w:rsidR="001655CC" w:rsidRPr="008C2197" w:rsidRDefault="001655CC" w:rsidP="001655CC">
      <w:pPr>
        <w:pStyle w:val="Bullet1Last"/>
        <w:rPr>
          <w:lang w:val="cy-GB"/>
        </w:rPr>
      </w:pPr>
      <w:r w:rsidRPr="008C2197">
        <w:rPr>
          <w:lang w:val="cy-GB"/>
        </w:rPr>
        <w:t>Adolygu opsiynau ariannu ar gyfer rhestr fer o fecanweithiau rheoli.</w:t>
      </w:r>
    </w:p>
    <w:p w14:paraId="7AEA571D" w14:textId="77777777" w:rsidR="001655CC" w:rsidRPr="008C2197" w:rsidRDefault="001655CC" w:rsidP="001655CC">
      <w:pPr>
        <w:rPr>
          <w:lang w:val="cy-GB"/>
        </w:rPr>
      </w:pPr>
      <w:r w:rsidRPr="008C2197">
        <w:rPr>
          <w:lang w:val="cy-GB"/>
        </w:rPr>
        <w:t>Bu adolygiadau o ffynonellau eilaidd ynghyd â chyfweliadau ymchwil cynradd gyda 30 o unigol</w:t>
      </w:r>
      <w:r>
        <w:rPr>
          <w:lang w:val="cy-GB"/>
        </w:rPr>
        <w:t>io</w:t>
      </w:r>
      <w:r w:rsidRPr="008C2197">
        <w:rPr>
          <w:lang w:val="cy-GB"/>
        </w:rPr>
        <w:t>n/ sefydliadau yn help gyda’r tasgau hyn.</w:t>
      </w:r>
    </w:p>
    <w:p w14:paraId="0B1CFBAF" w14:textId="77777777" w:rsidR="001655CC" w:rsidRPr="008C2197" w:rsidRDefault="001655CC" w:rsidP="001655CC">
      <w:pPr>
        <w:pStyle w:val="Heading2NoNumb"/>
        <w:rPr>
          <w:lang w:val="cy-GB"/>
        </w:rPr>
      </w:pPr>
      <w:bookmarkStart w:id="39" w:name="_Toc421880646"/>
      <w:r w:rsidRPr="008C2197">
        <w:rPr>
          <w:lang w:val="cy-GB"/>
        </w:rPr>
        <w:t>Angen cadwraethol, rheolaeth ac ariannu</w:t>
      </w:r>
      <w:bookmarkEnd w:id="39"/>
    </w:p>
    <w:p w14:paraId="71F01DB2" w14:textId="77777777" w:rsidR="001655CC" w:rsidRPr="008C2197" w:rsidRDefault="001655CC" w:rsidP="001655CC">
      <w:pPr>
        <w:rPr>
          <w:lang w:val="cy-GB"/>
        </w:rPr>
      </w:pPr>
      <w:r w:rsidRPr="008C2197">
        <w:rPr>
          <w:lang w:val="cy-GB"/>
        </w:rPr>
        <w:t xml:space="preserve">Rhaid seilio dadansoddiadau o gyfleoedd ariannu ar asesiad cadarn o anghenion rheoli ac anghenion ariannol safleoedd Natura 2000. Gellir datblygu hyn drwy hoelio sylw ar y materion cadwraeth y mae angen rhoi sylw iddynt, y mecanweithiau y gellir eu defnyddio i hwyluso’r gwaith o’u rheoli a’r camau rheoli sydd, yn eu tro, yn ofynnol er mwyn eu cyflawni. </w:t>
      </w:r>
    </w:p>
    <w:p w14:paraId="23B02D8D" w14:textId="77777777" w:rsidR="001655CC" w:rsidRPr="008C2197" w:rsidRDefault="001655CC" w:rsidP="001655CC">
      <w:pPr>
        <w:rPr>
          <w:lang w:val="cy-GB"/>
        </w:rPr>
      </w:pPr>
      <w:r w:rsidRPr="008C2197">
        <w:rPr>
          <w:lang w:val="cy-GB"/>
        </w:rPr>
        <w:t>Yn Ffigur A ceir diagram cynllunio o elfennau craidd fframwaith a ddefnyddir i ddatblygu cyfres o lwybrau rhesymeg sy’n mapio’r cysylltiadau rhwng anghenion cadwraeth penodol ac anghenion ariannu. Gellir defnyddio’r rhain wedyn wrth lunio arfarniadau ariannu yn y dyfodol. A</w:t>
      </w:r>
      <w:r>
        <w:rPr>
          <w:lang w:val="cy-GB"/>
        </w:rPr>
        <w:t>r</w:t>
      </w:r>
      <w:r w:rsidRPr="008C2197">
        <w:rPr>
          <w:lang w:val="cy-GB"/>
        </w:rPr>
        <w:t xml:space="preserve"> hyn o bryd, mae darlun manwl o’r anghenion cadwraeth a rheoli yn dal i gael ei ddatblygu. Felly, fe ddefnyddion ni deipolegau mecanweithiau rheoli, camau rheoli a ffynonellau ariannu y mae modd eu dwyn ynghyd drwy ddefnyddio matricsau. Dyma sail ein hadolygiad o gyfleoedd posib a chamau gweithredu i fanteisio arnynt, y mae modd ymchwilio iddynt fel rhan o’r arfarniadau ariannu manwl ar gyfer y Fframwaith Gweithredu â Blaenoriaeth.</w:t>
      </w:r>
    </w:p>
    <w:p w14:paraId="38D045AD" w14:textId="77777777" w:rsidR="001655CC" w:rsidRPr="008C2197" w:rsidRDefault="001655CC" w:rsidP="001655CC">
      <w:pPr>
        <w:pStyle w:val="Figure"/>
        <w:numPr>
          <w:ilvl w:val="0"/>
          <w:numId w:val="0"/>
        </w:numPr>
        <w:rPr>
          <w:lang w:val="cy-GB"/>
        </w:rPr>
      </w:pPr>
      <w:r w:rsidRPr="008C2197">
        <w:rPr>
          <w:lang w:val="cy-GB"/>
        </w:rPr>
        <w:t xml:space="preserve">Ffigur </w:t>
      </w:r>
      <w:r>
        <w:rPr>
          <w:lang w:val="cy-GB"/>
        </w:rPr>
        <w:t xml:space="preserve">A: </w:t>
      </w:r>
      <w:r w:rsidRPr="008C2197">
        <w:rPr>
          <w:lang w:val="cy-GB"/>
        </w:rPr>
        <w:t xml:space="preserve">Fframwaith Sylfaenol i Sefydlu Anghenion Ariannu Natura 2000 </w:t>
      </w:r>
    </w:p>
    <w:p w14:paraId="290DD451" w14:textId="77777777" w:rsidR="001655CC" w:rsidRPr="008C2197" w:rsidRDefault="001655CC" w:rsidP="001655CC">
      <w:pPr>
        <w:pStyle w:val="BodyText"/>
        <w:spacing w:before="0"/>
        <w:ind w:left="0"/>
        <w:jc w:val="left"/>
        <w:rPr>
          <w:lang w:val="cy-GB"/>
        </w:rPr>
      </w:pPr>
      <w:r w:rsidRPr="008C2197">
        <w:rPr>
          <w:noProof/>
          <w:lang w:eastAsia="en-GB"/>
        </w:rPr>
        <mc:AlternateContent>
          <mc:Choice Requires="wps">
            <w:drawing>
              <wp:anchor distT="0" distB="0" distL="114300" distR="114300" simplePos="0" relativeHeight="251669504" behindDoc="0" locked="0" layoutInCell="1" allowOverlap="1" wp14:anchorId="08A41BFE" wp14:editId="1AD295E6">
                <wp:simplePos x="0" y="0"/>
                <wp:positionH relativeFrom="page">
                  <wp:posOffset>6052185</wp:posOffset>
                </wp:positionH>
                <wp:positionV relativeFrom="paragraph">
                  <wp:posOffset>695960</wp:posOffset>
                </wp:positionV>
                <wp:extent cx="1050290" cy="1350645"/>
                <wp:effectExtent l="0" t="0" r="16510" b="20955"/>
                <wp:wrapNone/>
                <wp:docPr id="18" name="Rounded Rectangle 18"/>
                <wp:cNvGraphicFramePr/>
                <a:graphic xmlns:a="http://schemas.openxmlformats.org/drawingml/2006/main">
                  <a:graphicData uri="http://schemas.microsoft.com/office/word/2010/wordprocessingShape">
                    <wps:wsp>
                      <wps:cNvSpPr/>
                      <wps:spPr>
                        <a:xfrm>
                          <a:off x="0" y="0"/>
                          <a:ext cx="1050290" cy="13506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A91F5B" w14:textId="77777777" w:rsidR="001655CC" w:rsidRDefault="001655CC" w:rsidP="001655CC">
                            <w:pPr>
                              <w:ind w:left="-142" w:right="-94"/>
                              <w:jc w:val="center"/>
                              <w:rPr>
                                <w:rFonts w:asciiTheme="minorHAnsi" w:hAnsiTheme="minorHAnsi"/>
                                <w:sz w:val="28"/>
                                <w:szCs w:val="28"/>
                              </w:rPr>
                            </w:pPr>
                            <w:r>
                              <w:rPr>
                                <w:rFonts w:asciiTheme="minorHAnsi" w:hAnsiTheme="minorHAnsi"/>
                                <w:sz w:val="28"/>
                                <w:szCs w:val="28"/>
                              </w:rPr>
                              <w:t>Ffynonellau ariannu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8A41BFE" id="Rounded Rectangle 18" o:spid="_x0000_s1026" style="position:absolute;margin-left:476.55pt;margin-top:54.8pt;width:82.7pt;height:106.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" fillcolor="#4f81bd [3204]" strokecolor="#243f60 [1604]" strokeweight="2pt">
                <v:textbox>
                  <w:txbxContent>
                    <w:p w14:paraId="1FA91F5B" w14:textId="77777777" w:rsidR="001655CC" w:rsidRDefault="001655CC" w:rsidP="001655CC">
                      <w:pPr>
                        <w:ind w:left="-142" w:right="-94"/>
                        <w:jc w:val="center"/>
                        <w:rPr>
                          <w:rFonts w:asciiTheme="minorHAnsi" w:hAnsiTheme="minorHAnsi"/>
                          <w:sz w:val="28"/>
                          <w:szCs w:val="28"/>
                        </w:rPr>
                      </w:pPr>
                      <w:r>
                        <w:rPr>
                          <w:rFonts w:asciiTheme="minorHAnsi" w:hAnsiTheme="minorHAnsi"/>
                          <w:sz w:val="28"/>
                          <w:szCs w:val="28"/>
                        </w:rPr>
                        <w:t>Ffynonellau ariannu</w:t>
                      </w:r>
                    </w:p>
                  </w:txbxContent>
                </v:textbox>
                <w10:wrap anchorx="page"/>
              </v:roundrect>
            </w:pict>
          </mc:Fallback>
        </mc:AlternateContent>
      </w:r>
      <w:r w:rsidRPr="008C2197">
        <w:rPr>
          <w:noProof/>
          <w:lang w:eastAsia="en-GB"/>
        </w:rPr>
        <mc:AlternateContent>
          <mc:Choice Requires="wps">
            <w:drawing>
              <wp:anchor distT="0" distB="0" distL="114300" distR="114300" simplePos="0" relativeHeight="251672576" behindDoc="0" locked="0" layoutInCell="1" allowOverlap="1" wp14:anchorId="1BCD5BFE" wp14:editId="304EE508">
                <wp:simplePos x="0" y="0"/>
                <wp:positionH relativeFrom="margin">
                  <wp:posOffset>1726565</wp:posOffset>
                </wp:positionH>
                <wp:positionV relativeFrom="paragraph">
                  <wp:posOffset>680085</wp:posOffset>
                </wp:positionV>
                <wp:extent cx="1668780" cy="1381760"/>
                <wp:effectExtent l="0" t="0" r="26670" b="27940"/>
                <wp:wrapNone/>
                <wp:docPr id="19" name="Rounded Rectangle 19"/>
                <wp:cNvGraphicFramePr/>
                <a:graphic xmlns:a="http://schemas.openxmlformats.org/drawingml/2006/main">
                  <a:graphicData uri="http://schemas.microsoft.com/office/word/2010/wordprocessingShape">
                    <wps:wsp>
                      <wps:cNvSpPr/>
                      <wps:spPr>
                        <a:xfrm>
                          <a:off x="0" y="0"/>
                          <a:ext cx="1668780" cy="13817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11BD2D0" id="Rounded Rectangle 19" o:spid="_x0000_s1026" style="position:absolute;margin-left:135.95pt;margin-top:53.55pt;width:131.4pt;height:108.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" filled="f" strokecolor="#243f60 [1604]" strokeweight="2pt">
                <w10:wrap anchorx="margin"/>
              </v:roundrect>
            </w:pict>
          </mc:Fallback>
        </mc:AlternateContent>
      </w:r>
      <w:r w:rsidRPr="008C2197">
        <w:rPr>
          <w:noProof/>
          <w:lang w:eastAsia="en-GB"/>
        </w:rPr>
        <mc:AlternateContent>
          <mc:Choice Requires="wps">
            <w:drawing>
              <wp:anchor distT="0" distB="0" distL="114300" distR="114300" simplePos="0" relativeHeight="251670528" behindDoc="0" locked="0" layoutInCell="1" allowOverlap="1" wp14:anchorId="5DB541DD" wp14:editId="0DACB2F3">
                <wp:simplePos x="0" y="0"/>
                <wp:positionH relativeFrom="margin">
                  <wp:posOffset>5036185</wp:posOffset>
                </wp:positionH>
                <wp:positionV relativeFrom="paragraph">
                  <wp:posOffset>1292860</wp:posOffset>
                </wp:positionV>
                <wp:extent cx="233680" cy="127635"/>
                <wp:effectExtent l="0" t="0" r="13970" b="24765"/>
                <wp:wrapNone/>
                <wp:docPr id="20" name="Left Arrow 20"/>
                <wp:cNvGraphicFramePr/>
                <a:graphic xmlns:a="http://schemas.openxmlformats.org/drawingml/2006/main">
                  <a:graphicData uri="http://schemas.microsoft.com/office/word/2010/wordprocessingShape">
                    <wps:wsp>
                      <wps:cNvSpPr/>
                      <wps:spPr>
                        <a:xfrm>
                          <a:off x="0" y="0"/>
                          <a:ext cx="233680" cy="12763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8AA2C3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0" o:spid="_x0000_s1026" type="#_x0000_t66" style="position:absolute;margin-left:396.55pt;margin-top:101.8pt;width:18.4pt;height:10.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" adj="5899" fillcolor="#4f81bd [3204]" strokecolor="#243f60 [1604]" strokeweight="2pt">
                <w10:wrap anchorx="margin"/>
              </v:shape>
            </w:pict>
          </mc:Fallback>
        </mc:AlternateContent>
      </w:r>
      <w:r w:rsidRPr="008C2197">
        <w:rPr>
          <w:noProof/>
          <w:lang w:eastAsia="en-GB"/>
        </w:rPr>
        <mc:AlternateContent>
          <mc:Choice Requires="wps">
            <w:drawing>
              <wp:anchor distT="0" distB="0" distL="114300" distR="114300" simplePos="0" relativeHeight="251671552" behindDoc="0" locked="0" layoutInCell="1" allowOverlap="1" wp14:anchorId="3559CAD3" wp14:editId="50C6E37B">
                <wp:simplePos x="0" y="0"/>
                <wp:positionH relativeFrom="column">
                  <wp:posOffset>1619885</wp:posOffset>
                </wp:positionH>
                <wp:positionV relativeFrom="paragraph">
                  <wp:posOffset>647700</wp:posOffset>
                </wp:positionV>
                <wp:extent cx="2136775" cy="32893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136775" cy="3289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24BA5B" w14:textId="77777777" w:rsidR="001655CC" w:rsidRDefault="001655CC" w:rsidP="001655CC">
                            <w:pPr>
                              <w:spacing w:before="0" w:after="0"/>
                              <w:rPr>
                                <w:rFonts w:asciiTheme="minorHAnsi" w:hAnsiTheme="minorHAnsi"/>
                                <w:color w:val="FFFFFF" w:themeColor="background1"/>
                                <w:sz w:val="28"/>
                                <w:szCs w:val="28"/>
                              </w:rPr>
                            </w:pPr>
                            <w:r>
                              <w:rPr>
                                <w:rFonts w:asciiTheme="minorHAnsi" w:hAnsiTheme="minorHAnsi"/>
                                <w:color w:val="FFFFFF" w:themeColor="background1"/>
                                <w:sz w:val="28"/>
                                <w:szCs w:val="28"/>
                              </w:rPr>
                              <w:t>Mecanweithiau rheoli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59CAD3" id="_x0000_t202" coordsize="21600,21600" o:spt="202" path="m,l,21600r21600,l21600,xe">
                <v:stroke joinstyle="miter"/>
                <v:path gradientshapeok="t" o:connecttype="rect"/>
              </v:shapetype>
              <v:shape id="Text Box 21" o:spid="_x0000_s1027" type="#_x0000_t202" style="position:absolute;margin-left:127.55pt;margin-top:51pt;width:168.25pt;height:2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" filled="f" stroked="f" strokeweight=".5pt">
                <v:textbox>
                  <w:txbxContent>
                    <w:p w14:paraId="3624BA5B" w14:textId="77777777" w:rsidR="001655CC" w:rsidRDefault="001655CC" w:rsidP="001655CC">
                      <w:pPr>
                        <w:spacing w:before="0" w:after="0"/>
                        <w:rPr>
                          <w:rFonts w:asciiTheme="minorHAnsi" w:hAnsiTheme="minorHAnsi"/>
                          <w:color w:val="FFFFFF" w:themeColor="background1"/>
                          <w:sz w:val="28"/>
                          <w:szCs w:val="28"/>
                        </w:rPr>
                      </w:pPr>
                      <w:r>
                        <w:rPr>
                          <w:rFonts w:asciiTheme="minorHAnsi" w:hAnsiTheme="minorHAnsi"/>
                          <w:color w:val="FFFFFF" w:themeColor="background1"/>
                          <w:sz w:val="28"/>
                          <w:szCs w:val="28"/>
                        </w:rPr>
                        <w:t>Mecanweithiau rheoli</w:t>
                      </w:r>
                    </w:p>
                  </w:txbxContent>
                </v:textbox>
              </v:shape>
            </w:pict>
          </mc:Fallback>
        </mc:AlternateContent>
      </w:r>
      <w:r w:rsidRPr="008C2197">
        <w:rPr>
          <w:noProof/>
          <w:lang w:val="cy-GB" w:eastAsia="en-GB"/>
        </w:rPr>
        <w:t xml:space="preserve"> </w:t>
      </w:r>
      <w:r w:rsidRPr="008C2197">
        <w:rPr>
          <w:noProof/>
          <w:lang w:eastAsia="en-GB"/>
        </w:rPr>
        <w:drawing>
          <wp:inline distT="0" distB="0" distL="0" distR="0" wp14:anchorId="7911D5EC" wp14:editId="3C48C2AF">
            <wp:extent cx="5105400" cy="2752725"/>
            <wp:effectExtent l="0" t="0" r="0" b="9525"/>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1296F26F" w14:textId="3A5ECFED" w:rsidR="001655CC" w:rsidRPr="008C2197" w:rsidRDefault="001655CC" w:rsidP="001655CC">
      <w:pPr>
        <w:rPr>
          <w:lang w:val="cy-GB"/>
        </w:rPr>
      </w:pPr>
      <w:r w:rsidRPr="008C2197">
        <w:rPr>
          <w:b/>
          <w:lang w:val="cy-GB"/>
        </w:rPr>
        <w:t>Camau rheoli</w:t>
      </w:r>
      <w:r w:rsidRPr="008C2197">
        <w:rPr>
          <w:lang w:val="cy-GB"/>
        </w:rPr>
        <w:t xml:space="preserve"> yw’r camau sy’n cyflawni’r newidiadau sy’n ofynnol er mwyn ymdrin â’r pwysau a’r bygythiadau sydd wedi’u nodi, drwy’r mecanwaith rheoli priodol. Ar gyfer y camau hyn y mae angen arian a nhw sy’n darparu’r sylfaen y gellir bwrw ymlaen â’r dadansoddiad ariannu arni. Gellir gweithredu mewn sawl ffordd. Mae’r Comisiwn Ewropeaidd (2013) yn nodi teipoleg sy’n defnyddio rhestr o 25 o fesurau rheoli Natura 2000 (</w:t>
      </w:r>
      <w:r w:rsidRPr="001655CC">
        <w:rPr>
          <w:lang w:val="cy-GB"/>
        </w:rPr>
        <w:t xml:space="preserve">gweler </w:t>
      </w:r>
      <w:r>
        <w:fldChar w:fldCharType="begin"/>
      </w:r>
      <w:r>
        <w:rPr>
          <w:lang w:val="cy-GB"/>
        </w:rPr>
        <w:instrText xml:space="preserve"> REF _Ref421880502 \r \h </w:instrText>
      </w:r>
      <w:r>
        <w:fldChar w:fldCharType="separate"/>
      </w:r>
      <w:r>
        <w:rPr>
          <w:lang w:val="cy-GB"/>
        </w:rPr>
        <w:t>Tabl 2.1</w:t>
      </w:r>
      <w:r>
        <w:fldChar w:fldCharType="end"/>
      </w:r>
      <w:r w:rsidRPr="008C2197">
        <w:rPr>
          <w:lang w:val="cy-GB"/>
        </w:rPr>
        <w:t>) ac mae’r rhain wedi cael eu defnyddio yn Fframwaith Gweithredu â Blaenoriaeth Cymru. Maen nhw’n cynnwys pedwar grŵp o fesurau yn ymwneud â: sefydlu safleoedd Natura 2000, cynllunio rheolaeth, rheoli a monitro cynefinoedd yn rheolaidd, a buddsoddiadau.</w:t>
      </w:r>
    </w:p>
    <w:p w14:paraId="43DF38FB" w14:textId="77777777" w:rsidR="001655CC" w:rsidRPr="008C2197" w:rsidRDefault="001655CC" w:rsidP="001655CC">
      <w:pPr>
        <w:rPr>
          <w:lang w:val="cy-GB"/>
        </w:rPr>
      </w:pPr>
      <w:r w:rsidRPr="008C2197">
        <w:rPr>
          <w:b/>
          <w:lang w:val="cy-GB"/>
        </w:rPr>
        <w:t xml:space="preserve">Mecanweithiau rheoli </w:t>
      </w:r>
      <w:r w:rsidRPr="008C2197">
        <w:rPr>
          <w:lang w:val="cy-GB"/>
        </w:rPr>
        <w:t xml:space="preserve">yw’r cyfryngau sy’n ei gwneud yn bosib cyflawni’r camau i fynd i’r afael â’r anghenion cadwraeth. Defnyddiwyd dau adroddiad ymchwil mewnol gan CNC (Cyfoeth Naturiol Cymru, </w:t>
      </w:r>
      <w:r>
        <w:rPr>
          <w:lang w:val="cy-GB"/>
        </w:rPr>
        <w:t xml:space="preserve">2014), </w:t>
      </w:r>
      <w:r w:rsidRPr="008C2197">
        <w:rPr>
          <w:lang w:val="cy-GB"/>
        </w:rPr>
        <w:t>sy’n adlewyrchu barn rheolwyr safle a rhanddeiliaid perthnasol eraill, i gyfrannu at ein dealltwriaeth o’r materion hyn ac fel sail i ddethol y mecanweithiau sy’n cael eu hystyried yn yr ymchwil hwn. Mewn rhai achosion roedd y rhain yn cyd-fynd yn dda â chamau rheoli penodol.</w:t>
      </w:r>
    </w:p>
    <w:p w14:paraId="6599D8E9" w14:textId="77777777" w:rsidR="001655CC" w:rsidRPr="008C2197" w:rsidRDefault="001655CC" w:rsidP="001655CC">
      <w:pPr>
        <w:pStyle w:val="Heading2NoNumb"/>
        <w:rPr>
          <w:lang w:val="cy-GB"/>
        </w:rPr>
      </w:pPr>
      <w:bookmarkStart w:id="40" w:name="_Toc421880647"/>
      <w:r w:rsidRPr="008C2197">
        <w:rPr>
          <w:lang w:val="cy-GB"/>
        </w:rPr>
        <w:t>Mapio ffynonellau ariannu i gamau rheoli a mecanweithiau rheoli</w:t>
      </w:r>
      <w:bookmarkEnd w:id="40"/>
    </w:p>
    <w:p w14:paraId="5A2359C7" w14:textId="77777777" w:rsidR="001655CC" w:rsidRPr="008C2197" w:rsidRDefault="001655CC" w:rsidP="001655CC">
      <w:pPr>
        <w:rPr>
          <w:lang w:val="cy-GB"/>
        </w:rPr>
      </w:pPr>
      <w:r w:rsidRPr="008C2197">
        <w:rPr>
          <w:lang w:val="cy-GB"/>
        </w:rPr>
        <w:t>Gellir darparu arian ar gyfer rhwydwaith Natura 2000 drwy amryw o fathau gwahanol o gyfryngau. Mae’r opsiynau ariannu yn amrywiol ond maent hefyd yn hynod o dameidiog, sy’n creu bylchau a diffyg parhad. Rydym wedi categoreiddio’r ffynonellau ariannu sydd ar gael yn ôl pum prif fath:</w:t>
      </w:r>
    </w:p>
    <w:p w14:paraId="19382028" w14:textId="77777777" w:rsidR="001655CC" w:rsidRPr="008C2197" w:rsidRDefault="001655CC" w:rsidP="001655CC">
      <w:pPr>
        <w:pStyle w:val="Bullet1Last"/>
        <w:ind w:left="341" w:hanging="284"/>
        <w:rPr>
          <w:lang w:val="cy-GB"/>
        </w:rPr>
      </w:pPr>
      <w:r w:rsidRPr="008C2197">
        <w:rPr>
          <w:lang w:val="cy-GB"/>
        </w:rPr>
        <w:t>Arian cyhoeddus – arian gan CNC yw’r ffynhonnell ariannu fwyaf uniongyrchol a phwrpasol ar gyfer rhwydwaith Natura 2000 yng Nghymru, yn adlewyrchu cyfrifoldeb statudol CNC am y rhwydwaith.</w:t>
      </w:r>
    </w:p>
    <w:p w14:paraId="1936517C" w14:textId="77777777" w:rsidR="001655CC" w:rsidRPr="008C2197" w:rsidRDefault="001655CC" w:rsidP="001655CC">
      <w:pPr>
        <w:pStyle w:val="Bullet1Last"/>
        <w:ind w:left="341" w:hanging="284"/>
        <w:rPr>
          <w:lang w:val="cy-GB"/>
        </w:rPr>
      </w:pPr>
      <w:r w:rsidRPr="008C2197">
        <w:rPr>
          <w:lang w:val="cy-GB"/>
        </w:rPr>
        <w:t>Arian gan yr UE: Mae nifer o wahanol gyfryngu ariannu o eiddo’r UE yn berthnasol o ran ariannu Natura 2000 (e.e. Cronfa Amaethyddiaeth Ewrop ar gyfer Datblygu Gwledig, EAFRD). Fodd bynnag, dylid nodi mai dim ond LIFE sy’n darparu cymorth pwrpasol i fioamrywiaeth a Natura 2000.</w:t>
      </w:r>
    </w:p>
    <w:p w14:paraId="53E0C94E" w14:textId="77777777" w:rsidR="001655CC" w:rsidRPr="008C2197" w:rsidRDefault="001655CC" w:rsidP="001655CC">
      <w:pPr>
        <w:pStyle w:val="Bullet1Last"/>
        <w:ind w:left="341" w:hanging="284"/>
        <w:rPr>
          <w:lang w:val="cy-GB"/>
        </w:rPr>
      </w:pPr>
      <w:r w:rsidRPr="008C2197">
        <w:rPr>
          <w:lang w:val="cy-GB"/>
        </w:rPr>
        <w:t>Cynlluniau a strategaethau sectorau erai</w:t>
      </w:r>
      <w:r>
        <w:rPr>
          <w:lang w:val="cy-GB"/>
        </w:rPr>
        <w:t>l</w:t>
      </w:r>
      <w:r w:rsidRPr="008C2197">
        <w:rPr>
          <w:lang w:val="cy-GB"/>
        </w:rPr>
        <w:t>l, ac arian cyhoeddus: gallai Natura 2000 elwa hefyd o bosib o gyllidebau sector cyhoeddus eraill, lle mae anghenion y rhwydwaith yn cyd-fynd ag amcanion polisi eraill, megis rheoli perygl llifogydd ac erydu arfordirol.</w:t>
      </w:r>
    </w:p>
    <w:p w14:paraId="71978535" w14:textId="77777777" w:rsidR="001655CC" w:rsidRPr="008C2197" w:rsidRDefault="001655CC" w:rsidP="001655CC">
      <w:pPr>
        <w:pStyle w:val="Bullet1Last"/>
        <w:ind w:left="341" w:hanging="284"/>
        <w:rPr>
          <w:lang w:val="cy-GB"/>
        </w:rPr>
      </w:pPr>
      <w:r w:rsidRPr="008C2197">
        <w:rPr>
          <w:lang w:val="cy-GB"/>
        </w:rPr>
        <w:t>Arian preifat, Loteri a sector gwirfoddol: Darperir arian gan sefydliadau yn cynnwys busnesau ac ymddiriedolaethau elusennol – un ai ar ffurf cymorth ariannol drwy grantiau neu nawdd, neu drwy weithgareddau rheoli uniongyrchol.</w:t>
      </w:r>
    </w:p>
    <w:p w14:paraId="5CDE3438" w14:textId="77777777" w:rsidR="001655CC" w:rsidRPr="008C2197" w:rsidRDefault="001655CC" w:rsidP="001655CC">
      <w:pPr>
        <w:pStyle w:val="Bullet1Last"/>
        <w:ind w:left="341" w:hanging="284"/>
        <w:rPr>
          <w:lang w:val="cy-GB"/>
        </w:rPr>
      </w:pPr>
      <w:r>
        <w:rPr>
          <w:lang w:val="cy-GB"/>
        </w:rPr>
        <w:t>Dulliau ariannu amgen</w:t>
      </w:r>
      <w:r w:rsidRPr="008C2197">
        <w:rPr>
          <w:lang w:val="cy-GB"/>
        </w:rPr>
        <w:t>: Mae ffynonellau ariannu eraill yn rhai sy’n cael eu datblygu neu heb eu profi, neu maen nhw’n canolbwyntio ar feysydd sydd â chyswllt mwy anuniongyrchol â rheolaeth Natura 2000 (pethau fel sgiliau, hyfforddiant a monitro seilwaith). Mae nifer o’r rhain yn ceisio cipio arian sector preifat drwy fanteisio ar y buddion gwasanaethau ecosystem y mae safleoedd Natura 2000 yn eu darparu. Drwy ddatblygu ffynonellau ariannu amgen, neu drwy ddefnyddio dulliau sy’n cael gwared â’r angen i ariannu drwy annog camau rheoli uniongyrchol gan y sector preifat, caiff y baich ariannu ar y sector cyhoeddus ei leihau, gan ganiatáu i arian cyhoeddus craidd gael ei dargedu ar feysydd eraill lle mae angen ariannu.</w:t>
      </w:r>
    </w:p>
    <w:p w14:paraId="53862CD2" w14:textId="77777777" w:rsidR="001655CC" w:rsidRPr="008C2197" w:rsidRDefault="001655CC" w:rsidP="001655CC">
      <w:pPr>
        <w:pStyle w:val="Heading3NoNumb"/>
        <w:rPr>
          <w:lang w:val="cy-GB"/>
        </w:rPr>
      </w:pPr>
      <w:r w:rsidRPr="008C2197">
        <w:rPr>
          <w:lang w:val="cy-GB"/>
        </w:rPr>
        <w:t>Ffynonellau ariannu ar gyfer camau rheoli</w:t>
      </w:r>
    </w:p>
    <w:p w14:paraId="5D726461" w14:textId="3BEFE5D5" w:rsidR="001655CC" w:rsidRPr="008C2197" w:rsidRDefault="001655CC" w:rsidP="001655CC">
      <w:pPr>
        <w:rPr>
          <w:lang w:val="cy-GB"/>
        </w:rPr>
      </w:pPr>
      <w:r w:rsidRPr="008C2197">
        <w:rPr>
          <w:lang w:val="cy-GB"/>
        </w:rPr>
        <w:t xml:space="preserve">Mae gwahanol ffynonellau ariannu yn gweddu i wahanol gamau rheoli. Mae </w:t>
      </w:r>
      <w:r>
        <w:rPr>
          <w:highlight w:val="yellow"/>
          <w:lang w:val="cy-GB"/>
        </w:rPr>
        <w:fldChar w:fldCharType="begin"/>
      </w:r>
      <w:r>
        <w:rPr>
          <w:lang w:val="cy-GB"/>
        </w:rPr>
        <w:instrText xml:space="preserve"> REF _Ref421880535 \r \h </w:instrText>
      </w:r>
      <w:r>
        <w:rPr>
          <w:highlight w:val="yellow"/>
          <w:lang w:val="cy-GB"/>
        </w:rPr>
      </w:r>
      <w:r>
        <w:rPr>
          <w:highlight w:val="yellow"/>
          <w:lang w:val="cy-GB"/>
        </w:rPr>
        <w:fldChar w:fldCharType="separate"/>
      </w:r>
      <w:r>
        <w:rPr>
          <w:lang w:val="cy-GB"/>
        </w:rPr>
        <w:t>Tabl 3.3</w:t>
      </w:r>
      <w:r>
        <w:rPr>
          <w:highlight w:val="yellow"/>
          <w:lang w:val="cy-GB"/>
        </w:rPr>
        <w:fldChar w:fldCharType="end"/>
      </w:r>
      <w:r>
        <w:rPr>
          <w:lang w:val="cy-GB"/>
        </w:rPr>
        <w:t xml:space="preserve"> </w:t>
      </w:r>
      <w:r w:rsidRPr="008C2197">
        <w:rPr>
          <w:lang w:val="cy-GB"/>
        </w:rPr>
        <w:t>yn y prif adroddiad yn rhoi trosolwg o’r potensial i ffynonellau ariannu camau rheoli. Mae’n dangos bod amryw o ffynonellau ariannu posib ar gael i bob cam rheoli. Fodd bynnag, mewn gwirionedd bydd pa mor gymwys yw pob ffynhonnell ariannu yn dibynnu ar nodweddion y cam rheoli unigol sydd i gael ei roi ar waith h.y. ble mae, pa fater y mae’n mynd i’r afael ag ef, ar bwy y mae’n effeithio a beth yw ei amcanion neu’i effeithiau ehangach y tu hwnt i gadwraeth.</w:t>
      </w:r>
    </w:p>
    <w:p w14:paraId="0881D341" w14:textId="77777777" w:rsidR="001655CC" w:rsidRPr="008C2197" w:rsidRDefault="001655CC" w:rsidP="001655CC">
      <w:pPr>
        <w:rPr>
          <w:lang w:val="cy-GB"/>
        </w:rPr>
      </w:pPr>
      <w:r w:rsidRPr="008C2197">
        <w:rPr>
          <w:lang w:val="cy-GB"/>
        </w:rPr>
        <w:t xml:space="preserve">Gallai rhai ffynonellau ariannu fod yn gymwys i amrywiaeth eang o gamau gweithredu, e.e. Cronfa Dreftadaeth y Loteri. O dan y gronfa hon, gellir ariannu ystod eang o weithgareddau cadwraeth yn ymwneud â chynefinoedd, arolygu a monitro, cynllunio rheolaeth, staffio, sgiliau a phrynu tir, yn unol â ffocws bras y ffynhonnell ariannu. Fodd bynnag, mae cyfyngiadau amser ar brosiectau a chyfyngir ar fynediad at yr arian gan derfynau’r gronfa a chystadleuaeth am yr arian sydd ar gael, yr angen i fod ag adnoddau ymlaen llaw i baratoi cais, a’r adnoddau gweinyddol rheolaidd sy’n ofynnol i roi’r grant ar waith. </w:t>
      </w:r>
    </w:p>
    <w:p w14:paraId="77921B4F" w14:textId="77777777" w:rsidR="001655CC" w:rsidRPr="008C2197" w:rsidRDefault="001655CC" w:rsidP="001655CC">
      <w:pPr>
        <w:rPr>
          <w:lang w:val="cy-GB"/>
        </w:rPr>
      </w:pPr>
      <w:r w:rsidRPr="008C2197">
        <w:rPr>
          <w:lang w:val="cy-GB"/>
        </w:rPr>
        <w:t xml:space="preserve">Mae cronfeydd yr UE yn darparu ar gyfer ystod eang o gamau rheoli posib. Yn arbennig, mae nifer o erthyglau cronfeydd yr UE – yn bennaf o fewn EAFRD, EMFF a LIFE – yn cynnwys cyfeiriadau penodol sy’n cefnogi amcanion Natura 2000 neu gadwraeth bioamrywiaeth, ond fod iddynt flaenoriaethau sy’n cystadlu yn eu herbyn hefyd. </w:t>
      </w:r>
    </w:p>
    <w:p w14:paraId="3B2E9678" w14:textId="77777777" w:rsidR="001655CC" w:rsidRPr="008C2197" w:rsidRDefault="001655CC" w:rsidP="001655CC">
      <w:pPr>
        <w:pStyle w:val="Heading3NoNumb"/>
        <w:rPr>
          <w:lang w:val="cy-GB"/>
        </w:rPr>
      </w:pPr>
      <w:r w:rsidRPr="008C2197">
        <w:rPr>
          <w:lang w:val="cy-GB"/>
        </w:rPr>
        <w:t xml:space="preserve">Ffynonellau ariannu ar gyfer </w:t>
      </w:r>
      <w:r>
        <w:rPr>
          <w:lang w:val="cy-GB"/>
        </w:rPr>
        <w:t xml:space="preserve">mecanweithiau </w:t>
      </w:r>
      <w:r w:rsidRPr="008C2197">
        <w:rPr>
          <w:lang w:val="cy-GB"/>
        </w:rPr>
        <w:t>rheoli</w:t>
      </w:r>
    </w:p>
    <w:p w14:paraId="054F3B4F" w14:textId="77777777" w:rsidR="001655CC" w:rsidRPr="008C2197" w:rsidRDefault="001655CC" w:rsidP="001655CC">
      <w:pPr>
        <w:rPr>
          <w:lang w:val="cy-GB"/>
        </w:rPr>
      </w:pPr>
      <w:r w:rsidRPr="008C2197">
        <w:rPr>
          <w:lang w:val="cy-GB"/>
        </w:rPr>
        <w:t xml:space="preserve">Mecanweithiau rheoli yw’r cyfryngau sy’n ei gwneud yn bosib cyflawni’r camau rheoli i fynd i’r afael ag anghenion cadwraeth Natura 2000. Gelir defnyddio nifer o fecanweithiau rheoli gwahanol i gyflawni camau rheoli ar safleoedd Natura 2000. Gellir nodi pedwar cyswllt cyffredinol rhwng mecanweithiau rheoli ac ariannu: </w:t>
      </w:r>
    </w:p>
    <w:p w14:paraId="4BA304A3" w14:textId="77777777" w:rsidR="001655CC" w:rsidRPr="008C2197" w:rsidRDefault="001655CC" w:rsidP="001655CC">
      <w:pPr>
        <w:pStyle w:val="Bullet1Last"/>
        <w:ind w:left="341" w:hanging="284"/>
        <w:rPr>
          <w:lang w:val="cy-GB"/>
        </w:rPr>
      </w:pPr>
      <w:r w:rsidRPr="008C2197">
        <w:rPr>
          <w:lang w:val="cy-GB"/>
        </w:rPr>
        <w:t>Mecanweithiau rheoli sydd ag arian pwrpasol ynghlwm wrthynt, y mae modd ei ddefnyddio i gyflawni camau rheoli ar gyfer Natura 2000, er enghraifft cytundebau amaeth-amgylcheddol Glastir.</w:t>
      </w:r>
    </w:p>
    <w:p w14:paraId="47F5D13C" w14:textId="77777777" w:rsidR="001655CC" w:rsidRPr="008C2197" w:rsidRDefault="001655CC" w:rsidP="001655CC">
      <w:pPr>
        <w:pStyle w:val="Bullet1Last"/>
        <w:ind w:left="341" w:hanging="284"/>
        <w:rPr>
          <w:lang w:val="cy-GB"/>
        </w:rPr>
      </w:pPr>
      <w:r w:rsidRPr="008C2197">
        <w:rPr>
          <w:lang w:val="cy-GB"/>
        </w:rPr>
        <w:t xml:space="preserve">Mecanweithiau rheoli a allai gyflawni camau rheoli ar gyfer Natura 2000 </w:t>
      </w:r>
      <w:r>
        <w:rPr>
          <w:lang w:val="cy-GB"/>
        </w:rPr>
        <w:t>ond f</w:t>
      </w:r>
      <w:r w:rsidRPr="008C2197">
        <w:rPr>
          <w:lang w:val="cy-GB"/>
        </w:rPr>
        <w:t>od angen arian i fedru’u defnyddio. Gall ffynonellau ariannu presennol ddarparu arian tymor byr i brosiectau sy’n ceisio bod yn gatalydd i ddatblygu mecanweithiau tymor hwy ar gyfer ariannu a rheoli rheolaidd (e.e. prosiectau sy’n cael eu hariannu gan LIFE i ddatblygu a threialu taliadau am wasanaethau ecosystem).</w:t>
      </w:r>
    </w:p>
    <w:p w14:paraId="3C68B37A" w14:textId="77777777" w:rsidR="001655CC" w:rsidRPr="008C2197" w:rsidRDefault="001655CC" w:rsidP="001655CC">
      <w:pPr>
        <w:pStyle w:val="Bullet1Last"/>
        <w:ind w:left="341" w:hanging="284"/>
        <w:rPr>
          <w:lang w:val="cy-GB"/>
        </w:rPr>
      </w:pPr>
      <w:r w:rsidRPr="008C2197">
        <w:rPr>
          <w:lang w:val="cy-GB"/>
        </w:rPr>
        <w:t>Mecanweithiau rheoli a allai leihau’r angen am arian Natura 2000 (e.e. gallai integreiddio anghenion rheoli i gynlluniau sector eraill leihau’r gofynion am weithgarwch cadwraeth pwrpasol).</w:t>
      </w:r>
    </w:p>
    <w:p w14:paraId="17BA3081" w14:textId="77777777" w:rsidR="001655CC" w:rsidRPr="008C2197" w:rsidRDefault="001655CC" w:rsidP="001655CC">
      <w:pPr>
        <w:pStyle w:val="Bullet1Last"/>
        <w:ind w:left="341" w:hanging="284"/>
        <w:rPr>
          <w:lang w:val="cy-GB"/>
        </w:rPr>
      </w:pPr>
      <w:r w:rsidRPr="008C2197">
        <w:rPr>
          <w:lang w:val="cy-GB"/>
        </w:rPr>
        <w:t>Mecanweithiau rheoli lle mae angen ariannu ac nad ydynt yn darparu camau rheoli fel y cyfryw, ond eu bod yn gallu gwneud camau gweithredu yn fwy effeithiol neu leihau’r angen am arian Natura 2000 ar gyfer camau rheoli (e.e. gallai defnyddio mwy ar ymchwilio a gorfodi’r rheolau presennol yn well fod o fudd i’r rhwydwaith ond byddai angen arian ychwanegol i gyflawni hyn).</w:t>
      </w:r>
    </w:p>
    <w:p w14:paraId="5CE38EE4" w14:textId="77777777" w:rsidR="001655CC" w:rsidRPr="008C2197" w:rsidRDefault="001655CC" w:rsidP="001655CC">
      <w:pPr>
        <w:pStyle w:val="Heading2NoNumb"/>
        <w:rPr>
          <w:lang w:val="cy-GB"/>
        </w:rPr>
      </w:pPr>
      <w:bookmarkStart w:id="41" w:name="_Toc421880648"/>
      <w:r w:rsidRPr="008C2197">
        <w:rPr>
          <w:lang w:val="cy-GB"/>
        </w:rPr>
        <w:t>Cyfleoedd, cyfyngiadau a chamau gweithredu er mwyn gwella a chynyddu’r defnydd o ffynonellau ariannu</w:t>
      </w:r>
      <w:bookmarkEnd w:id="41"/>
    </w:p>
    <w:p w14:paraId="20EDAC5A" w14:textId="77777777" w:rsidR="001655CC" w:rsidRPr="008C2197" w:rsidRDefault="001655CC" w:rsidP="001655CC">
      <w:pPr>
        <w:rPr>
          <w:lang w:val="cy-GB"/>
        </w:rPr>
      </w:pPr>
      <w:r w:rsidRPr="008C2197">
        <w:rPr>
          <w:lang w:val="cy-GB"/>
        </w:rPr>
        <w:t xml:space="preserve">Er gwaethaf y rhwystrau posib, o’r 23 ffynhonnell ariannu unigol a adolygwyd, ystyriwyd bod lefel y defnydd o 15 ohonynt yn isel ar hyn o bryd a dim ond yn achos pump ohonynt y barnwyd mai ychydig </w:t>
      </w:r>
      <w:r>
        <w:rPr>
          <w:lang w:val="cy-GB"/>
        </w:rPr>
        <w:t>o le oedd yna i gynyddu’r defnydd ohonynt neu’i wella.</w:t>
      </w:r>
    </w:p>
    <w:p w14:paraId="58F9C545" w14:textId="77777777" w:rsidR="001655CC" w:rsidRPr="008C2197" w:rsidRDefault="001655CC" w:rsidP="001655CC">
      <w:pPr>
        <w:pStyle w:val="Heading3NoNumb"/>
        <w:rPr>
          <w:lang w:val="cy-GB"/>
        </w:rPr>
      </w:pPr>
      <w:r>
        <w:rPr>
          <w:lang w:val="cy-GB"/>
        </w:rPr>
        <w:t>CNC</w:t>
      </w:r>
    </w:p>
    <w:p w14:paraId="0111DA56" w14:textId="77777777" w:rsidR="001655CC" w:rsidRPr="008C2197" w:rsidRDefault="001655CC" w:rsidP="001655CC">
      <w:pPr>
        <w:rPr>
          <w:lang w:val="cy-GB"/>
        </w:rPr>
      </w:pPr>
      <w:r>
        <w:rPr>
          <w:lang w:val="cy-GB"/>
        </w:rPr>
        <w:t xml:space="preserve">Mae CNC yn canolbwyntio’n sylweddol ar gadw bioamrywiaeth ac mae ganddo gyfrifoldeb i wireddu rhwymedigaethau statudol </w:t>
      </w:r>
      <w:r w:rsidRPr="008C2197">
        <w:rPr>
          <w:lang w:val="cy-GB"/>
        </w:rPr>
        <w:t xml:space="preserve">Natura 2000 </w:t>
      </w:r>
      <w:r>
        <w:rPr>
          <w:lang w:val="cy-GB"/>
        </w:rPr>
        <w:t>yng Nghymru ar ran Llywodraeth Cymru. Gellir defnyddio arian yn hyblyg ar gyfer amrywiaeth o gamau cadwraeth, a hynny’n bwysig yn cynnwys y camau hynny sy’n aml yn anodd eu hariannu drwy ffyrdd eraill, megis cyflogi staff sy’n gyfrifol am oruchwylio sut mae’r rhwydwaith yn cael ei reoli.</w:t>
      </w:r>
      <w:r w:rsidRPr="008C2197">
        <w:rPr>
          <w:lang w:val="cy-GB"/>
        </w:rPr>
        <w:t xml:space="preserve"> </w:t>
      </w:r>
    </w:p>
    <w:p w14:paraId="24F1C8CB" w14:textId="77777777" w:rsidR="001655CC" w:rsidRPr="008C2197" w:rsidRDefault="001655CC" w:rsidP="001655CC">
      <w:pPr>
        <w:rPr>
          <w:lang w:val="cy-GB"/>
        </w:rPr>
      </w:pPr>
      <w:r>
        <w:rPr>
          <w:lang w:val="cy-GB"/>
        </w:rPr>
        <w:t xml:space="preserve">Fodd bynnag, disgwylir i gyllideb CNC barhau i wynebu toriadau yn y blynyddoedd i ddod a bydd hyn yn rhoi pwysau cynyddol ar agweddau llai arferol o waith rheoli </w:t>
      </w:r>
      <w:r w:rsidRPr="008C2197">
        <w:rPr>
          <w:lang w:val="cy-GB"/>
        </w:rPr>
        <w:t xml:space="preserve">Natura 2000. </w:t>
      </w:r>
      <w:r>
        <w:rPr>
          <w:lang w:val="cy-GB"/>
        </w:rPr>
        <w:t>Yn wir, nid oes digon o arian yn barod i ymgymryd â llawer o gamau rheoli angenrheidiol neu hyd yn oed, mewn rhai achosion, i ymgymryd â gweithgareddau monitro ac ymchwilio arferol</w:t>
      </w:r>
      <w:r w:rsidRPr="008C2197">
        <w:rPr>
          <w:lang w:val="cy-GB"/>
        </w:rPr>
        <w:t>.</w:t>
      </w:r>
    </w:p>
    <w:p w14:paraId="6AB0EC63" w14:textId="77777777" w:rsidR="001655CC" w:rsidRPr="008C2197" w:rsidRDefault="001655CC" w:rsidP="001655CC">
      <w:pPr>
        <w:rPr>
          <w:lang w:val="cy-GB"/>
        </w:rPr>
      </w:pPr>
      <w:r>
        <w:rPr>
          <w:lang w:val="cy-GB"/>
        </w:rPr>
        <w:t xml:space="preserve">Gallai fframwaith ariannu strwythuredig, â blaenoriaethau wedi’u pennu, (yn cysylltu â’r Fframwaith Gweithredu â Blaenoriaeth) helpu i wneud yn fawr o effaith arian CNC ar safleoedd </w:t>
      </w:r>
      <w:r w:rsidRPr="008C2197">
        <w:rPr>
          <w:lang w:val="cy-GB"/>
        </w:rPr>
        <w:t>Natura 2000</w:t>
      </w:r>
      <w:r>
        <w:rPr>
          <w:lang w:val="cy-GB"/>
        </w:rPr>
        <w:t>. Byddid yn ei sianelu tuag at y meysydd hynny lle mae’r cyfle i gipio arian o ffynonellau eraill yn fwy cyfyngedig (e.e. costau staff) neu tuag at y mannau hynny lle byddai gweithredu’n fwyaf buddiol</w:t>
      </w:r>
      <w:r w:rsidRPr="008C2197">
        <w:rPr>
          <w:lang w:val="cy-GB"/>
        </w:rPr>
        <w:t>.</w:t>
      </w:r>
    </w:p>
    <w:p w14:paraId="206972BD" w14:textId="77777777" w:rsidR="001655CC" w:rsidRPr="008C2197" w:rsidRDefault="001655CC" w:rsidP="001655CC">
      <w:pPr>
        <w:pStyle w:val="Heading3NoNumb"/>
        <w:rPr>
          <w:lang w:val="cy-GB"/>
        </w:rPr>
      </w:pPr>
      <w:r>
        <w:rPr>
          <w:lang w:val="cy-GB"/>
        </w:rPr>
        <w:t xml:space="preserve">Cronfeydd yr </w:t>
      </w:r>
      <w:r w:rsidRPr="008C2197">
        <w:rPr>
          <w:lang w:val="cy-GB"/>
        </w:rPr>
        <w:t>U</w:t>
      </w:r>
      <w:r>
        <w:rPr>
          <w:lang w:val="cy-GB"/>
        </w:rPr>
        <w:t>E</w:t>
      </w:r>
    </w:p>
    <w:p w14:paraId="08637383" w14:textId="77777777" w:rsidR="001655CC" w:rsidRPr="008C2197" w:rsidRDefault="001655CC" w:rsidP="001655CC">
      <w:pPr>
        <w:rPr>
          <w:lang w:val="cy-GB"/>
        </w:rPr>
      </w:pPr>
      <w:r>
        <w:rPr>
          <w:lang w:val="cy-GB"/>
        </w:rPr>
        <w:t xml:space="preserve">Mae Cymru’n elwa o fuddsoddiad sylweddol o nifer o ffynonellau ariannu’r UE. Yn </w:t>
      </w:r>
      <w:r w:rsidRPr="008C2197">
        <w:rPr>
          <w:lang w:val="cy-GB"/>
        </w:rPr>
        <w:t xml:space="preserve">2007-2013, </w:t>
      </w:r>
      <w:r>
        <w:rPr>
          <w:lang w:val="cy-GB"/>
        </w:rPr>
        <w:t xml:space="preserve">roedd hyn yn gyfanswm o </w:t>
      </w:r>
      <w:r w:rsidRPr="008C2197">
        <w:rPr>
          <w:lang w:val="cy-GB"/>
        </w:rPr>
        <w:t>£1.9bn o grant</w:t>
      </w:r>
      <w:r>
        <w:rPr>
          <w:lang w:val="cy-GB"/>
        </w:rPr>
        <w:t xml:space="preserve">iau ac arian cyfatebol, gan sbarduno buddsoddiad llawn o </w:t>
      </w:r>
      <w:r w:rsidRPr="008C2197">
        <w:rPr>
          <w:lang w:val="cy-GB"/>
        </w:rPr>
        <w:t>£3.7bn a</w:t>
      </w:r>
      <w:r>
        <w:rPr>
          <w:lang w:val="cy-GB"/>
        </w:rPr>
        <w:t xml:space="preserve"> gweithgarwch sylweddol gan y sector preifat a chreu swyddi</w:t>
      </w:r>
      <w:r w:rsidRPr="008C2197">
        <w:rPr>
          <w:lang w:val="cy-GB"/>
        </w:rPr>
        <w:t xml:space="preserve">. </w:t>
      </w:r>
    </w:p>
    <w:p w14:paraId="6A531A91" w14:textId="77777777" w:rsidR="001655CC" w:rsidRPr="008C2197" w:rsidRDefault="001655CC" w:rsidP="001655CC">
      <w:pPr>
        <w:rPr>
          <w:lang w:val="cy-GB"/>
        </w:rPr>
      </w:pPr>
      <w:r>
        <w:rPr>
          <w:lang w:val="cy-GB"/>
        </w:rPr>
        <w:t xml:space="preserve">O werthuso Cronfeydd Strwythurol yr UE yn y cyfnod </w:t>
      </w:r>
      <w:r w:rsidRPr="008C2197">
        <w:rPr>
          <w:lang w:val="cy-GB"/>
        </w:rPr>
        <w:t>2007-2013</w:t>
      </w:r>
      <w:r>
        <w:rPr>
          <w:lang w:val="cy-GB"/>
        </w:rPr>
        <w:t xml:space="preserve">, gwelir bod buddsoddiadau mewn prosiectau neu ymchwil amgylcheddol a gweithgareddau arloesi yn gysylltiedig â’r economi werdd yn cynhyrchu gwell enillion ar fuddsoddiadau na buddsoddiadau uniongyrchol mewn rhaglenni sgiliau a hyfforddiant. Er gwaethaf hyn, mae defnyddio arian UE mewn meysydd sy’n gysylltiedig â gweithgareddau rheolaeth a chadwraeth </w:t>
      </w:r>
      <w:r w:rsidRPr="008C2197">
        <w:rPr>
          <w:lang w:val="cy-GB"/>
        </w:rPr>
        <w:t xml:space="preserve">Natura 2000 </w:t>
      </w:r>
      <w:r>
        <w:rPr>
          <w:lang w:val="cy-GB"/>
        </w:rPr>
        <w:t>cyffredinol yn brin yng Nghymru, yn rhannol oherwydd y gofynion technegol a’r adnoddau sylweddol sy’n ofynnol i baratoi a rheoli prosiectau sy’n cael eu noddi gan y cronfeydd hyn.</w:t>
      </w:r>
    </w:p>
    <w:p w14:paraId="112F0C70" w14:textId="77777777" w:rsidR="001655CC" w:rsidRPr="008C2197" w:rsidRDefault="001655CC" w:rsidP="001655CC">
      <w:pPr>
        <w:rPr>
          <w:lang w:val="cy-GB"/>
        </w:rPr>
      </w:pPr>
      <w:r>
        <w:rPr>
          <w:lang w:val="cy-GB"/>
        </w:rPr>
        <w:t>I lawer o gronfeydd yr UE</w:t>
      </w:r>
      <w:r w:rsidRPr="008C2197">
        <w:rPr>
          <w:lang w:val="cy-GB"/>
        </w:rPr>
        <w:t xml:space="preserve"> (</w:t>
      </w:r>
      <w:r>
        <w:rPr>
          <w:lang w:val="cy-GB"/>
        </w:rPr>
        <w:t xml:space="preserve">yn arbennig </w:t>
      </w:r>
      <w:r w:rsidRPr="008C2197">
        <w:rPr>
          <w:lang w:val="cy-GB"/>
        </w:rPr>
        <w:t>EAFRD a</w:t>
      </w:r>
      <w:r>
        <w:rPr>
          <w:lang w:val="cy-GB"/>
        </w:rPr>
        <w:t>c</w:t>
      </w:r>
      <w:r w:rsidRPr="008C2197">
        <w:rPr>
          <w:lang w:val="cy-GB"/>
        </w:rPr>
        <w:t xml:space="preserve"> EMFF) </w:t>
      </w:r>
      <w:r>
        <w:rPr>
          <w:lang w:val="cy-GB"/>
        </w:rPr>
        <w:t xml:space="preserve">bu cynnydd amlwg yn nifer yr Erthyglau sydd yn uniongyrchol ac yn anuniongyrchol yn caniatáu integreiddio anghenion </w:t>
      </w:r>
      <w:r w:rsidRPr="008C2197">
        <w:rPr>
          <w:lang w:val="cy-GB"/>
        </w:rPr>
        <w:t xml:space="preserve">Natura 2000 </w:t>
      </w:r>
      <w:r>
        <w:rPr>
          <w:lang w:val="cy-GB"/>
        </w:rPr>
        <w:t xml:space="preserve">yng nghyfnod ariannu </w:t>
      </w:r>
      <w:r w:rsidRPr="008C2197">
        <w:rPr>
          <w:lang w:val="cy-GB"/>
        </w:rPr>
        <w:t xml:space="preserve">2014-2020. </w:t>
      </w:r>
      <w:r>
        <w:rPr>
          <w:lang w:val="cy-GB"/>
        </w:rPr>
        <w:t xml:space="preserve">Gallai hyn helpu ceisiadau ariannu sy’n gysylltiedig â </w:t>
      </w:r>
      <w:r w:rsidRPr="008C2197">
        <w:rPr>
          <w:lang w:val="cy-GB"/>
        </w:rPr>
        <w:t xml:space="preserve">Natura 2000 </w:t>
      </w:r>
      <w:r>
        <w:rPr>
          <w:lang w:val="cy-GB"/>
        </w:rPr>
        <w:t>ac mae’n gyfle i gynyddu’r defnydd o gronfeydd yr UE</w:t>
      </w:r>
      <w:r w:rsidRPr="008C2197">
        <w:rPr>
          <w:lang w:val="cy-GB"/>
        </w:rPr>
        <w:t>.</w:t>
      </w:r>
    </w:p>
    <w:p w14:paraId="54FCDD68" w14:textId="77777777" w:rsidR="001655CC" w:rsidRPr="008C2197" w:rsidRDefault="001655CC" w:rsidP="001655CC">
      <w:pPr>
        <w:rPr>
          <w:lang w:val="cy-GB"/>
        </w:rPr>
      </w:pPr>
      <w:r>
        <w:rPr>
          <w:lang w:val="cy-GB"/>
        </w:rPr>
        <w:t xml:space="preserve">Mae cyfle sylweddol arall drwy ddiwygiadau i </w:t>
      </w:r>
      <w:r w:rsidRPr="008C2197">
        <w:rPr>
          <w:lang w:val="cy-GB"/>
        </w:rPr>
        <w:t xml:space="preserve">Glastir </w:t>
      </w:r>
      <w:r>
        <w:rPr>
          <w:lang w:val="cy-GB"/>
        </w:rPr>
        <w:t>o dan y Cynllun Datblygu Gwledig</w:t>
      </w:r>
      <w:r w:rsidRPr="008C2197">
        <w:rPr>
          <w:lang w:val="cy-GB"/>
        </w:rPr>
        <w:t xml:space="preserve"> (EAFRD). </w:t>
      </w:r>
      <w:r>
        <w:rPr>
          <w:lang w:val="cy-GB"/>
        </w:rPr>
        <w:t xml:space="preserve">Mae’r swm o arian sydd ar gael i fesurau seiliedig ar ardal (yn cynnwys cynlluniau amaeth-amgylcheddol), ynghyd â’r ffaith fod mwyafrif y safleoedd </w:t>
      </w:r>
      <w:r w:rsidRPr="008C2197">
        <w:rPr>
          <w:lang w:val="cy-GB"/>
        </w:rPr>
        <w:t xml:space="preserve">Natura 2000 </w:t>
      </w:r>
      <w:r>
        <w:rPr>
          <w:lang w:val="cy-GB"/>
        </w:rPr>
        <w:t xml:space="preserve">daearol yng Nghymru ar dir fferm preifat, yn awgrymu bod i </w:t>
      </w:r>
      <w:r w:rsidRPr="008C2197">
        <w:rPr>
          <w:lang w:val="cy-GB"/>
        </w:rPr>
        <w:t>EAFRD/</w:t>
      </w:r>
      <w:r>
        <w:rPr>
          <w:lang w:val="cy-GB"/>
        </w:rPr>
        <w:t xml:space="preserve">y Cynllun Datblygu Gwledig botensial sylweddol i ariannu anghenion rheoli </w:t>
      </w:r>
      <w:r w:rsidRPr="008C2197">
        <w:rPr>
          <w:lang w:val="cy-GB"/>
        </w:rPr>
        <w:t xml:space="preserve">Natura 2000. </w:t>
      </w:r>
      <w:r>
        <w:rPr>
          <w:lang w:val="cy-GB"/>
        </w:rPr>
        <w:t xml:space="preserve">Amcangyfrifir bod anghenion ariannu rheolaidd rheolaeth a monitro sy’n gysylltiedig â defnydd tir amaethyddol a choedwigaeth o dan </w:t>
      </w:r>
      <w:r w:rsidRPr="008C2197">
        <w:rPr>
          <w:lang w:val="cy-GB"/>
        </w:rPr>
        <w:t xml:space="preserve">Natura 2000 </w:t>
      </w:r>
      <w:r>
        <w:rPr>
          <w:lang w:val="cy-GB"/>
        </w:rPr>
        <w:t xml:space="preserve">yn </w:t>
      </w:r>
      <w:r w:rsidRPr="008C2197">
        <w:rPr>
          <w:lang w:val="cy-GB"/>
        </w:rPr>
        <w:t>£10.5m/</w:t>
      </w:r>
      <w:r>
        <w:rPr>
          <w:lang w:val="cy-GB"/>
        </w:rPr>
        <w:t xml:space="preserve">fl o fewn Fframwaith Gweithredu â Blaenoriaeth </w:t>
      </w:r>
      <w:r w:rsidRPr="008C2197">
        <w:rPr>
          <w:lang w:val="cy-GB"/>
        </w:rPr>
        <w:t xml:space="preserve">2013, </w:t>
      </w:r>
      <w:r>
        <w:rPr>
          <w:lang w:val="cy-GB"/>
        </w:rPr>
        <w:t xml:space="preserve">a hynny’n cymharu â ffigur blynyddol o </w:t>
      </w:r>
      <w:r w:rsidRPr="008C2197">
        <w:rPr>
          <w:lang w:val="cy-GB"/>
        </w:rPr>
        <w:t>£114m</w:t>
      </w:r>
      <w:r>
        <w:rPr>
          <w:lang w:val="cy-GB"/>
        </w:rPr>
        <w:t xml:space="preserve"> sydd ar gael o dan fesurau seiliedig ar ardal y Cynllun Datblygu Gwledig</w:t>
      </w:r>
      <w:r w:rsidRPr="008C2197">
        <w:rPr>
          <w:lang w:val="cy-GB"/>
        </w:rPr>
        <w:t xml:space="preserve">. </w:t>
      </w:r>
      <w:r>
        <w:rPr>
          <w:lang w:val="cy-GB"/>
        </w:rPr>
        <w:t xml:space="preserve">Mae ffigurau </w:t>
      </w:r>
      <w:r w:rsidRPr="008C2197">
        <w:rPr>
          <w:lang w:val="cy-GB"/>
        </w:rPr>
        <w:t xml:space="preserve">2012 </w:t>
      </w:r>
      <w:r>
        <w:rPr>
          <w:lang w:val="cy-GB"/>
        </w:rPr>
        <w:t xml:space="preserve">yn dangos nad yw’r gwariant gwirioneddol o dan y Cynllun Datblygu Gwledig yn ddim ond mymryn o’r rhagolwg hwnnw, er bod ffigurau </w:t>
      </w:r>
      <w:r w:rsidRPr="008C2197">
        <w:rPr>
          <w:lang w:val="cy-GB"/>
        </w:rPr>
        <w:t xml:space="preserve">2014 </w:t>
      </w:r>
      <w:r>
        <w:rPr>
          <w:lang w:val="cy-GB"/>
        </w:rPr>
        <w:t xml:space="preserve">yn dangos cynnydd sylweddol. Mae nifer o ddiwygiadau arwyddocaol yn cael eu cynnig i </w:t>
      </w:r>
      <w:r w:rsidRPr="008C2197">
        <w:rPr>
          <w:lang w:val="cy-GB"/>
        </w:rPr>
        <w:t xml:space="preserve">Glastir </w:t>
      </w:r>
      <w:r>
        <w:rPr>
          <w:lang w:val="cy-GB"/>
        </w:rPr>
        <w:t xml:space="preserve">o dan Gynllun Datblygu Gwledig </w:t>
      </w:r>
      <w:r w:rsidRPr="008C2197">
        <w:rPr>
          <w:lang w:val="cy-GB"/>
        </w:rPr>
        <w:t>2014-2020</w:t>
      </w:r>
      <w:r>
        <w:rPr>
          <w:lang w:val="cy-GB"/>
        </w:rPr>
        <w:t>. Dylai hyn ysgogi cynnydd sylweddol yn y niferoedd sy’n manteisio a, thrwy hynny, yn y gwariant drwy Glastir, a dylai arwain at wariant mwy effeithiol</w:t>
      </w:r>
      <w:r w:rsidRPr="008C2197">
        <w:rPr>
          <w:lang w:val="cy-GB"/>
        </w:rPr>
        <w:t xml:space="preserve">. </w:t>
      </w:r>
    </w:p>
    <w:p w14:paraId="03C6CBE1" w14:textId="77777777" w:rsidR="001655CC" w:rsidRPr="008C2197" w:rsidRDefault="001655CC" w:rsidP="001655CC">
      <w:pPr>
        <w:rPr>
          <w:lang w:val="cy-GB"/>
        </w:rPr>
      </w:pPr>
      <w:r w:rsidRPr="008C2197">
        <w:rPr>
          <w:lang w:val="cy-GB"/>
        </w:rPr>
        <w:t>A</w:t>
      </w:r>
      <w:r>
        <w:rPr>
          <w:lang w:val="cy-GB"/>
        </w:rPr>
        <w:t xml:space="preserve">r lefel raglennu </w:t>
      </w:r>
      <w:r w:rsidRPr="008C2197">
        <w:rPr>
          <w:lang w:val="cy-GB"/>
        </w:rPr>
        <w:t>strateg</w:t>
      </w:r>
      <w:r>
        <w:rPr>
          <w:lang w:val="cy-GB"/>
        </w:rPr>
        <w:t xml:space="preserve">ol, drwy Raglenni Gweithredol y penderfynir sut mae arian yr UE yn cael ei wario yng Nghymru (a thrwy’r Cynllun Datblygu Gwledig i’r </w:t>
      </w:r>
      <w:r w:rsidRPr="008C2197">
        <w:rPr>
          <w:lang w:val="cy-GB"/>
        </w:rPr>
        <w:t xml:space="preserve">EAFRD). </w:t>
      </w:r>
      <w:r>
        <w:rPr>
          <w:lang w:val="cy-GB"/>
        </w:rPr>
        <w:t>Mae’r rhain yn nodi’r blaenoriaethau gwario am y cyfnod ariannu, o fewn paramedrau a bennir gan yr UE. Fodd bynnag, ychydig o bwyslais a roddir ar Natura 2000 yn Rhaglenni Gweithredol cyfnod ariannu cyfredol yr UE. Byddai darlun cynhwysfawr o faterion cadwraeth ac anghenion rheoli safleoedd Natura 2000, ynghyd â dealltwriaeth glir o sut maen nhw’n berthnasol i agweddau penodol o bob cronfa, yn cynyddu’r cyfleoedd mewn rhaglenni ariannu i’r dyfodol. Bydd hyn yn darparu ffordd drefnus, seiliedig ar dystiolaeth, o ddylanwadu ar ddyluniad Rhaglenni Gweithredol a byddai’n help i sicrhau mwy o bwyslais ar Natura 2000 a thrwy hynny byddai’n agor ffenestr fwy i brosiectau cysylltiedig-â-Natura 2000 llwyddiannus i gael arian</w:t>
      </w:r>
      <w:r w:rsidRPr="008C2197">
        <w:rPr>
          <w:lang w:val="cy-GB"/>
        </w:rPr>
        <w:t>.</w:t>
      </w:r>
    </w:p>
    <w:p w14:paraId="7C883C32" w14:textId="77777777" w:rsidR="001655CC" w:rsidRPr="008C2197" w:rsidRDefault="001655CC" w:rsidP="001655CC">
      <w:pPr>
        <w:rPr>
          <w:lang w:val="cy-GB"/>
        </w:rPr>
      </w:pPr>
      <w:r>
        <w:rPr>
          <w:lang w:val="cy-GB"/>
        </w:rPr>
        <w:t>Gellid cymryd nifer o gamau i hyrwyddo a chynyddu llwyddiant ceisiadau cysylltiedig-â-Natura 2000 a wneir i gronfeydd cystadleuol (rhai’r UE ac eraill). Mae’r rhain yn cynnwys</w:t>
      </w:r>
      <w:r w:rsidRPr="008C2197">
        <w:rPr>
          <w:lang w:val="cy-GB"/>
        </w:rPr>
        <w:t>:</w:t>
      </w:r>
    </w:p>
    <w:p w14:paraId="117A329E" w14:textId="77777777" w:rsidR="001655CC" w:rsidRPr="008C2197" w:rsidRDefault="001655CC" w:rsidP="001655CC">
      <w:pPr>
        <w:pStyle w:val="Bullet1Last"/>
        <w:ind w:left="341" w:hanging="284"/>
        <w:rPr>
          <w:b/>
          <w:lang w:val="cy-GB"/>
        </w:rPr>
      </w:pPr>
      <w:r>
        <w:rPr>
          <w:b/>
          <w:lang w:val="cy-GB"/>
        </w:rPr>
        <w:t>Lledaenu arferion gorau yn ehangach</w:t>
      </w:r>
      <w:r w:rsidRPr="008C2197">
        <w:rPr>
          <w:b/>
          <w:lang w:val="cy-GB"/>
        </w:rPr>
        <w:t xml:space="preserve">. </w:t>
      </w:r>
      <w:r>
        <w:rPr>
          <w:lang w:val="cy-GB"/>
        </w:rPr>
        <w:t xml:space="preserve">Mae tystiolaeth yn awgrymu bod diffyg data a gwybodaeth am geisiadau ariannu blaenorol yn arwain at ddyblygu sylweddol ar ymdrechion neu, yn amlach, at benderfyniad i beidio â bwrw ymlaen. I lawer o gronfeydd (yn enwedig </w:t>
      </w:r>
      <w:r w:rsidRPr="008C2197">
        <w:rPr>
          <w:lang w:val="cy-GB"/>
        </w:rPr>
        <w:t>LIFE a</w:t>
      </w:r>
      <w:r>
        <w:rPr>
          <w:lang w:val="cy-GB"/>
        </w:rPr>
        <w:t>c</w:t>
      </w:r>
      <w:r w:rsidRPr="008C2197">
        <w:rPr>
          <w:lang w:val="cy-GB"/>
        </w:rPr>
        <w:t xml:space="preserve"> EMFF) </w:t>
      </w:r>
      <w:r>
        <w:rPr>
          <w:lang w:val="cy-GB"/>
        </w:rPr>
        <w:t xml:space="preserve">mae profiad o geisiadau rheolaeth </w:t>
      </w:r>
      <w:r w:rsidRPr="008C2197">
        <w:rPr>
          <w:lang w:val="cy-GB"/>
        </w:rPr>
        <w:t xml:space="preserve">Natura 2000 </w:t>
      </w:r>
      <w:r>
        <w:rPr>
          <w:lang w:val="cy-GB"/>
        </w:rPr>
        <w:t xml:space="preserve">yn gyfyngedig yng Nghymru neu nid oes unrhyw brofiad o gwbl. Byddai gwell mynediad at enghreifftiau o’r arferion gorau yng Nghymru yn fuddiol (megis prosiect LIFE Corsydd Môn, sy’n cael ei ddefnyddio i ddangos yr arferion gorau o ran archwilio ariannol a darparu adroddiadau ar brosiectau), a gellid hefyd darparu enghreifftiau o rannau eraill o’r Deyrnas Unedig, o ystyried bod astudiaethau achos o Gymru yn gymharol brin o dan rai cronfeydd. Gall defnydd ehangach o wasanaeth cymorth </w:t>
      </w:r>
      <w:r w:rsidRPr="008C2197">
        <w:rPr>
          <w:lang w:val="cy-GB"/>
        </w:rPr>
        <w:t xml:space="preserve">BetaEurope </w:t>
      </w:r>
      <w:r>
        <w:rPr>
          <w:lang w:val="cy-GB"/>
        </w:rPr>
        <w:t>fod yn sylfaen i sefydlu’r arferion gorau</w:t>
      </w:r>
      <w:r w:rsidRPr="008C2197">
        <w:rPr>
          <w:lang w:val="cy-GB"/>
        </w:rPr>
        <w:t>.</w:t>
      </w:r>
      <w:r w:rsidRPr="008C2197">
        <w:rPr>
          <w:b/>
          <w:lang w:val="cy-GB"/>
        </w:rPr>
        <w:t xml:space="preserve"> </w:t>
      </w:r>
    </w:p>
    <w:p w14:paraId="17F492F8" w14:textId="77777777" w:rsidR="001655CC" w:rsidRPr="008C2197" w:rsidRDefault="001655CC" w:rsidP="001655CC">
      <w:pPr>
        <w:pStyle w:val="Bullet1Last"/>
        <w:ind w:left="341" w:hanging="284"/>
        <w:rPr>
          <w:b/>
          <w:lang w:val="cy-GB"/>
        </w:rPr>
      </w:pPr>
      <w:r>
        <w:rPr>
          <w:b/>
          <w:lang w:val="cy-GB"/>
        </w:rPr>
        <w:t>Cronfeydd dewisol i helpu ceisiadau ariannu i gael eu datblygu ymhellach</w:t>
      </w:r>
      <w:r w:rsidRPr="008C2197">
        <w:rPr>
          <w:b/>
          <w:lang w:val="cy-GB"/>
        </w:rPr>
        <w:t xml:space="preserve">. </w:t>
      </w:r>
      <w:r>
        <w:rPr>
          <w:lang w:val="cy-GB"/>
        </w:rPr>
        <w:t xml:space="preserve">Mae angen buddsoddiad sylweddol ymlaen llaw ar ffurf cyd-drefnu, casglu tystiolaeth a datblygu partneriaethau er mwyn datblygu ceisiadau ariannu, ac un mater allweddol yw alinio cronfeydd blynyddol CNC ag amserlenni cronfeydd yr UE a ffynonellau ariannu eraill. Yn ymarferol, mae hyn yn gallu creu problemau o ran canfod arian cyfatebol. Gellid ehangu Cronfa Arian Cyfatebol a Dargedir </w:t>
      </w:r>
      <w:r w:rsidRPr="008C2197">
        <w:rPr>
          <w:lang w:val="cy-GB"/>
        </w:rPr>
        <w:t xml:space="preserve">WEFO </w:t>
      </w:r>
      <w:r>
        <w:rPr>
          <w:lang w:val="cy-GB"/>
        </w:rPr>
        <w:t xml:space="preserve">i gefnogi ceisiadau i’r Cronfeydd Strwythurol ond mae angen cymorth gyda chostau cynnar y gwaith o ddatblygu ceisiadau. Byddai modd ymestyn Cronfa </w:t>
      </w:r>
      <w:r w:rsidRPr="008C2197">
        <w:rPr>
          <w:lang w:val="cy-GB"/>
        </w:rPr>
        <w:t>SCoRE Cymru (</w:t>
      </w:r>
      <w:r>
        <w:rPr>
          <w:lang w:val="cy-GB"/>
        </w:rPr>
        <w:t xml:space="preserve">sydd ar hyn o bryd yn helpu i greu partneriaethau ymgeisio academaidd mewn perthynas ag Arian Ymchwil ac Arloesi </w:t>
      </w:r>
      <w:r w:rsidRPr="008C2197">
        <w:rPr>
          <w:lang w:val="cy-GB"/>
        </w:rPr>
        <w:t xml:space="preserve">H2020) </w:t>
      </w:r>
      <w:r>
        <w:rPr>
          <w:lang w:val="cy-GB"/>
        </w:rPr>
        <w:t>i bartneriaid eraill i feithrin ymgysylltu ehangach ag ymchwil ym maes rheolaeth gadwraethol. Yn yr un modd, gellid defnyddio cyfleuster Ariannu Partneriaethau CNC i dargedu gwaith i ddatblygu partneriaid ariannu newydd yng nghyswllt cronfeydd yr UE, y tu hwnt i berthnasoedd sy’n bodoli’n barod gan greu cyfleoedd newydd (megis sgiliau ac addysg neu dwristiaeth). Mae llwyddiant y Gronfa Natur wedi tanlinellu potensial ariannu dewisol i ddatblygu partneriaethau sy’n gallu diogelu trefniadau ariannu tymor hir eraill. Gallai cronfa o’r fath fod yn fodd i ddarparu arian cyfatebol ychwanegol, yn debyg i Gronfa Arian Cyfatebol a Dargedir WEFO sydd ar gael i Raglenni Gweithredol.</w:t>
      </w:r>
    </w:p>
    <w:p w14:paraId="1CB6F715" w14:textId="77777777" w:rsidR="001655CC" w:rsidRPr="008C2197" w:rsidRDefault="001655CC" w:rsidP="001655CC">
      <w:pPr>
        <w:pStyle w:val="Bullet1Last"/>
        <w:ind w:left="341" w:hanging="284"/>
        <w:rPr>
          <w:b/>
          <w:lang w:val="cy-GB"/>
        </w:rPr>
      </w:pPr>
      <w:r>
        <w:rPr>
          <w:b/>
          <w:lang w:val="cy-GB"/>
        </w:rPr>
        <w:t>Mwy o gyd-drefnu strategol ar geisiadau ariannu</w:t>
      </w:r>
      <w:r w:rsidRPr="008C2197">
        <w:rPr>
          <w:b/>
          <w:lang w:val="cy-GB"/>
        </w:rPr>
        <w:t>.</w:t>
      </w:r>
      <w:r>
        <w:rPr>
          <w:lang w:val="cy-GB"/>
        </w:rPr>
        <w:t xml:space="preserve"> O ystyried yr adnoddau sylweddol sy’n ofynnol i ddatblygu llawer o geisiadau ariannu (yn enwedig ceisiadau i gronfeydd yr UE), gallai mwy o gyd-drefnu rhwng rhaglenni a phrosiectau wneud y gwaith o ddatblygu ceisiadau’n fwy effeithlon. Hefyd, gellir defnyddio ceisiadau sydd wedi’u cyd-drefnu ar lefel fwy strategol i gynyddu’r swm arian a geisir. O ran cronfeydd yr UE yn arbennig, mae llawer o brosiectau Natura 2000 yn llawer rhy fach i fod yn briodol wrth eu cyflwyno fel ceisiadau unigol. Mae hyn yn arbennig o berthnasol i faterion sydd efallai yn llai penodol i safle neilltuol; pethau fel pysgodfeydd morol lle gall problemau ac anghenion tebyg effeithio ar amryw o safleoedd Natura 2000. Byddai angen rhywfaint o adnoddau canolog i ddatblygu ceisiadau wedi’u cyd-drefnu gan nad yw’n debygol y byddai staff ar lefel safle unigol yn neilltuo’r amser angenrheidiol i waith lle byddai llawer o’r buddion yn cael eu gwireddu yn rhywle arall</w:t>
      </w:r>
      <w:r w:rsidRPr="008C2197">
        <w:rPr>
          <w:lang w:val="cy-GB"/>
        </w:rPr>
        <w:t xml:space="preserve">. </w:t>
      </w:r>
    </w:p>
    <w:p w14:paraId="3231A2F1" w14:textId="77777777" w:rsidR="001655CC" w:rsidRPr="008C2197" w:rsidRDefault="001655CC" w:rsidP="001655CC">
      <w:pPr>
        <w:pStyle w:val="Bullet1Last"/>
        <w:ind w:left="341" w:hanging="284"/>
        <w:rPr>
          <w:b/>
          <w:lang w:val="cy-GB"/>
        </w:rPr>
      </w:pPr>
      <w:r>
        <w:rPr>
          <w:b/>
          <w:lang w:val="cy-GB"/>
        </w:rPr>
        <w:t>Cymorth a datblygu gallu o ran paratoi ceisiadau ariannu a’u rheoli’n barhaus</w:t>
      </w:r>
      <w:r w:rsidRPr="008C2197">
        <w:rPr>
          <w:b/>
          <w:lang w:val="cy-GB"/>
        </w:rPr>
        <w:t xml:space="preserve">. </w:t>
      </w:r>
      <w:r>
        <w:rPr>
          <w:lang w:val="cy-GB"/>
        </w:rPr>
        <w:t>Mae angen datblygu gallu yng Nghymru o ran sgiliau paratoi ceisiadau, yn cynnwys integreiddio prosesau rheoli prosiectau a rheoli cyllid allanol. Mae angen cymorth hefyd i helpu prosiectau i ‘gyflawni’ drwy ddarparu cyngor ac adnoddau i reolwyr prosiectau. Byddai adnoddau arferion gorau cyffredin yn fuddiol yn y cyswllt hwn, gan fod y rhan fwyaf o brosiectau yn gorfod rhoi sylw i’r un elfennau (e.e. cyfathrebu, dadansoddi rhanddeiliaid, deunyddiau hyrwyddo, rheolaeth ariannol a darparu adroddiadau). Mae tystiolaeth fod dyblygu ymdrechion sylweddol rhwng prosiectau ar hyn o bryd. Byddai canllawiau neu dempledi safonol yn arwain at gyflawni heb gymaint o wastraff yn y cyswllt hwn</w:t>
      </w:r>
      <w:r w:rsidRPr="008C2197">
        <w:rPr>
          <w:lang w:val="cy-GB"/>
        </w:rPr>
        <w:t xml:space="preserve">. </w:t>
      </w:r>
    </w:p>
    <w:p w14:paraId="3544C7E0" w14:textId="77777777" w:rsidR="001655CC" w:rsidRPr="008C2197" w:rsidRDefault="001655CC" w:rsidP="001655CC">
      <w:pPr>
        <w:pStyle w:val="Heading3NoNumb"/>
        <w:rPr>
          <w:szCs w:val="26"/>
          <w:lang w:val="cy-GB"/>
        </w:rPr>
      </w:pPr>
      <w:r w:rsidRPr="008C2197">
        <w:rPr>
          <w:lang w:val="cy-GB"/>
        </w:rPr>
        <w:t>Cynlluniau a strategaethau sectorau erai</w:t>
      </w:r>
      <w:r>
        <w:rPr>
          <w:lang w:val="cy-GB"/>
        </w:rPr>
        <w:t>l</w:t>
      </w:r>
      <w:r w:rsidRPr="008C2197">
        <w:rPr>
          <w:lang w:val="cy-GB"/>
        </w:rPr>
        <w:t xml:space="preserve">l, ac arian cyhoeddus: </w:t>
      </w:r>
      <w:r>
        <w:rPr>
          <w:lang w:val="cy-GB"/>
        </w:rPr>
        <w:t>cyfleoedd, cyfyngiadau a chamau gweithredu</w:t>
      </w:r>
    </w:p>
    <w:p w14:paraId="2AB4AB6D" w14:textId="77777777" w:rsidR="001655CC" w:rsidRPr="008C2197" w:rsidRDefault="001655CC" w:rsidP="001655CC">
      <w:pPr>
        <w:rPr>
          <w:lang w:val="cy-GB"/>
        </w:rPr>
      </w:pPr>
      <w:r>
        <w:rPr>
          <w:lang w:val="cy-GB"/>
        </w:rPr>
        <w:t xml:space="preserve">Yn ychwanegol at ffynonellau ariannu confensiynol i </w:t>
      </w:r>
      <w:r w:rsidRPr="008C2197">
        <w:rPr>
          <w:lang w:val="cy-GB"/>
        </w:rPr>
        <w:t xml:space="preserve">Natura 2000, </w:t>
      </w:r>
      <w:r>
        <w:rPr>
          <w:lang w:val="cy-GB"/>
        </w:rPr>
        <w:t xml:space="preserve">mae natur y rhwydwaith yn golygu bod cysylltiad agos rhwng ei reolaeth a nifer o flaenoriaethau polisi a rhaglenni mewn sectorau eraill. Mewn rhai achosion, gallai hyn bwyntio at ffynonellau ariannol ychwanegol ar gyfer rheoli safleoedd. Weithiau gellir manteisio’n uniongyrchol ar y ffynonellau ariannu hyn, bryd arall gellir lleihau’r angen am arian drwy integreiddio anghenion rheoli </w:t>
      </w:r>
      <w:r w:rsidRPr="008C2197">
        <w:rPr>
          <w:lang w:val="cy-GB"/>
        </w:rPr>
        <w:t xml:space="preserve">Natura 2000 </w:t>
      </w:r>
      <w:r>
        <w:rPr>
          <w:lang w:val="cy-GB"/>
        </w:rPr>
        <w:t>i gynlluniau a phrosiectau sy’n cael eu cyflawni gan sectorau eraill</w:t>
      </w:r>
      <w:r w:rsidRPr="008C2197">
        <w:rPr>
          <w:lang w:val="cy-GB"/>
        </w:rPr>
        <w:t>.</w:t>
      </w:r>
    </w:p>
    <w:p w14:paraId="70214046" w14:textId="77777777" w:rsidR="001655CC" w:rsidRPr="008C2197" w:rsidRDefault="001655CC" w:rsidP="001655CC">
      <w:pPr>
        <w:rPr>
          <w:lang w:val="cy-GB"/>
        </w:rPr>
      </w:pPr>
      <w:r>
        <w:rPr>
          <w:lang w:val="cy-GB"/>
        </w:rPr>
        <w:t>Mae Cyfarwyddeb Fframwaith Dŵr (WFD) yr UE yn ysgogi buddsoddi mawr ar draws y gylchred ddŵr. Gan ei bod yn anodd sicrhau cydymffurfio â llawer o agweddau o’r Gyfarwyddeb, mae gwaith arloesol yn uwch i fyny’r gadwyn, megis adfer cynefinoedd, yn cael ei ysgogi. Yng Nghymru, mae’n ymddangos bod diffyg integreiddio strategol ar WFD mewn sbardunau polisi, a’r ffaith nad yw cronfeydd data o fesurau WFD a chamau gweithredu Natura 2000 (Cronfa Ddata Gweithredu) wedi’u hintegreiddio’n llawn, wedi golygu oedi rhag buddsoddi yn rheolaeth Natura 2000. Dylai fod yn gymharol hawdd ymdrin â’r olaf</w:t>
      </w:r>
      <w:r w:rsidRPr="008C2197">
        <w:rPr>
          <w:lang w:val="cy-GB"/>
        </w:rPr>
        <w:t xml:space="preserve">. </w:t>
      </w:r>
    </w:p>
    <w:p w14:paraId="46ABA8CD" w14:textId="77777777" w:rsidR="001655CC" w:rsidRPr="008C2197" w:rsidRDefault="001655CC" w:rsidP="001655CC">
      <w:pPr>
        <w:rPr>
          <w:lang w:val="cy-GB"/>
        </w:rPr>
      </w:pPr>
      <w:r>
        <w:rPr>
          <w:lang w:val="cy-GB"/>
        </w:rPr>
        <w:t xml:space="preserve">O ran safleoedd morol a gwlyptir </w:t>
      </w:r>
      <w:r w:rsidRPr="008C2197">
        <w:rPr>
          <w:lang w:val="cy-GB"/>
        </w:rPr>
        <w:t xml:space="preserve">Natura 2000, </w:t>
      </w:r>
      <w:r>
        <w:rPr>
          <w:lang w:val="cy-GB"/>
        </w:rPr>
        <w:t>un mater rheoli allweddol y tynnwyd sylw ato gan randdeiliaid yw diffyg tystiolaeth waelodol i ddatblygu cynlluniau rheoli arni. Mae tystiolaeth gyhoeddedig o hyn. Gall cronfeydd sydd yn y sector hwn yn barod gyfrannu at y sylfaen tystiolaeth rheoli safleoedd wrth helpu pysgodfeydd i arallgyfeirio tuag at arferion mwy cynaliadwy</w:t>
      </w:r>
      <w:r w:rsidRPr="008C2197">
        <w:rPr>
          <w:lang w:val="cy-GB"/>
        </w:rPr>
        <w:t xml:space="preserve">. </w:t>
      </w:r>
    </w:p>
    <w:p w14:paraId="4277A58D" w14:textId="77777777" w:rsidR="001655CC" w:rsidRPr="008C2197" w:rsidRDefault="001655CC" w:rsidP="001655CC">
      <w:pPr>
        <w:rPr>
          <w:lang w:val="cy-GB"/>
        </w:rPr>
      </w:pPr>
      <w:r>
        <w:rPr>
          <w:lang w:val="cy-GB"/>
        </w:rPr>
        <w:t>Mae rheoli perygl llifogydd ac erydu arfordirol yn faes gwariant cyhoeddus o bwys, ac mae’r gystadleuaeth am fuddsoddiad yn cynyddu mewn llawer ardal wrth i’r achosion o stormydd, erydu a llifogydd gynyddu. Ymysg y cyfleoedd i integreiddio anghenion Natura 2000 yn uniongyrchol mae’r Rhaglen Genedlaethol Creu Cynefinoedd, sydd wedi’i bwriadu i wneud iawn am gynefin Natura y disgwylir ei golli oherwydd cynlluniau rheoli perygl llifogydd ac erydu arfordirol yn y dyfodol. Cyfle arall yw defnyddio prosesau naturiol i reoli perygl llifogydd ac erydu arfordirol, a hynny’n deillio’n rhannol o’r costau cynnal a chadw rheolaidd is a ddisgwylir mewn perthynas â chynlluniau o’r fath. Yn aml mae angen defnyddio ardaloedd mwy, sy’n cwmpasu mwy o fathau o gynefin, ar gyfer atebion o’r fath, felly mae potensial i gyfleoedd i gymryd camau i wella’r amgylchedd ac edrych yn strategol ac yn ehangach ar y cyfleoedd</w:t>
      </w:r>
      <w:r w:rsidRPr="008C2197">
        <w:rPr>
          <w:lang w:val="cy-GB"/>
        </w:rPr>
        <w:t>.</w:t>
      </w:r>
    </w:p>
    <w:p w14:paraId="0316ED57" w14:textId="77777777" w:rsidR="001655CC" w:rsidRPr="008C2197" w:rsidRDefault="001655CC" w:rsidP="001655CC">
      <w:pPr>
        <w:rPr>
          <w:lang w:val="cy-GB"/>
        </w:rPr>
      </w:pPr>
      <w:r>
        <w:rPr>
          <w:lang w:val="cy-GB"/>
        </w:rPr>
        <w:t>Mae nifer o gyfyngiadau o ran y potensial i integreiddio. Yn sylfaenol, cyfyngir ar hyn gan yr angen i wariant sector ganolbwyntio ar amcanion y sector. Hynny yw, mae’n ofynnol o hyd i wariant i wella’r amgylchedd yng nghyswllt cynllun arfaethedig fod yn gyson â blaenoriaethau’r sector hwnnw (e.e. amddiffyn rhag llifogydd) neu thema’r gronfa (e.e. gweithgareddau ymchwil). Gall hyn gyfyngu ar y raddfa weithredu a allai fod yn ddichonadwy. Mewn llawer o achosion gellir defnyddio’r fframwaith gwasanaethau ecosystem i ddod dros y cyfyngiad hwn drwy ddangos bod buddion economaidd ychwanegol yn deillio o ymgorffori gwelliannau amgylcheddol – un ai’n uniongyrchol i’r maes polisi neu’n ehangach o ran holl fuddion gweithredu polisi neu brosiect</w:t>
      </w:r>
      <w:r w:rsidRPr="008C2197">
        <w:rPr>
          <w:lang w:val="cy-GB"/>
        </w:rPr>
        <w:t xml:space="preserve">. </w:t>
      </w:r>
    </w:p>
    <w:p w14:paraId="219BD14A" w14:textId="77777777" w:rsidR="001655CC" w:rsidRPr="008C2197" w:rsidRDefault="001655CC" w:rsidP="001655CC">
      <w:pPr>
        <w:rPr>
          <w:lang w:val="cy-GB"/>
        </w:rPr>
      </w:pPr>
      <w:r>
        <w:rPr>
          <w:lang w:val="cy-GB"/>
        </w:rPr>
        <w:t xml:space="preserve">Dylid cydnabod hefyd, lle ceisir integreiddio â phrosiectau neu gynlluniau neilltuol, ei bod yn debygol y bydd cyfyngiadau daearyddol – o ran y gorgyffwrdd â </w:t>
      </w:r>
      <w:r w:rsidRPr="008C2197">
        <w:rPr>
          <w:lang w:val="cy-GB"/>
        </w:rPr>
        <w:t>Natura 2000 a</w:t>
      </w:r>
      <w:r>
        <w:rPr>
          <w:lang w:val="cy-GB"/>
        </w:rPr>
        <w:t>c o ran y raddfa gymharol o ystyried y mater rheoli dan sylw. Er enghraifft, dim ond mewn ardaloedd Natura 2000 penodol ac ar gyfer materion cadwraeth penodol y gall WFD a rhaglenni rheoli perygl llifogydd ac erydu arfordirol ddarparu cyfleoedd ariannu sylweddol</w:t>
      </w:r>
      <w:r w:rsidRPr="008C2197">
        <w:rPr>
          <w:lang w:val="cy-GB"/>
        </w:rPr>
        <w:t>.</w:t>
      </w:r>
    </w:p>
    <w:p w14:paraId="71B8BD94" w14:textId="77777777" w:rsidR="001655CC" w:rsidRPr="008C2197" w:rsidRDefault="001655CC" w:rsidP="001655CC">
      <w:pPr>
        <w:rPr>
          <w:lang w:val="cy-GB"/>
        </w:rPr>
      </w:pPr>
      <w:r>
        <w:rPr>
          <w:lang w:val="cy-GB"/>
        </w:rPr>
        <w:t>Yn y bôn, mae angen lefelau sylweddol o ymgysylltu a chodi ymwybyddiaeth gyda phartïon perthnasol i lwyddo i integreiddio, ac mae hynny’n galw am amser staff sylweddol heb unrhyw ariannu cysylltiol. Mae mwy o integreiddio yn elwa o ymgysylltu cynnar wrth ddatblygu cynlluniau a strategaethau er mwyn tynnu sylw at y cyfleoedd i ymgorffori gwelliannau amgylcheddol sy’n mynd i’r afael ag anghenion Natura 2000. Yn arbennig, mae angen ymgysylltu strategol ar lefel tirwedd er mwyn integreiddio cynlluniau sector, strategaethau, prosiectau a gweithgareddau cynlluniau ag ardaloedd cyfagos</w:t>
      </w:r>
      <w:r w:rsidRPr="008C2197">
        <w:rPr>
          <w:lang w:val="cy-GB"/>
        </w:rPr>
        <w:t>.</w:t>
      </w:r>
    </w:p>
    <w:p w14:paraId="574DC25D" w14:textId="77777777" w:rsidR="001655CC" w:rsidRPr="008C2197" w:rsidRDefault="001655CC" w:rsidP="001655CC">
      <w:pPr>
        <w:rPr>
          <w:lang w:val="cy-GB"/>
        </w:rPr>
      </w:pPr>
      <w:r>
        <w:rPr>
          <w:lang w:val="cy-GB"/>
        </w:rPr>
        <w:t>Fodd bynnag, nid oes rhaid wrth ymgysylltu rhagweithiol i sicrhau gwell integreiddio – gall fod yn adweithiol mewn ymateb i ymgynghoriadau. Fel arfer mae ymatebion ymgynghori i gynlluniau, strategaethau, prosiectau a rhaglenni yn canolbwyntio ar osgoi effeithiau negyddol mewn perthynas â’r Rheoliadau Cynefinoedd, gyda llai o bwyslais ar y potensial i fynd ati’n gadarnhaol i wella’r amgylchedd. Mae gwella’r llif syniadau cadarnhaol yn gyfle i integreiddio mwy ar anghenion rheoli Natura 2000 i gynlluniau, strategaethau, prosiectau a rhaglenni. Gallai hyn olygu nodi gweithgareddau ategol neu gydlynol neu atebion seiliedig ar natur yn lle atebion seilwaith-llwyd arferol</w:t>
      </w:r>
      <w:r w:rsidRPr="008C2197">
        <w:rPr>
          <w:lang w:val="cy-GB"/>
        </w:rPr>
        <w:t>.</w:t>
      </w:r>
    </w:p>
    <w:p w14:paraId="5D263D54" w14:textId="77777777" w:rsidR="001655CC" w:rsidRPr="008C2197" w:rsidRDefault="001655CC" w:rsidP="001655CC">
      <w:pPr>
        <w:pStyle w:val="Heading3NoNumb"/>
        <w:rPr>
          <w:szCs w:val="26"/>
          <w:lang w:val="cy-GB"/>
        </w:rPr>
      </w:pPr>
      <w:r w:rsidRPr="008C2197">
        <w:rPr>
          <w:lang w:val="cy-GB"/>
        </w:rPr>
        <w:t xml:space="preserve">Dulliau ariannu amgen: </w:t>
      </w:r>
      <w:r>
        <w:rPr>
          <w:lang w:val="cy-GB"/>
        </w:rPr>
        <w:t>cyfleoedd, cyfyngiadau a chamau gweithredu</w:t>
      </w:r>
    </w:p>
    <w:p w14:paraId="1F0BADAA" w14:textId="77777777" w:rsidR="001655CC" w:rsidRPr="008C2197" w:rsidRDefault="001655CC" w:rsidP="001655CC">
      <w:pPr>
        <w:rPr>
          <w:lang w:val="cy-GB"/>
        </w:rPr>
      </w:pPr>
      <w:r>
        <w:rPr>
          <w:lang w:val="cy-GB"/>
        </w:rPr>
        <w:t xml:space="preserve">Gallai amryw o ffynonellau ariannu amgen helpu i fynd i’r afael â rhai o’r bylchau ariannu o ran rheolaeth </w:t>
      </w:r>
      <w:r w:rsidRPr="008C2197">
        <w:rPr>
          <w:lang w:val="cy-GB"/>
        </w:rPr>
        <w:t xml:space="preserve">Natura 2000. </w:t>
      </w:r>
      <w:r>
        <w:rPr>
          <w:lang w:val="cy-GB"/>
        </w:rPr>
        <w:t xml:space="preserve">Mae rhai o’r rhain yn fwy arloesol neu wrthi’n cael eu datblygu, tra mae eraill yn ceisio manteisio ar adnoddau elusennol a thrydydd sector mewn ffyrdd newydd i fynd i’r afael ag anghenion sy’n dod i’r amlwg yn y rhwydwaith. Mae nifer o’r cyfleoedd sydd wedi’u nodi yn ddulliau seiliedig ar y farchnad, megis </w:t>
      </w:r>
      <w:r w:rsidRPr="008C2197">
        <w:rPr>
          <w:lang w:val="cy-GB"/>
        </w:rPr>
        <w:t xml:space="preserve">Talu am Wasanaethau Ecosystem </w:t>
      </w:r>
      <w:r>
        <w:rPr>
          <w:lang w:val="cy-GB"/>
        </w:rPr>
        <w:t>a chynnyrch sy’n cael ei farchnata. Mae i’r dulliau hyn y potensial i godi arian er mwyn rhoi camau rheoli ar waith, a/neu i ymgorffori’r gwaith rheoli gofynnol fel rhan o roi’r dull neilltuol ar waith</w:t>
      </w:r>
      <w:r w:rsidRPr="008C2197">
        <w:rPr>
          <w:lang w:val="cy-GB"/>
        </w:rPr>
        <w:t xml:space="preserve">. </w:t>
      </w:r>
    </w:p>
    <w:p w14:paraId="1E1206AF" w14:textId="77777777" w:rsidR="001655CC" w:rsidRPr="008C2197" w:rsidRDefault="001655CC" w:rsidP="001655CC">
      <w:pPr>
        <w:rPr>
          <w:lang w:val="cy-GB"/>
        </w:rPr>
      </w:pPr>
      <w:r>
        <w:rPr>
          <w:lang w:val="cy-GB"/>
        </w:rPr>
        <w:t>Lle mae dulliau seiliedig ar y farchnad yn llwyddiant, mae iddynt botensial i fod yn gynaliadwy yn y tymor hir heb lawer o gefnogaeth gan y sector cyhoeddus. Fodd bynnag, hyd yma maent wedi gweithredu fel arfer ar raddfa gymharol fach ac mewn marchnadoedd nad ydynt wedi datblygu llawer ac yn y tymor byr cyfraniad bach yn unig y maen nhw’n debygol o’i wneud i fynd i’r afael ag anghenion ariannu. Hefyd, gall gofynion penodol nodweddion safle neu gostau trafodion uchel gyfyngu arnynt, a gallai hynny ei gwneud yn anodd darparu dulliau sy’n economaidd hyfyw</w:t>
      </w:r>
      <w:r w:rsidRPr="008C2197">
        <w:rPr>
          <w:lang w:val="cy-GB"/>
        </w:rPr>
        <w:t>.</w:t>
      </w:r>
    </w:p>
    <w:p w14:paraId="34973CB2" w14:textId="77777777" w:rsidR="001655CC" w:rsidRPr="008C2197" w:rsidRDefault="001655CC" w:rsidP="001655CC">
      <w:pPr>
        <w:rPr>
          <w:lang w:val="cy-GB"/>
        </w:rPr>
      </w:pPr>
      <w:r>
        <w:rPr>
          <w:lang w:val="cy-GB"/>
        </w:rPr>
        <w:t xml:space="preserve">Mae angen parhau i fuddsoddi yn nefnydd damcaniaethol ac ymarferol llawer o ddulliau ariannu amgen er mwyn datblygu’r ddealltwriaeth, y sefydliadau a’r fframweithiau i’w defnyddio a’u datblygu’n llwyddiannus. Yn hynny o beth, mae gofyn datgloi potensial dulliau amgen a bydd angen buddsoddi i wneud hynny – a rhaid cael arian penodol ar gyfer hynny. </w:t>
      </w:r>
    </w:p>
    <w:p w14:paraId="29003954" w14:textId="77777777" w:rsidR="001655CC" w:rsidRPr="008C2197" w:rsidRDefault="001655CC" w:rsidP="001655CC">
      <w:pPr>
        <w:rPr>
          <w:lang w:val="cy-GB"/>
        </w:rPr>
      </w:pPr>
      <w:r>
        <w:rPr>
          <w:lang w:val="cy-GB"/>
        </w:rPr>
        <w:t xml:space="preserve">Mae cyfleusterau ariannu ar gael at ddibenion o’r fath, yn arbennig </w:t>
      </w:r>
      <w:r w:rsidRPr="008C2197">
        <w:rPr>
          <w:lang w:val="cy-GB"/>
        </w:rPr>
        <w:t>LIFE (</w:t>
      </w:r>
      <w:r>
        <w:rPr>
          <w:lang w:val="cy-GB"/>
        </w:rPr>
        <w:t xml:space="preserve">yn cynnwys y Cyfleuster Ariannu Cyfalaf </w:t>
      </w:r>
      <w:r w:rsidRPr="008C2197">
        <w:rPr>
          <w:lang w:val="cy-GB"/>
        </w:rPr>
        <w:t>Natur</w:t>
      </w:r>
      <w:r>
        <w:rPr>
          <w:lang w:val="cy-GB"/>
        </w:rPr>
        <w:t>io</w:t>
      </w:r>
      <w:r w:rsidRPr="008C2197">
        <w:rPr>
          <w:lang w:val="cy-GB"/>
        </w:rPr>
        <w:t xml:space="preserve">l </w:t>
      </w:r>
      <w:r>
        <w:rPr>
          <w:lang w:val="cy-GB"/>
        </w:rPr>
        <w:t>newydd</w:t>
      </w:r>
      <w:r w:rsidRPr="008C2197">
        <w:rPr>
          <w:lang w:val="cy-GB"/>
        </w:rPr>
        <w:t>) a</w:t>
      </w:r>
      <w:r>
        <w:rPr>
          <w:lang w:val="cy-GB"/>
        </w:rPr>
        <w:t>c</w:t>
      </w:r>
      <w:r w:rsidRPr="008C2197">
        <w:rPr>
          <w:lang w:val="cy-GB"/>
        </w:rPr>
        <w:t xml:space="preserve"> EAFRD (</w:t>
      </w:r>
      <w:r>
        <w:rPr>
          <w:lang w:val="cy-GB"/>
        </w:rPr>
        <w:t>y Cynllun Datblygu Gwledig</w:t>
      </w:r>
      <w:r w:rsidRPr="008C2197">
        <w:rPr>
          <w:lang w:val="cy-GB"/>
        </w:rPr>
        <w:t xml:space="preserve">). </w:t>
      </w:r>
      <w:r>
        <w:rPr>
          <w:lang w:val="cy-GB"/>
        </w:rPr>
        <w:t>Gallai defnyddio arian sydd â chyfyngiadau amser helpu i brofi’r cysyniad a sefydlu cynlluniau sy’n gynaliadwy yn y tymor hwy</w:t>
      </w:r>
      <w:r w:rsidRPr="008C2197">
        <w:rPr>
          <w:lang w:val="cy-GB"/>
        </w:rPr>
        <w:t>.</w:t>
      </w:r>
    </w:p>
    <w:p w14:paraId="6993681C" w14:textId="4AF86D67" w:rsidR="001655CC" w:rsidRDefault="001655CC">
      <w:pPr>
        <w:spacing w:before="0" w:after="0" w:line="240" w:lineRule="auto"/>
        <w:jc w:val="left"/>
        <w:rPr>
          <w:rFonts w:ascii="Calibri" w:eastAsiaTheme="majorEastAsia" w:hAnsi="Calibri" w:cstheme="majorBidi"/>
          <w:b/>
          <w:bCs/>
          <w:color w:val="0067AC"/>
          <w:sz w:val="32"/>
          <w:szCs w:val="28"/>
        </w:rPr>
      </w:pPr>
    </w:p>
    <w:p w14:paraId="2BF95A26" w14:textId="62FEF1E9" w:rsidR="005B10E4" w:rsidRPr="00B245C4" w:rsidRDefault="005B10E4" w:rsidP="000927EF">
      <w:pPr>
        <w:pStyle w:val="Heading1NoNumb"/>
      </w:pPr>
      <w:bookmarkStart w:id="42" w:name="_Toc421880649"/>
      <w:r w:rsidRPr="00B245C4">
        <w:t>Executive summary</w:t>
      </w:r>
      <w:bookmarkEnd w:id="31"/>
      <w:bookmarkEnd w:id="32"/>
      <w:bookmarkEnd w:id="33"/>
      <w:bookmarkEnd w:id="34"/>
      <w:bookmarkEnd w:id="35"/>
      <w:bookmarkEnd w:id="42"/>
    </w:p>
    <w:p w14:paraId="6AA0F20F" w14:textId="77777777" w:rsidR="00B245C4" w:rsidRDefault="00B245C4" w:rsidP="00B245C4">
      <w:pPr>
        <w:pStyle w:val="Heading2NoNumb"/>
      </w:pPr>
      <w:bookmarkStart w:id="43" w:name="_Toc413407021"/>
      <w:bookmarkStart w:id="44" w:name="_Toc413419252"/>
      <w:bookmarkStart w:id="45" w:name="_Toc413684463"/>
      <w:bookmarkStart w:id="46" w:name="_Toc417912516"/>
      <w:bookmarkStart w:id="47" w:name="_Toc421880650"/>
      <w:r>
        <w:t>Introduction</w:t>
      </w:r>
      <w:bookmarkEnd w:id="43"/>
      <w:bookmarkEnd w:id="44"/>
      <w:bookmarkEnd w:id="45"/>
      <w:bookmarkEnd w:id="46"/>
      <w:bookmarkEnd w:id="47"/>
    </w:p>
    <w:p w14:paraId="3B732AED" w14:textId="77777777" w:rsidR="00B245C4" w:rsidRDefault="00B245C4" w:rsidP="00B245C4">
      <w:r>
        <w:t xml:space="preserve">Natura 2000 is the network of the EU’s most special nature sites. They form the centrepiece of the EU’s biodiversity policy, and their protection and management play a key role in efforts to halt the loss of biodiversity. Securing and enhancing the benefits that Natura 2000 offers depends on effective implementation and management of the network. </w:t>
      </w:r>
      <w:smartTag w:uri="urn:schemas-microsoft-com:office:smarttags" w:element="country-region">
        <w:smartTag w:uri="urn:schemas-microsoft-com:office:smarttags" w:element="place">
          <w:r>
            <w:t>Wales</w:t>
          </w:r>
        </w:smartTag>
      </w:smartTag>
      <w:r>
        <w:t xml:space="preserve"> has 20 Special Protection Areas (SPAs) and 92 Special Areas of Conservation (SACs), which together span more than 700,000 hectares, comprising 8.5% of the Welsh land area and 35% of territorial waters. The network therefore comprises a significant portion of Wales’ territory. However, as in the EU as a whole, much of the network is in unfavourable conservation status, and great efforts are needed for restoration and management activities.</w:t>
      </w:r>
    </w:p>
    <w:p w14:paraId="4C429B24" w14:textId="0456A70B" w:rsidR="00B245C4" w:rsidRDefault="00B245C4" w:rsidP="00B245C4">
      <w:r>
        <w:t>Such wide-spread restoration and management activity present a high demand for finance. The revised Wales Prioritised Action Framework (PAF) highlights recurrent annual costs of around £13.8m/yr and one-off costs of £3.1m for the network as a whole (Welsh Government, 2014). As in most other areas of Europe, the current costs of managing the Wales network are borne almost entirely by public authorities. While much of the focus at EU level has been on enhancing funding from the EU budget, it is recognised that other sources of public funding, private sector and Non-Governmental Organisation (NGO) finance are also important – and are expected to be increasingly so in the future. For example, payments for ecosystem services such as carbon storage, flood retention, water purification, as well as the provision of public goods such as landscape and biodiversity, offer new potential funding sources, both from public sector buyers (e.g. agri-environment schemes) as well as privately funded Payment for Ecosystem Services (PES) schemes (e.g. payments from water companies, carbon offsetting schemes</w:t>
      </w:r>
      <w:r w:rsidR="00A406A1">
        <w:t>)</w:t>
      </w:r>
      <w:r>
        <w:t>.</w:t>
      </w:r>
    </w:p>
    <w:p w14:paraId="32469423" w14:textId="28DB6DC1" w:rsidR="00B245C4" w:rsidRDefault="00B245C4" w:rsidP="00B245C4">
      <w:r>
        <w:t xml:space="preserve">In order to enhance management of the network, NRW was awarded LIFE+ funding for a project, LIFE Natura 2000 Programme for Wales (LIFE 11 NAT/UK/385). The purpose of the project is to develop a strategic, prioritised programme for the management and restoration of Wales' Natura 2000 sites. The programme will enable Wales to make significant progress towards bringing the designated Natura 2000 habitats and species into favourable condition and help Wales to meet its commitments under the European Habitats and Birds Directives. This reports </w:t>
      </w:r>
      <w:r w:rsidR="00A406A1">
        <w:t>contributes to</w:t>
      </w:r>
      <w:r>
        <w:t xml:space="preserve"> this programme by exploring the existing and potential funding options for Natura 2000 in Wales. It acts as a form of ‘funding map’ and a resource through which to understand the potential of different funding types to address the anticipated management actions required, </w:t>
      </w:r>
      <w:r w:rsidR="00A406A1">
        <w:t xml:space="preserve">and </w:t>
      </w:r>
      <w:r>
        <w:t xml:space="preserve">the mechanisms which may be used to implement such actions. As such it seeks to provide options for diversifying funding sources in order to address the anticipated Wales Natura 2000 funding gap. </w:t>
      </w:r>
      <w:r w:rsidR="00A406A1">
        <w:t>I</w:t>
      </w:r>
      <w:r>
        <w:t>t is an important step in enabling a broad ranging appraisal of funding options as part of the PAF development, once the conservation and management needs of Natura 2000 in Wales have been drawn together and finalised.</w:t>
      </w:r>
    </w:p>
    <w:p w14:paraId="58ADD74F" w14:textId="77777777" w:rsidR="00B245C4" w:rsidRDefault="00B245C4" w:rsidP="00B245C4">
      <w:pPr>
        <w:pStyle w:val="Heading3NoNumb"/>
      </w:pPr>
      <w:r>
        <w:t>Study approach</w:t>
      </w:r>
    </w:p>
    <w:p w14:paraId="2029CE50" w14:textId="0F4FD701" w:rsidR="00B245C4" w:rsidRDefault="00B245C4" w:rsidP="00B245C4">
      <w:r>
        <w:t>Our study approach was designed to bring together the key elements required for understanding the main opportunities for expanding or enhancing funding for Natura 2000 and what can be done to help capitalise on these opportunities. The project therefore undertook the following tasks:</w:t>
      </w:r>
    </w:p>
    <w:p w14:paraId="7EDC9A04" w14:textId="77777777" w:rsidR="00B245C4" w:rsidRDefault="00B245C4" w:rsidP="00B245C4">
      <w:pPr>
        <w:pStyle w:val="Bullet1Last"/>
      </w:pPr>
      <w:r>
        <w:t>Establish a bibliography of funding sources.</w:t>
      </w:r>
    </w:p>
    <w:p w14:paraId="700D8C2D" w14:textId="77777777" w:rsidR="00B245C4" w:rsidRDefault="00B245C4" w:rsidP="00B245C4">
      <w:pPr>
        <w:pStyle w:val="Bullet1Last"/>
      </w:pPr>
      <w:r>
        <w:t>Review a long list of funding sources and opportunities for their enhanced use and access.</w:t>
      </w:r>
    </w:p>
    <w:p w14:paraId="52C79CF2" w14:textId="77777777" w:rsidR="00B245C4" w:rsidRDefault="00B245C4" w:rsidP="00B245C4">
      <w:pPr>
        <w:pStyle w:val="Bullet1Last"/>
      </w:pPr>
      <w:r>
        <w:t>Review funding options for a short list of management mechanisms.</w:t>
      </w:r>
    </w:p>
    <w:p w14:paraId="4EDCE0D5" w14:textId="77777777" w:rsidR="00B245C4" w:rsidRDefault="00B245C4" w:rsidP="00B245C4">
      <w:r>
        <w:t>These tasks were informed by reviews of secondary sources complemented with primary research interviews with 30 individuals/organisations.</w:t>
      </w:r>
    </w:p>
    <w:p w14:paraId="0AAA1AF5" w14:textId="77777777" w:rsidR="00B245C4" w:rsidRDefault="00B245C4" w:rsidP="00B245C4">
      <w:pPr>
        <w:pStyle w:val="Heading2NoNumb"/>
      </w:pPr>
      <w:bookmarkStart w:id="48" w:name="_Toc413407022"/>
      <w:bookmarkStart w:id="49" w:name="_Toc413419253"/>
      <w:bookmarkStart w:id="50" w:name="_Toc413684464"/>
      <w:bookmarkStart w:id="51" w:name="_Toc417912517"/>
      <w:bookmarkStart w:id="52" w:name="_Toc421880651"/>
      <w:r>
        <w:t>Conservation need, management and funding</w:t>
      </w:r>
      <w:bookmarkEnd w:id="48"/>
      <w:bookmarkEnd w:id="49"/>
      <w:bookmarkEnd w:id="50"/>
      <w:bookmarkEnd w:id="51"/>
      <w:bookmarkEnd w:id="52"/>
    </w:p>
    <w:p w14:paraId="3AD8D8BC" w14:textId="77777777" w:rsidR="00B245C4" w:rsidRDefault="00B245C4" w:rsidP="00B245C4">
      <w:r>
        <w:t xml:space="preserve">Analysis of financing opportunities must be based on a sound assessment of management and financial needs of Natura 2000 sites. This can be developed by drawing out the conservation issues that need to be addressed, the mechanisms that can be used to facilitate their management and the management actions that are, in turn, required to deliver them. </w:t>
      </w:r>
    </w:p>
    <w:p w14:paraId="2BFF72D3" w14:textId="4AA14F3F" w:rsidR="00B245C4" w:rsidRDefault="00B245C4" w:rsidP="00B245C4">
      <w:r w:rsidRPr="00B245C4">
        <w:t xml:space="preserve">Figure </w:t>
      </w:r>
      <w:r>
        <w:t>A provides a schematic overview of the core components of a framework through which a series of logic pathways can be developed that map out the linkages between specific conservation needs and funding needs, which can then be drawn on for future funding appraisals. At this stage, a detailed picture of the conservation and management needs is still being developed. As such, our approach utilised typologies of management mechanisms, management actions and funding sources which can be drawn together using matrices.  This forms the basis of our review of likely opportunities and actions to capitalise on these, which can be investigated as part of the detailed funding appraisal for the PAF.</w:t>
      </w:r>
    </w:p>
    <w:p w14:paraId="01E4C9EB" w14:textId="4EFFB7E3" w:rsidR="00B245C4" w:rsidRDefault="00B245C4" w:rsidP="00B245C4">
      <w:pPr>
        <w:pStyle w:val="Figure"/>
        <w:numPr>
          <w:ilvl w:val="0"/>
          <w:numId w:val="0"/>
        </w:numPr>
      </w:pPr>
      <w:r>
        <w:t xml:space="preserve">Figure A: Basic Framework for Establishing Natura 2000 Funding Needs </w:t>
      </w:r>
    </w:p>
    <w:p w14:paraId="4122F7DD" w14:textId="3DCB7E06" w:rsidR="00B245C4" w:rsidRDefault="00EB4703" w:rsidP="001655CC">
      <w:r>
        <mc:AlternateContent>
          <mc:Choice Requires="wps">
            <w:drawing>
              <wp:anchor distT="0" distB="0" distL="114300" distR="114300" simplePos="0" relativeHeight="251667456" behindDoc="0" locked="0" layoutInCell="1" allowOverlap="1" wp14:anchorId="39E20690" wp14:editId="1B895DA8">
                <wp:simplePos x="0" y="0"/>
                <wp:positionH relativeFrom="margin">
                  <wp:posOffset>1726565</wp:posOffset>
                </wp:positionH>
                <wp:positionV relativeFrom="paragraph">
                  <wp:posOffset>680085</wp:posOffset>
                </wp:positionV>
                <wp:extent cx="1668780" cy="1381760"/>
                <wp:effectExtent l="0" t="0" r="26670" b="27940"/>
                <wp:wrapNone/>
                <wp:docPr id="5" name="Rounded Rectangle 5"/>
                <wp:cNvGraphicFramePr/>
                <a:graphic xmlns:a="http://schemas.openxmlformats.org/drawingml/2006/main">
                  <a:graphicData uri="http://schemas.microsoft.com/office/word/2010/wordprocessingShape">
                    <wps:wsp>
                      <wps:cNvSpPr/>
                      <wps:spPr>
                        <a:xfrm>
                          <a:off x="0" y="0"/>
                          <a:ext cx="1668780" cy="13817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005290A" id="Rounded Rectangle 5" o:spid="_x0000_s1026" style="position:absolute;margin-left:135.95pt;margin-top:53.55pt;width:131.4pt;height:108.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" filled="f" strokecolor="#243f60 [1604]" strokeweight="2pt">
                <w10:wrap anchorx="margin"/>
              </v:roundrect>
            </w:pict>
          </mc:Fallback>
        </mc:AlternateContent>
      </w:r>
      <w:r w:rsidR="00B245C4">
        <mc:AlternateContent>
          <mc:Choice Requires="wps">
            <w:drawing>
              <wp:anchor distT="0" distB="0" distL="114300" distR="114300" simplePos="0" relativeHeight="251664384" behindDoc="0" locked="0" layoutInCell="1" allowOverlap="1" wp14:anchorId="5E701A15" wp14:editId="1DEC803D">
                <wp:simplePos x="0" y="0"/>
                <wp:positionH relativeFrom="page">
                  <wp:posOffset>6189345</wp:posOffset>
                </wp:positionH>
                <wp:positionV relativeFrom="paragraph">
                  <wp:posOffset>699135</wp:posOffset>
                </wp:positionV>
                <wp:extent cx="914400" cy="1350645"/>
                <wp:effectExtent l="0" t="0" r="19050" b="20955"/>
                <wp:wrapNone/>
                <wp:docPr id="13" name="Rounded Rectangle 13"/>
                <wp:cNvGraphicFramePr/>
                <a:graphic xmlns:a="http://schemas.openxmlformats.org/drawingml/2006/main">
                  <a:graphicData uri="http://schemas.microsoft.com/office/word/2010/wordprocessingShape">
                    <wps:wsp>
                      <wps:cNvSpPr/>
                      <wps:spPr>
                        <a:xfrm>
                          <a:off x="0" y="0"/>
                          <a:ext cx="914400" cy="13506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D900D5" w14:textId="77777777" w:rsidR="00467097" w:rsidRDefault="00467097" w:rsidP="00B245C4">
                            <w:pPr>
                              <w:jc w:val="center"/>
                              <w:rPr>
                                <w:rFonts w:asciiTheme="minorHAnsi" w:hAnsiTheme="minorHAnsi"/>
                                <w:sz w:val="28"/>
                                <w:szCs w:val="28"/>
                              </w:rPr>
                            </w:pPr>
                            <w:r>
                              <w:rPr>
                                <w:rFonts w:asciiTheme="minorHAnsi" w:hAnsiTheme="minorHAnsi"/>
                                <w:sz w:val="28"/>
                                <w:szCs w:val="28"/>
                              </w:rPr>
                              <w:t>Funding 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E701A15" id="Rounded Rectangle 13" o:spid="_x0000_s1028" style="position:absolute;left:0;text-align:left;margin-left:487.35pt;margin-top:55.05pt;width:1in;height:106.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" fillcolor="#4f81bd [3204]" strokecolor="#243f60 [1604]" strokeweight="2pt">
                <v:textbox>
                  <w:txbxContent>
                    <w:p w14:paraId="5CD900D5" w14:textId="77777777" w:rsidR="00467097" w:rsidRDefault="00467097" w:rsidP="00B245C4">
                      <w:pPr>
                        <w:jc w:val="center"/>
                        <w:rPr>
                          <w:rFonts w:asciiTheme="minorHAnsi" w:hAnsiTheme="minorHAnsi"/>
                          <w:sz w:val="28"/>
                          <w:szCs w:val="28"/>
                        </w:rPr>
                      </w:pPr>
                      <w:r>
                        <w:rPr>
                          <w:rFonts w:asciiTheme="minorHAnsi" w:hAnsiTheme="minorHAnsi"/>
                          <w:sz w:val="28"/>
                          <w:szCs w:val="28"/>
                        </w:rPr>
                        <w:t>Funding sources</w:t>
                      </w:r>
                    </w:p>
                  </w:txbxContent>
                </v:textbox>
                <w10:wrap anchorx="page"/>
              </v:roundrect>
            </w:pict>
          </mc:Fallback>
        </mc:AlternateContent>
      </w:r>
      <w:r w:rsidR="00B245C4">
        <mc:AlternateContent>
          <mc:Choice Requires="wps">
            <w:drawing>
              <wp:anchor distT="0" distB="0" distL="114300" distR="114300" simplePos="0" relativeHeight="251665408" behindDoc="0" locked="0" layoutInCell="1" allowOverlap="1" wp14:anchorId="0DA57285" wp14:editId="63C01C78">
                <wp:simplePos x="0" y="0"/>
                <wp:positionH relativeFrom="margin">
                  <wp:posOffset>5036185</wp:posOffset>
                </wp:positionH>
                <wp:positionV relativeFrom="paragraph">
                  <wp:posOffset>1292860</wp:posOffset>
                </wp:positionV>
                <wp:extent cx="233680" cy="127635"/>
                <wp:effectExtent l="0" t="0" r="13970" b="24765"/>
                <wp:wrapNone/>
                <wp:docPr id="12" name="Left Arrow 12"/>
                <wp:cNvGraphicFramePr/>
                <a:graphic xmlns:a="http://schemas.openxmlformats.org/drawingml/2006/main">
                  <a:graphicData uri="http://schemas.microsoft.com/office/word/2010/wordprocessingShape">
                    <wps:wsp>
                      <wps:cNvSpPr/>
                      <wps:spPr>
                        <a:xfrm>
                          <a:off x="0" y="0"/>
                          <a:ext cx="233680" cy="12763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28AD3A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2" o:spid="_x0000_s1026" type="#_x0000_t66" style="position:absolute;margin-left:396.55pt;margin-top:101.8pt;width:18.4pt;height:10.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" adj="5899" fillcolor="#4f81bd [3204]" strokecolor="#243f60 [1604]" strokeweight="2pt">
                <w10:wrap anchorx="margin"/>
              </v:shape>
            </w:pict>
          </mc:Fallback>
        </mc:AlternateContent>
      </w:r>
      <w:r w:rsidR="00B245C4">
        <mc:AlternateContent>
          <mc:Choice Requires="wps">
            <w:drawing>
              <wp:anchor distT="0" distB="0" distL="114300" distR="114300" simplePos="0" relativeHeight="251666432" behindDoc="0" locked="0" layoutInCell="1" allowOverlap="1" wp14:anchorId="1F271875" wp14:editId="42AE83FF">
                <wp:simplePos x="0" y="0"/>
                <wp:positionH relativeFrom="column">
                  <wp:posOffset>1619885</wp:posOffset>
                </wp:positionH>
                <wp:positionV relativeFrom="paragraph">
                  <wp:posOffset>647700</wp:posOffset>
                </wp:positionV>
                <wp:extent cx="2136775" cy="328930"/>
                <wp:effectExtent l="0" t="0" r="0" b="0"/>
                <wp:wrapNone/>
                <wp:docPr id="7" name="Text Box 7"/>
                <wp:cNvGraphicFramePr/>
                <a:graphic xmlns:a="http://schemas.openxmlformats.org/drawingml/2006/main">
                  <a:graphicData uri="http://schemas.microsoft.com/office/word/2010/wordprocessingShape">
                    <wps:wsp>
                      <wps:cNvSpPr txBox="1"/>
                      <wps:spPr>
                        <a:xfrm>
                          <a:off x="0" y="0"/>
                          <a:ext cx="2136775" cy="3289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A71F21" w14:textId="77777777" w:rsidR="00467097" w:rsidRDefault="00467097" w:rsidP="00B245C4">
                            <w:pPr>
                              <w:spacing w:before="0" w:after="0"/>
                              <w:rPr>
                                <w:rFonts w:asciiTheme="minorHAnsi" w:hAnsiTheme="minorHAnsi"/>
                                <w:color w:val="FFFFFF" w:themeColor="background1"/>
                                <w:sz w:val="28"/>
                                <w:szCs w:val="28"/>
                              </w:rPr>
                            </w:pPr>
                            <w:r>
                              <w:rPr>
                                <w:rFonts w:asciiTheme="minorHAnsi" w:hAnsiTheme="minorHAnsi"/>
                                <w:color w:val="FFFFFF" w:themeColor="background1"/>
                                <w:sz w:val="28"/>
                                <w:szCs w:val="28"/>
                              </w:rPr>
                              <w:t>Management mechanisms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71875" id="Text Box 7" o:spid="_x0000_s1029" type="#_x0000_t202" style="position:absolute;left:0;text-align:left;margin-left:127.55pt;margin-top:51pt;width:168.25pt;height:2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" filled="f" stroked="f" strokeweight=".5pt">
                <v:textbox>
                  <w:txbxContent>
                    <w:p w14:paraId="3BA71F21" w14:textId="77777777" w:rsidR="00467097" w:rsidRDefault="00467097" w:rsidP="00B245C4">
                      <w:pPr>
                        <w:spacing w:before="0" w:after="0"/>
                        <w:rPr>
                          <w:rFonts w:asciiTheme="minorHAnsi" w:hAnsiTheme="minorHAnsi"/>
                          <w:color w:val="FFFFFF" w:themeColor="background1"/>
                          <w:sz w:val="28"/>
                          <w:szCs w:val="28"/>
                        </w:rPr>
                      </w:pPr>
                      <w:r>
                        <w:rPr>
                          <w:rFonts w:asciiTheme="minorHAnsi" w:hAnsiTheme="minorHAnsi"/>
                          <w:color w:val="FFFFFF" w:themeColor="background1"/>
                          <w:sz w:val="28"/>
                          <w:szCs w:val="28"/>
                        </w:rPr>
                        <w:t>Management mechanisms</w:t>
                      </w:r>
                    </w:p>
                  </w:txbxContent>
                </v:textbox>
              </v:shape>
            </w:pict>
          </mc:Fallback>
        </mc:AlternateContent>
      </w:r>
      <w:r w:rsidR="00B245C4">
        <w:t xml:space="preserve"> </w:t>
      </w:r>
      <w:r w:rsidR="00B245C4">
        <w:drawing>
          <wp:inline distT="0" distB="0" distL="0" distR="0" wp14:anchorId="2F2295C9" wp14:editId="0BFFB36B">
            <wp:extent cx="5105400" cy="2752725"/>
            <wp:effectExtent l="0" t="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758BBBAA" w14:textId="77777777" w:rsidR="00B245C4" w:rsidRDefault="00B245C4" w:rsidP="00B245C4">
      <w:r>
        <w:rPr>
          <w:b/>
        </w:rPr>
        <w:t>Management actions</w:t>
      </w:r>
      <w:r>
        <w:t xml:space="preserve"> are the actions that deliver the changes required to address the identified pressures and threats, via the appropriate management mechanism. It is these actions that require funding and provide the basis on which the funding analysis can be taken forward. A range of actions can be taken. European Commission (2013) sets out a typology which utilises a list of 25 Natura 2000 management measures (see </w:t>
      </w:r>
      <w:r>
        <w:fldChar w:fldCharType="begin"/>
      </w:r>
      <w:r>
        <w:instrText xml:space="preserve"> REF _Ref413157566 \r \h </w:instrText>
      </w:r>
      <w:r>
        <w:fldChar w:fldCharType="separate"/>
      </w:r>
      <w:r>
        <w:t>Table 2.1</w:t>
      </w:r>
      <w:r>
        <w:fldChar w:fldCharType="end"/>
      </w:r>
      <w:r>
        <w:t>) which have in turn been used in the Wales PAF. These consist of four groups of measures relating to: establishment of Natura 2000 sites, management planning, ongoing habitat management and monitoring, and investments.</w:t>
      </w:r>
    </w:p>
    <w:p w14:paraId="0CAB6C8F" w14:textId="36229D2B" w:rsidR="00B245C4" w:rsidRDefault="00B245C4" w:rsidP="00B245C4">
      <w:r>
        <w:rPr>
          <w:b/>
        </w:rPr>
        <w:t>Management mechanisms</w:t>
      </w:r>
      <w:r>
        <w:t xml:space="preserve"> are the instruments through which the actions to address the conservation needs can be delivered.  </w:t>
      </w:r>
      <w:r w:rsidR="00A406A1">
        <w:t>Two internal r</w:t>
      </w:r>
      <w:r>
        <w:t>esearch reports by NRW (Natural Resources Wales, 2014), which draw on the views of site managers and other relevant stakeholders, were used to inform our understanding of these issues and as a basis for selecting the mechanisms considered in this research. In some instances these are well aligned with specific management actions.</w:t>
      </w:r>
    </w:p>
    <w:p w14:paraId="277070E8" w14:textId="77777777" w:rsidR="00B245C4" w:rsidRDefault="00B245C4" w:rsidP="00B245C4">
      <w:pPr>
        <w:pStyle w:val="Heading2NoNumb"/>
      </w:pPr>
      <w:bookmarkStart w:id="53" w:name="_Toc413407023"/>
      <w:bookmarkStart w:id="54" w:name="_Toc413419254"/>
      <w:bookmarkStart w:id="55" w:name="_Toc413684465"/>
      <w:bookmarkStart w:id="56" w:name="_Toc417912518"/>
      <w:bookmarkStart w:id="57" w:name="_Toc421880652"/>
      <w:r>
        <w:t>Mapping funding sources to management actions and management mechanisms</w:t>
      </w:r>
      <w:bookmarkEnd w:id="53"/>
      <w:bookmarkEnd w:id="54"/>
      <w:bookmarkEnd w:id="55"/>
      <w:bookmarkEnd w:id="56"/>
      <w:bookmarkEnd w:id="57"/>
    </w:p>
    <w:p w14:paraId="16DDEC08" w14:textId="056CB437" w:rsidR="00B245C4" w:rsidRDefault="00B245C4" w:rsidP="00B245C4">
      <w:r>
        <w:t>Funding for the Natura 2000 network can be provided through a variety of different types of instruments and whilst the funding options are diverse they are also highly fragmented, creating gaps and discontinuities. We have categorised the available funding sources by five main types:</w:t>
      </w:r>
    </w:p>
    <w:p w14:paraId="5AB4AB72" w14:textId="3539C814" w:rsidR="00B245C4" w:rsidRDefault="00B245C4" w:rsidP="00B245C4">
      <w:pPr>
        <w:pStyle w:val="Bullet1Last"/>
        <w:ind w:left="341" w:hanging="284"/>
      </w:pPr>
      <w:r>
        <w:t>Public funding - NRW funding is the most direct and dedicated source of funding support to the Natura 2000 network in Wales, reflecting NRW’s statutory responsibility for the network</w:t>
      </w:r>
      <w:r w:rsidR="00A406A1">
        <w:t>.</w:t>
      </w:r>
    </w:p>
    <w:p w14:paraId="60222BA0" w14:textId="77777777" w:rsidR="00B245C4" w:rsidRDefault="00B245C4" w:rsidP="00B245C4">
      <w:pPr>
        <w:pStyle w:val="Bullet1Last"/>
        <w:ind w:left="341" w:hanging="284"/>
      </w:pPr>
      <w:r>
        <w:t>EU funding: A number of different EU funding instruments are relevant for funding Natura 2000 (e.g. European Agriculture Fund for Rural Development, EAFRD), however it should be noted that only LIFE provides dedicated support to biodiversity and Natura 2000.</w:t>
      </w:r>
    </w:p>
    <w:p w14:paraId="19F07298" w14:textId="04BD6D8D" w:rsidR="00B245C4" w:rsidRDefault="00B245C4" w:rsidP="00B245C4">
      <w:pPr>
        <w:pStyle w:val="Bullet1Last"/>
        <w:ind w:left="341" w:hanging="284"/>
      </w:pPr>
      <w:r>
        <w:t>Other sector plans, strategies and public funds: Natura 2000 may potentially also benefit from other public sector budgets, where the needs of the network align with other policy objectives, such as flood and coastal erosion risk management</w:t>
      </w:r>
      <w:r w:rsidR="00A406A1">
        <w:t>.</w:t>
      </w:r>
    </w:p>
    <w:p w14:paraId="3868E00D" w14:textId="192155C6" w:rsidR="00B245C4" w:rsidRDefault="00B245C4" w:rsidP="00B245C4">
      <w:pPr>
        <w:pStyle w:val="Bullet1Last"/>
        <w:ind w:left="341" w:hanging="284"/>
      </w:pPr>
      <w:r>
        <w:t xml:space="preserve">Private, Lottery and voluntary sector funds: </w:t>
      </w:r>
      <w:r w:rsidR="00A406A1">
        <w:t>F</w:t>
      </w:r>
      <w:r>
        <w:t xml:space="preserve">unds </w:t>
      </w:r>
      <w:r w:rsidR="00A406A1">
        <w:t xml:space="preserve">are </w:t>
      </w:r>
      <w:r>
        <w:t xml:space="preserve">made available by organisations including businesses and charitable trusts – either </w:t>
      </w:r>
      <w:r w:rsidR="00A406A1">
        <w:t xml:space="preserve">in the form of financial assistance </w:t>
      </w:r>
      <w:r>
        <w:t>through grants</w:t>
      </w:r>
      <w:r w:rsidR="00A406A1">
        <w:t xml:space="preserve"> or</w:t>
      </w:r>
      <w:r w:rsidR="00C30877">
        <w:t xml:space="preserve"> </w:t>
      </w:r>
      <w:r>
        <w:t>sponsorship</w:t>
      </w:r>
      <w:r w:rsidR="00A406A1">
        <w:t xml:space="preserve">, </w:t>
      </w:r>
      <w:r>
        <w:t xml:space="preserve">or </w:t>
      </w:r>
      <w:r w:rsidR="00A406A1">
        <w:t xml:space="preserve">through </w:t>
      </w:r>
      <w:r>
        <w:t>direct management activities</w:t>
      </w:r>
      <w:r w:rsidR="00A406A1">
        <w:t>.</w:t>
      </w:r>
    </w:p>
    <w:p w14:paraId="2A681A5B" w14:textId="2EE45CF4" w:rsidR="00B245C4" w:rsidRDefault="00B245C4" w:rsidP="00B245C4">
      <w:pPr>
        <w:pStyle w:val="Bullet1Last"/>
        <w:ind w:left="341" w:hanging="284"/>
      </w:pPr>
      <w:r>
        <w:t xml:space="preserve">Alternative funding approaches: </w:t>
      </w:r>
      <w:r w:rsidR="00FC09A1">
        <w:t>Other</w:t>
      </w:r>
      <w:r>
        <w:t xml:space="preserve"> funding sources are more emerging or unproven, or focus on areas with a more indirect link to Natura 2000 management (such as skills, training and monitoring infrastructure). A number of these seek to capture private sector funding by capitalising on the ecosystem service benefits that Natura 2000 sites provide. By developing alternative funding sources, or by utilising approaches that remove the funding need by encouraging direct private sector management actions, the financial burden on the public sector is reduced, allowing core public funds to be directed to other areas of funding need.</w:t>
      </w:r>
    </w:p>
    <w:p w14:paraId="76C7E168" w14:textId="77777777" w:rsidR="00B245C4" w:rsidRDefault="00B245C4" w:rsidP="00B245C4">
      <w:pPr>
        <w:pStyle w:val="Heading3NoNumb"/>
      </w:pPr>
      <w:r>
        <w:t>Funding sources for management actions</w:t>
      </w:r>
    </w:p>
    <w:p w14:paraId="6D1F5681" w14:textId="09CED62F" w:rsidR="00B245C4" w:rsidRDefault="00B245C4" w:rsidP="00B245C4">
      <w:r>
        <w:t xml:space="preserve">Different funding sources are suited to different management actions. </w:t>
      </w:r>
      <w:r>
        <w:fldChar w:fldCharType="begin"/>
      </w:r>
      <w:r>
        <w:instrText xml:space="preserve"> REF _Ref412639882 \r \h  \* MERGEFORMAT </w:instrText>
      </w:r>
      <w:r>
        <w:fldChar w:fldCharType="separate"/>
      </w:r>
      <w:r>
        <w:t>Table 3.3</w:t>
      </w:r>
      <w:r>
        <w:fldChar w:fldCharType="end"/>
      </w:r>
      <w:r>
        <w:t xml:space="preserve"> in the main report provides an overview of the potential for funding sources to fund management actions. It demonstrates that there are multiple potential funding sources available for each management action. However in reality the applicability of each funding source will depend on the characteristics of the individual management action being undertaken i.e. where it is, what issue it is addressing, who it affects and what </w:t>
      </w:r>
      <w:r w:rsidR="00FC09A1">
        <w:t xml:space="preserve">are </w:t>
      </w:r>
      <w:r>
        <w:t>its broader non-conservation objectives or impacts.</w:t>
      </w:r>
    </w:p>
    <w:p w14:paraId="6646794A" w14:textId="77777777" w:rsidR="00B245C4" w:rsidRDefault="00B245C4" w:rsidP="00B245C4">
      <w:r>
        <w:t xml:space="preserve">Some funding sources demonstrate potential wide applicability in terms of actions, such as the Heritage Lottery Fund. For HLF, a range of conservation activities relating to habitats, surveying and monitoring, management planning, staffing, skills and land purchase can be funded, in line with the broad focus of the funding source. However, projects are time-limited and access to the funding is constrained by limits on and competition for the available finance, the up-front resources required to prepare a bid, and the ongoing administrative resources required to service a grant. </w:t>
      </w:r>
    </w:p>
    <w:p w14:paraId="38A7F169" w14:textId="5EFB7EDF" w:rsidR="00B245C4" w:rsidRDefault="00B245C4" w:rsidP="00B245C4">
      <w:r>
        <w:t xml:space="preserve">EU funds provide for a broad scope of potential management actions. Notably a number of EU fund articles – principally in the EAFRD, EMFF and LIFE in particular – include specific references which support Natura 2000 or biodiversity conservation objectives, but have many other competing priorities. </w:t>
      </w:r>
    </w:p>
    <w:p w14:paraId="1DE527B5" w14:textId="77777777" w:rsidR="00B245C4" w:rsidRDefault="00B245C4" w:rsidP="00B245C4">
      <w:pPr>
        <w:pStyle w:val="Heading3NoNumb"/>
      </w:pPr>
      <w:r>
        <w:t>Funding sources for management mechanisms</w:t>
      </w:r>
    </w:p>
    <w:p w14:paraId="22E91FD9" w14:textId="1CF74332" w:rsidR="00B245C4" w:rsidRDefault="00B245C4" w:rsidP="00B245C4">
      <w:r>
        <w:t xml:space="preserve">Management mechanisms are the instruments through which the management actions to address the Natura 2000 conservation needs can be delivered. </w:t>
      </w:r>
      <w:r w:rsidR="00FC09A1">
        <w:t xml:space="preserve">A </w:t>
      </w:r>
      <w:r>
        <w:t xml:space="preserve">number of different management mechanisms can be used to deliver management actions for Natura 2000 sites. Four general linkages between management mechanisms and funding can be identified: </w:t>
      </w:r>
    </w:p>
    <w:p w14:paraId="6477874B" w14:textId="54D988A4" w:rsidR="00B245C4" w:rsidRDefault="00B245C4" w:rsidP="00B245C4">
      <w:pPr>
        <w:pStyle w:val="Bullet1Last"/>
        <w:ind w:left="341" w:hanging="284"/>
      </w:pPr>
      <w:r>
        <w:t>Management mechanisms with associated dedicated funding which can be used to deliver management actions for Natura 2000, for example Glastir agri-environmental agreements.</w:t>
      </w:r>
    </w:p>
    <w:p w14:paraId="588E42AE" w14:textId="77777777" w:rsidR="00B245C4" w:rsidRDefault="00B245C4" w:rsidP="00B245C4">
      <w:pPr>
        <w:pStyle w:val="Bullet1Last"/>
        <w:ind w:left="341" w:hanging="284"/>
      </w:pPr>
      <w:r>
        <w:t>Management mechanisms which may deliver management actions for Natura 2000 but require funding to unlock their use. Existing funding sources may provide short term funding for projects that aim to catalyse the development of longer term mechanisms for ongoing funding and management (e.g. LIFE funded projects to develop and trial payments for ecosystem services).</w:t>
      </w:r>
    </w:p>
    <w:p w14:paraId="64A0DF68" w14:textId="77777777" w:rsidR="00B245C4" w:rsidRDefault="00B245C4" w:rsidP="00B245C4">
      <w:pPr>
        <w:pStyle w:val="Bullet1Last"/>
        <w:ind w:left="341" w:hanging="284"/>
      </w:pPr>
      <w:r>
        <w:t>Management mechanisms may reduce the need for Natura 2000 funding (e.g. integration of management needs into other sector plans could reduce requirements for dedicated conservation activity).</w:t>
      </w:r>
    </w:p>
    <w:p w14:paraId="0AA77C97" w14:textId="77777777" w:rsidR="00B245C4" w:rsidRDefault="00B245C4" w:rsidP="00B245C4">
      <w:pPr>
        <w:pStyle w:val="Bullet1Last"/>
        <w:ind w:left="341" w:hanging="284"/>
      </w:pPr>
      <w:r>
        <w:t>Management mechanisms which require funding and do not deliver management actions per se, but can enhance the effectiveness of management actions or reduce the need for Natura 2000 management action funding (e.g. wider use of investigation and enhanced enforcement of existing rules could benefit the network but would require additional funds for delivery).</w:t>
      </w:r>
    </w:p>
    <w:p w14:paraId="56635E3B" w14:textId="77777777" w:rsidR="00B245C4" w:rsidRDefault="00B245C4" w:rsidP="00B245C4">
      <w:pPr>
        <w:pStyle w:val="Heading2NoNumb"/>
      </w:pPr>
      <w:bookmarkStart w:id="58" w:name="_Toc413407024"/>
      <w:bookmarkStart w:id="59" w:name="_Toc413419255"/>
      <w:bookmarkStart w:id="60" w:name="_Toc413684466"/>
      <w:bookmarkStart w:id="61" w:name="_Toc417912519"/>
      <w:bookmarkStart w:id="62" w:name="_Toc421880653"/>
      <w:r>
        <w:t>Opportunities, limitations and actions for enhancing and increasing use of funding sources</w:t>
      </w:r>
      <w:bookmarkEnd w:id="58"/>
      <w:bookmarkEnd w:id="59"/>
      <w:bookmarkEnd w:id="60"/>
      <w:bookmarkEnd w:id="61"/>
      <w:bookmarkEnd w:id="62"/>
    </w:p>
    <w:p w14:paraId="3D22F22C" w14:textId="77777777" w:rsidR="00B245C4" w:rsidRDefault="00B245C4" w:rsidP="00B245C4">
      <w:r>
        <w:t>Despite the potential barriers, of 23 individual funding sources reviewed, 15 were considered to have a low level of current usage and only five were considered to have limited scope to increase or enhance their use.</w:t>
      </w:r>
    </w:p>
    <w:p w14:paraId="00B15BAD" w14:textId="77777777" w:rsidR="00B245C4" w:rsidRDefault="00B245C4" w:rsidP="00B245C4">
      <w:pPr>
        <w:pStyle w:val="Heading3NoNumb"/>
      </w:pPr>
      <w:r>
        <w:t>NRW</w:t>
      </w:r>
    </w:p>
    <w:p w14:paraId="2F16BF96" w14:textId="77777777" w:rsidR="00B245C4" w:rsidRDefault="00B245C4" w:rsidP="00B245C4">
      <w:r>
        <w:t xml:space="preserve">NRW has a significant focus on biodiversity conservation and a responsibility to deliver the Natura 2000 statutory obligations for Wales on behalf of the Welsh government. Funding can be used flexibly for a variety of conservation actions, importantly including those actions often difficult to fund through other means, such as employment of staff responsible for overseeing the management of the network. </w:t>
      </w:r>
    </w:p>
    <w:p w14:paraId="16C098C4" w14:textId="385BCD40" w:rsidR="00B245C4" w:rsidRDefault="00B245C4" w:rsidP="00B245C4">
      <w:r>
        <w:t>However the NRW budget is expected to face ongoing cuts in future years and this will place increasing pressure on less routine aspects of Natura 2000 management. Indeed there are already insufficient funds to undertake many necessary management actions or even, in some cases, routine monitoring and investigation activities.</w:t>
      </w:r>
    </w:p>
    <w:p w14:paraId="75B149D0" w14:textId="77777777" w:rsidR="00B245C4" w:rsidRDefault="00B245C4" w:rsidP="00B245C4">
      <w:r>
        <w:t>A structured funding prioritisation framework (linked to the PAF) could help maximise the impact of NRW funds for Natura 2000 sites, channelling them to those where opportunity to capture funding from other sources is more limited (e.g. staff costs) or to where activity would be most beneficial.</w:t>
      </w:r>
    </w:p>
    <w:p w14:paraId="2D69B85F" w14:textId="77777777" w:rsidR="00B245C4" w:rsidRDefault="00B245C4" w:rsidP="00B245C4">
      <w:pPr>
        <w:pStyle w:val="Heading3NoNumb"/>
      </w:pPr>
      <w:r>
        <w:t>EU Funds</w:t>
      </w:r>
    </w:p>
    <w:p w14:paraId="4BD2E3DC" w14:textId="77777777" w:rsidR="00B245C4" w:rsidRDefault="00B245C4" w:rsidP="00B245C4">
      <w:r>
        <w:t xml:space="preserve">Wales benefits from substantial investment from a range of EU funding sources. In 2007-2013, these amounted to £1.9bn of grants and match-funding, spurring a total investment of £3.7bn and substantial private sector activity and job creation. </w:t>
      </w:r>
    </w:p>
    <w:p w14:paraId="747C5678" w14:textId="77777777" w:rsidR="00B245C4" w:rsidRDefault="00B245C4" w:rsidP="00B245C4">
      <w:r>
        <w:t>Evaluation of EU Structural Funds in the 2007-2013 period indicates that investments in environmental projects or research and innovation activities linked to the green economy generated better returns on investment than direct investments in skills and training programmes. In spite of this, use of EU funds in areas linked to Natura 2000 management and conservation activities in general is scarce in Wales, in part because of the substantial technical and resource requirements necessary to prepare and manage projects supported by these funds.</w:t>
      </w:r>
    </w:p>
    <w:p w14:paraId="610E3AD8" w14:textId="77777777" w:rsidR="00B245C4" w:rsidRDefault="00B245C4" w:rsidP="00B245C4">
      <w:r>
        <w:t>For many of the EU funds (notably EAFRD and EMFF) there has been a notable increase in the number of Articles directly and indirectly allowing integration of Natura 2000 needs under the 2014-2020 funding period. This may aid the relative standing of Natura 2000 related funding applications and presents an opportunity to increase use of EU funds.</w:t>
      </w:r>
    </w:p>
    <w:p w14:paraId="79F4570B" w14:textId="07AC9544" w:rsidR="00B245C4" w:rsidRDefault="00B245C4" w:rsidP="00B245C4">
      <w:pPr>
        <w:rPr>
          <w:lang w:val="en"/>
        </w:rPr>
      </w:pPr>
      <w:r>
        <w:t>Another significant opportunity is through revisions to Glastir under the RDP (EAFRD). The scale of the funding available to area-based measures (including agri-environment schemes), together with the fact that the majority of  terrestrial Natura 2000 sites in Wales are on private farmland , suggests that the EAFRD/RDP has substantial potential to fund Natura 2000 management needs. Ongoing Natura 2000 management and monitoring funding needs for agricultural and forest land</w:t>
      </w:r>
      <w:r w:rsidR="00FC09A1">
        <w:t xml:space="preserve"> </w:t>
      </w:r>
      <w:r>
        <w:t xml:space="preserve">uses are estimated at £10.5m/yr within the 2013 PAF, which compares to an annualised figure of available RDP funds under area-based measures of £114m. Figures from 2012 demonstrate that actual RDP expenditure amounted to a small fraction of that forecast, although figures for 2014 showed a significant increase. </w:t>
      </w:r>
      <w:r>
        <w:rPr>
          <w:lang w:val="en"/>
        </w:rPr>
        <w:t xml:space="preserve">A number of significant revisions are proposed for Glastir under the 2014-2020 RDP, which should foster significant increases in uptake, and therefore expenditure through Glastir, and improved effectiveness of expenditure. </w:t>
      </w:r>
    </w:p>
    <w:p w14:paraId="2DBC3463" w14:textId="114432A2" w:rsidR="00B245C4" w:rsidRDefault="00B245C4" w:rsidP="00B245C4">
      <w:pPr>
        <w:rPr>
          <w:lang w:val="en"/>
        </w:rPr>
      </w:pPr>
      <w:r>
        <w:rPr>
          <w:lang w:val="en"/>
        </w:rPr>
        <w:t>At a strategic programming level, how EU funds</w:t>
      </w:r>
      <w:r w:rsidR="00C30877">
        <w:rPr>
          <w:lang w:val="en"/>
        </w:rPr>
        <w:t xml:space="preserve"> </w:t>
      </w:r>
      <w:r>
        <w:rPr>
          <w:lang w:val="en"/>
        </w:rPr>
        <w:t>are spent in Wales is determined in Operational Programmes (OPs)</w:t>
      </w:r>
      <w:r w:rsidR="00C30877">
        <w:rPr>
          <w:lang w:val="en"/>
        </w:rPr>
        <w:t xml:space="preserve"> (and the Rural Development Plan for the EAFRD)</w:t>
      </w:r>
      <w:r>
        <w:rPr>
          <w:lang w:val="en"/>
        </w:rPr>
        <w:t xml:space="preserve">. These set out, within the EU-generated parameters, the spending priorities for the funding period. </w:t>
      </w:r>
      <w:r w:rsidR="00E25C4F">
        <w:rPr>
          <w:lang w:val="en"/>
        </w:rPr>
        <w:t xml:space="preserve">However, </w:t>
      </w:r>
      <w:r w:rsidR="00C30877">
        <w:rPr>
          <w:lang w:val="en"/>
        </w:rPr>
        <w:t>OPs</w:t>
      </w:r>
      <w:r w:rsidR="00E25C4F">
        <w:rPr>
          <w:lang w:val="en"/>
        </w:rPr>
        <w:t xml:space="preserve"> for the current EU funding period (2014 to 2020) place limited emphasis on Natura 2000. Opportunities in future funding programmes would be enhanced by a</w:t>
      </w:r>
      <w:r>
        <w:rPr>
          <w:lang w:val="en"/>
        </w:rPr>
        <w:t xml:space="preserve"> comprehensive picture of the conservation issues and management needs for Natura 2000 sites, along with a clear understanding of how they relate to particular aspects of each fund. This would provide an organised and evidenced approach to influencing the OP design and help to secure greater emphasis on Natura 200</w:t>
      </w:r>
      <w:r w:rsidR="00E25C4F">
        <w:rPr>
          <w:lang w:val="en"/>
        </w:rPr>
        <w:t>0,</w:t>
      </w:r>
      <w:r>
        <w:rPr>
          <w:lang w:val="en"/>
        </w:rPr>
        <w:t xml:space="preserve"> and hence open up a larger window for successful Natura 2000-related projects to receive funding.</w:t>
      </w:r>
    </w:p>
    <w:p w14:paraId="28328951" w14:textId="7E1885C5" w:rsidR="00B245C4" w:rsidRDefault="00E25C4F" w:rsidP="00B245C4">
      <w:r>
        <w:t xml:space="preserve">A </w:t>
      </w:r>
      <w:r w:rsidR="00B245C4">
        <w:t xml:space="preserve">number of actions could be taken to try to promote and enhance </w:t>
      </w:r>
      <w:r>
        <w:t xml:space="preserve">the </w:t>
      </w:r>
      <w:r w:rsidR="00B245C4">
        <w:t>success of Wales Natura 2000 linked bids to competitive funds (EU and non-EU). These include:</w:t>
      </w:r>
    </w:p>
    <w:p w14:paraId="35CAA99D" w14:textId="120136C5" w:rsidR="00B245C4" w:rsidRDefault="00B245C4" w:rsidP="00B245C4">
      <w:pPr>
        <w:pStyle w:val="Bullet1Last"/>
        <w:ind w:left="341" w:hanging="284"/>
        <w:rPr>
          <w:b/>
        </w:rPr>
      </w:pPr>
      <w:r>
        <w:rPr>
          <w:b/>
        </w:rPr>
        <w:t xml:space="preserve">Wider dissemination of best practice. </w:t>
      </w:r>
      <w:r>
        <w:t xml:space="preserve">Evidence suggests that a lack of data and information relating to previous funding applications results in substantial duplication of effort or, more often, the decision not to proceed. For many funds (particularly LIFE and EMFF) experience of applications to Natura 2000 management is limited or non-existent in Wales. Better access to examples of best practice in Wales would be useful (such as the LIFE Anglesey Fens project, which is being used to demonstrate best practice for financial auditing and reporting of projects) and examples from elsewhere in the UK </w:t>
      </w:r>
      <w:r w:rsidR="00E25C4F">
        <w:t>c</w:t>
      </w:r>
      <w:r>
        <w:t>ould also be drawn up, given the relative scarcity of case studies for some funds in Wales.</w:t>
      </w:r>
      <w:r>
        <w:rPr>
          <w:b/>
        </w:rPr>
        <w:t xml:space="preserve"> </w:t>
      </w:r>
      <w:r>
        <w:t>Wider use of the BetaEurope support service can underpin establishment of best practice.</w:t>
      </w:r>
      <w:r>
        <w:rPr>
          <w:b/>
        </w:rPr>
        <w:t xml:space="preserve"> </w:t>
      </w:r>
    </w:p>
    <w:p w14:paraId="5BE11437" w14:textId="5998ED92" w:rsidR="00B245C4" w:rsidRDefault="00B245C4" w:rsidP="00B245C4">
      <w:pPr>
        <w:pStyle w:val="Bullet1Last"/>
        <w:ind w:left="341" w:hanging="284"/>
        <w:rPr>
          <w:b/>
        </w:rPr>
      </w:pPr>
      <w:r>
        <w:rPr>
          <w:b/>
        </w:rPr>
        <w:t xml:space="preserve">Further development of discretionary funds to support funding applications. </w:t>
      </w:r>
      <w:r>
        <w:t>Development of funding applications requires substantial upfront investments in coordination, evidence gathering and partnership development, and a key issue is the alignment of NRW annual funds with timeframes for EU funds and other funding sources</w:t>
      </w:r>
      <w:r w:rsidR="00C30877">
        <w:t>. T</w:t>
      </w:r>
      <w:r>
        <w:t>his can create problems for the identification of match funding in practice. Extension of the WEFO Targeted Match Fund could support applications for Structural Funds but there is a need for support to early costs of bid development</w:t>
      </w:r>
      <w:r w:rsidR="00C30877">
        <w:t>. T</w:t>
      </w:r>
      <w:r>
        <w:t>he SCoRE Cymru Fund (which currently supports the formation of academic bid partnerships in connection with H2020 Research and Innovation Funding) could be meaningfully extended to other partners to foster wider engagement with conservation management research. Similarly, the NRW Partnership Funding facility could be used to target the development of new funding partners in connection with EU funds, beyond established relationships to new opportunities (such as skills and education or tourism).</w:t>
      </w:r>
      <w:r w:rsidR="00C30877">
        <w:t xml:space="preserve"> The success of the Nature Fund has highlighted the potential of discretionary funding for developing partnerships that can secure other long-term funding arrangements. Such a fund could also be instrumental in providing ‘top-up’ match funding, similar to the WEFO Targeted Match Fund available to Operational Programmes</w:t>
      </w:r>
    </w:p>
    <w:p w14:paraId="64D17BD0" w14:textId="0FE73C67" w:rsidR="00B245C4" w:rsidRDefault="00B245C4" w:rsidP="00B245C4">
      <w:pPr>
        <w:pStyle w:val="Bullet1Last"/>
        <w:ind w:left="341" w:hanging="284"/>
        <w:rPr>
          <w:b/>
        </w:rPr>
      </w:pPr>
      <w:r>
        <w:rPr>
          <w:b/>
        </w:rPr>
        <w:t>Greater strategic coordination of funding applications.</w:t>
      </w:r>
      <w:r>
        <w:t xml:space="preserve"> Given the substantial resource requirements necessary to develop many funding applications (particular</w:t>
      </w:r>
      <w:r w:rsidR="00E25C4F">
        <w:t>ly</w:t>
      </w:r>
      <w:r>
        <w:t xml:space="preserve"> for EU funds), greater coordination between programmes and projects could increase the efficiency of developing applications. </w:t>
      </w:r>
      <w:r w:rsidR="00C30877">
        <w:t>Further, c</w:t>
      </w:r>
      <w:r>
        <w:t>o-ordinated applications at a more strategic level can be used to increase the scale of funds sought. For EU funds in particular</w:t>
      </w:r>
      <w:r w:rsidR="00C30877">
        <w:t>,</w:t>
      </w:r>
      <w:r>
        <w:t xml:space="preserve"> many Natura 2000 projects are far too small to be appropriate when applying individually. This is particularly relevant for issues which may be less site-specific, such as marine fisheries where similar issues and needs may touch multiple Natura 2000 sites. Developing co-ordinated bids would require some central resources as site-level staff would not be </w:t>
      </w:r>
      <w:r w:rsidR="00C30877">
        <w:t xml:space="preserve">unlikely </w:t>
      </w:r>
      <w:r>
        <w:t xml:space="preserve">to dedicate the necessary time on work for which many of the benefits will be captured elsewhere. </w:t>
      </w:r>
    </w:p>
    <w:p w14:paraId="5387C1BD" w14:textId="25B00F3A" w:rsidR="00B245C4" w:rsidRDefault="00B245C4" w:rsidP="00B245C4">
      <w:pPr>
        <w:pStyle w:val="Bullet1Last"/>
        <w:ind w:left="341" w:hanging="284"/>
        <w:rPr>
          <w:b/>
        </w:rPr>
      </w:pPr>
      <w:r>
        <w:rPr>
          <w:b/>
        </w:rPr>
        <w:t xml:space="preserve">Support and capacity building for funding bid preparation and ongoing management. </w:t>
      </w:r>
      <w:r>
        <w:t xml:space="preserve">There is a need to build capacity in Wales regarding skills </w:t>
      </w:r>
      <w:r w:rsidR="00927311">
        <w:t>for</w:t>
      </w:r>
      <w:r>
        <w:t xml:space="preserve"> bid preparation, including integration of project management processes and management of external finance. Support is also needed to help projects ‘deliver’ by providing advice and resources for project managers. Common best practice resources would be helpful in this regard, since most projects have to address the same issues (e.g. communication, stakeholder analysis, promotional materials, financial control and reporting). There is evidence of substantial duplication of efforts between projects at present. Standard guidance or templates would streamline delivery in this regard. </w:t>
      </w:r>
    </w:p>
    <w:p w14:paraId="1A204E13" w14:textId="77777777" w:rsidR="00B245C4" w:rsidRDefault="00B245C4" w:rsidP="00B245C4">
      <w:pPr>
        <w:pStyle w:val="Heading3NoNumb"/>
        <w:rPr>
          <w:szCs w:val="26"/>
        </w:rPr>
      </w:pPr>
      <w:r>
        <w:t>Other sector plans, strategies and public funds: opportunities, limitations and actions</w:t>
      </w:r>
    </w:p>
    <w:p w14:paraId="645FDD48" w14:textId="77777777" w:rsidR="00B245C4" w:rsidRDefault="00B245C4" w:rsidP="00B245C4">
      <w:r>
        <w:t>In addition to conventional sources of funding for Natura 2000, the nature of the network means that its management is closely linked to a number of policy priorities and programmes in other sectors. In some cases, this could point to additional funding sources for site management. In some instances these funding sources may be directly accessed, in others the funding need can be reduced by integrating Natura 2000 management needs into the plans and projects delivered by other sectors.</w:t>
      </w:r>
    </w:p>
    <w:p w14:paraId="4CB8FDB4" w14:textId="77777777" w:rsidR="00B245C4" w:rsidRDefault="00B245C4" w:rsidP="00B245C4">
      <w:r>
        <w:t xml:space="preserve">The EU Water Framework Directive is spurring major investment across the water cycle and the difficulty of ensuring compliance with many aspects of the Directive is spurring engagement with innovative upstream approaches such as habitat restoration. In Wales it appears that investment in Natura 2000 management has been held back by a lack of strategic WFD integration within policy drivers and the fact that databases of WFD measures and Natura 2000 actions (Actions Database) are not fully integrated. The latter should be relatively easy to address. </w:t>
      </w:r>
    </w:p>
    <w:p w14:paraId="6FE9C777" w14:textId="77777777" w:rsidR="00B245C4" w:rsidRDefault="00B245C4" w:rsidP="00B245C4">
      <w:r>
        <w:t xml:space="preserve">For marine and wetland Natura 2000 sites, a key management issue highlighted by stakeholders and published evidence is a lack of underlying evidence on which to develop management plans. Existing funds in this sector can contribute to the evidence base for managing sites whilst supporting the diversification of fisheries toward more sustainable practices. </w:t>
      </w:r>
    </w:p>
    <w:p w14:paraId="769621B4" w14:textId="77777777" w:rsidR="00B245C4" w:rsidRDefault="00B245C4" w:rsidP="00B245C4">
      <w:r>
        <w:t>Flood and coastal erosion risk management (FCERM) is a major area of public expenditure, and competition for investment is increasing in many areas as storm, erosion and flood incidences increase. Opportunities for directly integrating Natura 2000 needs include the National Habitat Creation Programme (NHCP), which is in place to provide compensation for Natura habitat that is expected to be lost via FCERM future schemes. Another is the use of natural processes for FCERM, linked in part to the anticipated lower ongoing maintenance costs associated with such schemes. Such solutions often require the use of larger areas covering more habitat types so potentially offer opportunities for environmental enhancement actions and taking a broader, strategic view of the opportunities.</w:t>
      </w:r>
    </w:p>
    <w:p w14:paraId="7897F1CB" w14:textId="77777777" w:rsidR="00B245C4" w:rsidRDefault="00B245C4" w:rsidP="00B245C4">
      <w:r>
        <w:t xml:space="preserve">There are a number of limitations to the potential for integration. Fundamentally it is constrained by the need for sector expenditure to be focussed on sector objectives. That is, environmental enhancement expenditure linked to a proposed plan or scheme must still align with that sector’s priorities (e.g. flood defence) or fund theme (e.g. research activities). This may limit the scale of action that may be feasible. In many instances an ecosystem services framework can be used to overcome this limitation by demonstrating the enhanced economic benefits of building in environmental enhancements – either directly to the policy area or more broadly to the sum of total benefits of a policy action or project. </w:t>
      </w:r>
    </w:p>
    <w:p w14:paraId="7823FF3D" w14:textId="77777777" w:rsidR="00B245C4" w:rsidRDefault="00B245C4" w:rsidP="00B245C4">
      <w:r>
        <w:t>It should also be recognised that where integration is sought with particular projects or schemes, there are likely to be geographical constraints – both in terms of the overlap with Natura 2000 and in terms of the relative scale compared to the management issue.  For example, WFD and FCERM may provide significant funding opportunities only in specific Natura 2000 areas and for particular conservation issues.</w:t>
      </w:r>
    </w:p>
    <w:p w14:paraId="1803C92A" w14:textId="77777777" w:rsidR="00B245C4" w:rsidRDefault="00B245C4" w:rsidP="00B245C4">
      <w:r>
        <w:t>Fundamentally, achieving integration requires significant levels of engagement and awareness raising with relevant parties, which demands substantial staff time without any associated funding. Increased integration benefits from early engagement in plan and strategy development in order to highlight opportunities for incorporating environmental enhancements that address Natura 2000 needs. In particular, there is a need for strategic level engagement at a landscape level to integrate sector plan, strategy, project and scheme activities with neighbouring areas.</w:t>
      </w:r>
    </w:p>
    <w:p w14:paraId="6449096D" w14:textId="0E926595" w:rsidR="00B245C4" w:rsidRDefault="00B245C4" w:rsidP="00B245C4">
      <w:r>
        <w:t xml:space="preserve">However achieving improved integration </w:t>
      </w:r>
      <w:r w:rsidR="00927311">
        <w:t>need not</w:t>
      </w:r>
      <w:r>
        <w:t xml:space="preserve"> require pro-active engagement, but can be reactive in response to consultations. Typically consultation responses on plans, strategies, projects and schemes focus on avoidance of negative impacts in relation to Habitat Regulations, with less emphasis on the potential for positive environmental enhancement. Improving the flow of positive ideas is an opportunity for increasing the integration of Natura 2000 management needs into plans, strategies, projects and schemes. </w:t>
      </w:r>
      <w:r w:rsidR="00927311">
        <w:t>This could involve</w:t>
      </w:r>
      <w:r>
        <w:t xml:space="preserve"> identifying complementary or coherent activities or nature-based solutions to replace typical grey-infrastructure solutions.  </w:t>
      </w:r>
    </w:p>
    <w:p w14:paraId="60FB8B23" w14:textId="77777777" w:rsidR="00B245C4" w:rsidRDefault="00B245C4" w:rsidP="00B245C4">
      <w:pPr>
        <w:pStyle w:val="Heading3NoNumb"/>
        <w:rPr>
          <w:szCs w:val="26"/>
        </w:rPr>
      </w:pPr>
      <w:r>
        <w:t>Alternative funding approaches: opportunities, limitations and actions</w:t>
      </w:r>
    </w:p>
    <w:p w14:paraId="2D15B72D" w14:textId="255AD652" w:rsidR="00B245C4" w:rsidRDefault="00927311" w:rsidP="00B245C4">
      <w:r>
        <w:t xml:space="preserve">A </w:t>
      </w:r>
      <w:r w:rsidR="00B245C4">
        <w:t xml:space="preserve">range of alternative funding sources could help </w:t>
      </w:r>
      <w:r>
        <w:t xml:space="preserve">to </w:t>
      </w:r>
      <w:r w:rsidR="00B245C4">
        <w:t xml:space="preserve">address some of the funding gaps for Natura 2000 management. Some of these are more innovative or emerging in nature, whilst others seek to tap charitable and third sector resources in new ways to address emerging needs for the network. A number of the opportunities that have been identified are market-based approaches, such as PES and marketed products. These approaches have the potential to raise finance for undertaking management actions, and/or incorporate the required management as part of implementing the particular approach. </w:t>
      </w:r>
    </w:p>
    <w:p w14:paraId="3520FDAF" w14:textId="28DCDE68" w:rsidR="00B245C4" w:rsidRDefault="00B245C4" w:rsidP="00B245C4">
      <w:r>
        <w:t xml:space="preserve">Where market-based approaches are successful they hold the potential to be sustainable over the long-term with limited public sector support. However to-date they typically operate on relatively small scales and in underdeveloped markets and over the short term are likely to make only a minor contribution to addressing funding needs. Further, they can be constrained by specific site characteristic requirements or by high transactions costs which may </w:t>
      </w:r>
      <w:r w:rsidR="00927311">
        <w:t>limit</w:t>
      </w:r>
      <w:r>
        <w:t xml:space="preserve"> the ability to deliver economically viable approaches.</w:t>
      </w:r>
    </w:p>
    <w:p w14:paraId="4DB0EF3A" w14:textId="7420C7FC" w:rsidR="00B245C4" w:rsidRDefault="00B245C4" w:rsidP="00B245C4">
      <w:r>
        <w:t>Continued investment in the theory and practical applications of many alternative funding approaches is required in order to develop the understanding, institutions and frameworks for their success</w:t>
      </w:r>
      <w:r w:rsidR="00927311">
        <w:t>ful</w:t>
      </w:r>
      <w:r>
        <w:t xml:space="preserve"> application and development. In this sense, unlocking the potential of alternative approaches is necessary and will require investment, and hence funding of its own.</w:t>
      </w:r>
    </w:p>
    <w:p w14:paraId="17D656F2" w14:textId="77777777" w:rsidR="00B245C4" w:rsidRDefault="00B245C4" w:rsidP="00B245C4">
      <w:r>
        <w:t>There are funding facilities available for such purposes, notably LIFE (including the new Natural Capital Financing Facility) and EAFRD (RDP). Using time-limited funding may help to prove the concept and establish schemes which are sustainable in the longer term.</w:t>
      </w:r>
    </w:p>
    <w:p w14:paraId="6C0189A2" w14:textId="352A3BC7" w:rsidR="00373224" w:rsidRDefault="00373224" w:rsidP="00135F62">
      <w:r>
        <w:t xml:space="preserve"> </w:t>
      </w:r>
    </w:p>
    <w:p w14:paraId="1DE3B307" w14:textId="512D32E0" w:rsidR="00C76230" w:rsidRDefault="007D322C" w:rsidP="00A43447">
      <w:pPr>
        <w:pStyle w:val="Heading1"/>
      </w:pPr>
      <w:bookmarkStart w:id="63" w:name="_Toc412638415"/>
      <w:bookmarkStart w:id="64" w:name="_Toc412642149"/>
      <w:bookmarkStart w:id="65" w:name="_Toc407617980"/>
      <w:bookmarkStart w:id="66" w:name="_Toc408093983"/>
      <w:bookmarkStart w:id="67" w:name="_Toc408850978"/>
      <w:bookmarkStart w:id="68" w:name="_Toc421880654"/>
      <w:bookmarkEnd w:id="36"/>
      <w:bookmarkEnd w:id="63"/>
      <w:bookmarkEnd w:id="64"/>
      <w:r>
        <w:t>Introduction</w:t>
      </w:r>
      <w:bookmarkEnd w:id="65"/>
      <w:bookmarkEnd w:id="66"/>
      <w:bookmarkEnd w:id="67"/>
      <w:bookmarkEnd w:id="68"/>
    </w:p>
    <w:p w14:paraId="61D262B4" w14:textId="1426AC12" w:rsidR="00553010" w:rsidRDefault="00553010" w:rsidP="00553010">
      <w:pPr>
        <w:pStyle w:val="BodyText"/>
        <w:rPr>
          <w:i/>
          <w:sz w:val="24"/>
        </w:rPr>
      </w:pPr>
      <w:bookmarkStart w:id="69" w:name="_Toc402428717"/>
      <w:bookmarkStart w:id="70" w:name="_Toc405980778"/>
      <w:bookmarkStart w:id="71" w:name="_Toc405993438"/>
      <w:r>
        <w:t xml:space="preserve">This report </w:t>
      </w:r>
      <w:r w:rsidR="00CB40C6">
        <w:t xml:space="preserve">(and its companion Excel spreadsheet output) </w:t>
      </w:r>
      <w:r>
        <w:t>was produced by ICF International as part of a contract with Natural Resources Wales (NRW), exploring existing and potential funding options for Natura 2000 in Wales</w:t>
      </w:r>
      <w:r w:rsidR="00CB40C6">
        <w:t>. It</w:t>
      </w:r>
      <w:r>
        <w:t xml:space="preserve"> acts </w:t>
      </w:r>
      <w:r w:rsidR="00153642">
        <w:t xml:space="preserve">as </w:t>
      </w:r>
      <w:r>
        <w:t>a form of ‘funding map’ and a resource through which to understand the potential of different funding types to address the anticipated Natura 2000 funding gap</w:t>
      </w:r>
      <w:r w:rsidR="00CB40C6">
        <w:t>. As such</w:t>
      </w:r>
      <w:r>
        <w:t xml:space="preserve"> it provides an important step in enabling a detailed appraisal of funding options to occur as part of the </w:t>
      </w:r>
      <w:r w:rsidR="00ED420E">
        <w:t>LIFE Natura 2000 Programme Prioritised Improvement Plans (PIPs)</w:t>
      </w:r>
      <w:r w:rsidR="00D90C11">
        <w:t xml:space="preserve">, Thematic </w:t>
      </w:r>
      <w:r w:rsidR="00A41D61">
        <w:t xml:space="preserve">Action </w:t>
      </w:r>
      <w:r w:rsidR="00D90C11">
        <w:t xml:space="preserve">Plans </w:t>
      </w:r>
      <w:r w:rsidR="00ED420E">
        <w:t xml:space="preserve">and the </w:t>
      </w:r>
      <w:r w:rsidR="002C38D3">
        <w:t xml:space="preserve">Prioritised Action Framework for Wales (PAF) </w:t>
      </w:r>
      <w:r>
        <w:t>development, once the conservation and management needs of Natura 2000 in Wales have been drawn together and finalised.</w:t>
      </w:r>
    </w:p>
    <w:p w14:paraId="5F218B33" w14:textId="77777777" w:rsidR="00553010" w:rsidRDefault="00553010" w:rsidP="00553010">
      <w:pPr>
        <w:pStyle w:val="Heading2"/>
      </w:pPr>
      <w:bookmarkStart w:id="72" w:name="_Toc407617981"/>
      <w:bookmarkStart w:id="73" w:name="_Toc408093984"/>
      <w:bookmarkStart w:id="74" w:name="_Toc408850979"/>
      <w:bookmarkStart w:id="75" w:name="_Toc398814487"/>
      <w:bookmarkStart w:id="76" w:name="_Toc421880655"/>
      <w:r>
        <w:t>The Context</w:t>
      </w:r>
      <w:bookmarkEnd w:id="72"/>
      <w:bookmarkEnd w:id="73"/>
      <w:bookmarkEnd w:id="74"/>
      <w:bookmarkEnd w:id="76"/>
    </w:p>
    <w:p w14:paraId="24E60E61" w14:textId="77777777" w:rsidR="00553010" w:rsidRDefault="00553010" w:rsidP="00553010">
      <w:pPr>
        <w:pStyle w:val="Heading3"/>
      </w:pPr>
      <w:r>
        <w:t>Financing Natura 2000</w:t>
      </w:r>
      <w:bookmarkEnd w:id="75"/>
      <w:r>
        <w:t xml:space="preserve">  </w:t>
      </w:r>
    </w:p>
    <w:p w14:paraId="4B3AC237" w14:textId="77777777" w:rsidR="00B02F83" w:rsidRPr="00B02F83" w:rsidRDefault="00B02F83" w:rsidP="00B02F83">
      <w:pPr>
        <w:pStyle w:val="BodyText"/>
      </w:pPr>
      <w:r w:rsidRPr="00B02F83">
        <w:t xml:space="preserve">Natura 2000 is the network of the EU’s most special nature sites, and comprises some 18% of the EU land area.  </w:t>
      </w:r>
    </w:p>
    <w:p w14:paraId="2839A710" w14:textId="77777777" w:rsidR="00B02F83" w:rsidRPr="00B02F83" w:rsidRDefault="00B02F83" w:rsidP="00B02F83">
      <w:pPr>
        <w:pStyle w:val="BodyText"/>
      </w:pPr>
      <w:r w:rsidRPr="00B02F83">
        <w:t>Natura 2000 sites form the centrepiece of the EU’s biodiversity policy, and their protection and management play a key role in efforts to halt the loss of biodiversity. Target 1 of the EU Biodiversity Strategy therefore specifies the need for full implementation of the Birds and Habitats Directives, in order to secure measurable improvements in the status of species and habitats. Natura 2000 sites are also recognised by the EU Green Infrastructure (GI) Strategy as forming the heart of the EU’s green infrastructure and ecological networks, providing a reservoir of biodiversity that can be drawn upon to repopulate and revitalise degraded environments and catalyse the development of GI.</w:t>
      </w:r>
    </w:p>
    <w:p w14:paraId="46CAE256" w14:textId="77777777" w:rsidR="00B02F83" w:rsidRPr="00B02F83" w:rsidRDefault="00B02F83" w:rsidP="00B02F83">
      <w:pPr>
        <w:pStyle w:val="BodyText"/>
      </w:pPr>
      <w:r w:rsidRPr="00B02F83">
        <w:t xml:space="preserve">Research demonstrates that Natura 2000 sites deliver a wide range of benefits to people and economies across the EU (e.g. ten Brink </w:t>
      </w:r>
      <w:r w:rsidRPr="00B02F83">
        <w:rPr>
          <w:i/>
        </w:rPr>
        <w:t>et al.</w:t>
      </w:r>
      <w:r w:rsidRPr="00B02F83">
        <w:t xml:space="preserve">, 2011). These have been assessed using an ecosystem services framework and include a range of provisioning (e.g. fresh water, food and timber), regulating (e.g. climate regulation, flood management, erosion control) and cultural services (e.g. education, tourism and recreation, aesthetic and existence values), as well as the supporting services that underpin these. Ten Brink </w:t>
      </w:r>
      <w:r w:rsidRPr="00B02F83">
        <w:rPr>
          <w:i/>
        </w:rPr>
        <w:t>et al.</w:t>
      </w:r>
      <w:r w:rsidRPr="00B02F83">
        <w:t xml:space="preserve"> (2011) estimated the value of these services at €200-300 billion annually across the EU.</w:t>
      </w:r>
    </w:p>
    <w:p w14:paraId="7059C8B1" w14:textId="77777777" w:rsidR="00B02F83" w:rsidRPr="00B02F83" w:rsidRDefault="00B02F83" w:rsidP="00B02F83">
      <w:pPr>
        <w:pStyle w:val="BodyText"/>
      </w:pPr>
      <w:r w:rsidRPr="00B02F83">
        <w:t>Securing and enhancing the benefits that Natura 2000 offers depends on effective implementation and management of the network. Currently, across the EU as a whole, too few resources are devoted to management of the network. As a result of under-management, as well as a combination of external pressures (such as pollution), a minority (17%) of assessments of species and habitats covered by the network indicate that they are in favourable conservation status. More resources are needed for conservation management, as well as to enhance the opportunities for people to benefit from Natura 2000 sites.</w:t>
      </w:r>
    </w:p>
    <w:p w14:paraId="3F752B22" w14:textId="77777777" w:rsidR="00B02F83" w:rsidRPr="00B02F83" w:rsidRDefault="00B02F83" w:rsidP="00B02F83">
      <w:pPr>
        <w:pStyle w:val="BodyText"/>
      </w:pPr>
      <w:r w:rsidRPr="00B02F83">
        <w:t xml:space="preserve">Across the EU as a whole, the annual cost of full implementation of the network has been estimated as approximately €5.8 billion (Gantioler </w:t>
      </w:r>
      <w:r w:rsidRPr="00B02F83">
        <w:rPr>
          <w:i/>
        </w:rPr>
        <w:t>et al.</w:t>
      </w:r>
      <w:r w:rsidRPr="00B02F83">
        <w:t xml:space="preserve">, 2010). While current spending has not been quantified precisely, it is clear that there is a significant funding gap at present. Submissions by the UK government to the EC also indicate a need for additional funding for Natura 2000. Similar conclusions were reached in previous assessments (GHK, 2006, 2010) of the costs of delivering habitat and species action plans in the UK. </w:t>
      </w:r>
    </w:p>
    <w:p w14:paraId="0D048282" w14:textId="79AE6201" w:rsidR="00B02F83" w:rsidRDefault="00B02F83" w:rsidP="00B02F83">
      <w:pPr>
        <w:pStyle w:val="BodyText"/>
      </w:pPr>
      <w:r w:rsidRPr="00B02F83">
        <w:t xml:space="preserve">Article 8 of the EU Habitats Directive committed the EU to provide co-financing for the implementation of the network. After considering various options to fund the network in 2001/02, the Commission decided on an “integrated financing” model through which Natura 2000 would be funded through a range of EU instruments (including the Structural and Cohesion Funds, </w:t>
      </w:r>
      <w:r w:rsidR="002F0FB4">
        <w:t>Common A</w:t>
      </w:r>
      <w:r w:rsidR="008333D6">
        <w:t>griculture Policy (</w:t>
      </w:r>
      <w:r w:rsidRPr="00B02F83">
        <w:t>CAP</w:t>
      </w:r>
      <w:r w:rsidR="008333D6">
        <w:t>)</w:t>
      </w:r>
      <w:r w:rsidRPr="00B02F83">
        <w:t xml:space="preserve"> and LIFE) rather than a single dedicated instrument.</w:t>
      </w:r>
      <w:r>
        <w:t xml:space="preserve">    </w:t>
      </w:r>
    </w:p>
    <w:p w14:paraId="2C357406" w14:textId="247B4370" w:rsidR="003A1332" w:rsidRDefault="00553010" w:rsidP="00553010">
      <w:pPr>
        <w:pStyle w:val="BodyText"/>
      </w:pPr>
      <w:r>
        <w:t>Since then, there have been efforts through successive budget rounds to enhance EU funding for Natura 2000 by demonstrating the benefits of Natura 2000 to a range of different policy agendas (e.g. tourism and economic development, fisheries management, sustainable agriculture, employment and training, health, education, research and innovation). Guidance has been produced to demonstrate the range of benefits of the network and the applicability of different funds to different Natura 2000 management actions. In the latest budget round, Prioritised Action Frameworks (PAFs) have been used as planning tools to identify key priorities and provide an integrated overview of the use of different financing instruments for Natura 2000</w:t>
      </w:r>
      <w:r w:rsidR="003A1332">
        <w:t>, although Member State authorities are not mandated to reflect these within their policies</w:t>
      </w:r>
      <w:r>
        <w:t xml:space="preserve">. In Wales, the LIFE Natura 2000 Programme </w:t>
      </w:r>
      <w:r w:rsidR="009145F1">
        <w:t xml:space="preserve">will inform the next version of the PAF.  </w:t>
      </w:r>
    </w:p>
    <w:p w14:paraId="25E44DAA" w14:textId="6160D9C8" w:rsidR="00553010" w:rsidRDefault="009145F1" w:rsidP="00553010">
      <w:pPr>
        <w:pStyle w:val="BodyText"/>
      </w:pPr>
      <w:r>
        <w:t xml:space="preserve">Unfortunately, the </w:t>
      </w:r>
      <w:r w:rsidR="003A1332">
        <w:t xml:space="preserve">LIFE Programme commenced too late to influence the current round of programme documents for the European </w:t>
      </w:r>
      <w:r w:rsidR="00AF7274">
        <w:t>Structural Funds</w:t>
      </w:r>
      <w:r w:rsidR="003A1332">
        <w:t xml:space="preserve">. According to stakeholders, the use of Structural Funds in Wales is dominated by business and economy interests and these groups have generally not been receptive to guidance on the benefits of Natura 2000 or the natural environment. </w:t>
      </w:r>
    </w:p>
    <w:p w14:paraId="428430A6" w14:textId="313925E0" w:rsidR="00553010" w:rsidRDefault="00553010" w:rsidP="00553010">
      <w:pPr>
        <w:pStyle w:val="BodyText"/>
      </w:pPr>
      <w:r>
        <w:t>While much of the focus at EU level has been on enhancing funding from the EU budget, it is recognised that other sources of public funding, private sector and N</w:t>
      </w:r>
      <w:r w:rsidR="004B329C">
        <w:t>on-</w:t>
      </w:r>
      <w:r>
        <w:t>G</w:t>
      </w:r>
      <w:r w:rsidR="004B329C">
        <w:t xml:space="preserve">overnmental </w:t>
      </w:r>
      <w:r>
        <w:t>O</w:t>
      </w:r>
      <w:r w:rsidR="004B329C">
        <w:t>rganisation (NGO)</w:t>
      </w:r>
      <w:r>
        <w:t xml:space="preserve"> finance are also important.</w:t>
      </w:r>
    </w:p>
    <w:p w14:paraId="644B2B7E" w14:textId="7F9B12C7" w:rsidR="00553010" w:rsidRDefault="00553010" w:rsidP="00553010">
      <w:pPr>
        <w:pStyle w:val="BodyText"/>
      </w:pPr>
      <w:r>
        <w:t xml:space="preserve">For example, Natura 2000 sites offer potential to enhance public health, acting as “green gyms” and offer important opportunities for education and scientific research. This offers potential for funding opportunities from health and education budgets for targeted activities that offer relevant benefits. Payments for ecosystem services such as carbon storage, flood retention, water purification, as well as the provision of public goods such as landscape and biodiversity, offer new potential funding sources, both from public sector buyers (e.g. agri-environment schemes) as well as privately funded </w:t>
      </w:r>
      <w:r w:rsidR="00F4344B">
        <w:t>Payment for Ecosystem Services (</w:t>
      </w:r>
      <w:r>
        <w:t>PES</w:t>
      </w:r>
      <w:r w:rsidR="00F4344B">
        <w:t>)</w:t>
      </w:r>
      <w:r w:rsidR="002F0FB4">
        <w:t xml:space="preserve"> </w:t>
      </w:r>
      <w:r>
        <w:t xml:space="preserve">schemes (e.g. payments from water companies, carbon offsetting schemes).  </w:t>
      </w:r>
    </w:p>
    <w:p w14:paraId="32D05CC9" w14:textId="77777777" w:rsidR="00553010" w:rsidRDefault="00553010" w:rsidP="00553010">
      <w:pPr>
        <w:pStyle w:val="Heading3"/>
      </w:pPr>
      <w:bookmarkStart w:id="77" w:name="_Toc398814488"/>
      <w:r>
        <w:t>The Wales Natura 2000 LIFE Programme</w:t>
      </w:r>
      <w:bookmarkEnd w:id="77"/>
      <w:r>
        <w:t xml:space="preserve"> </w:t>
      </w:r>
    </w:p>
    <w:p w14:paraId="7E8466F4" w14:textId="1A548B36" w:rsidR="00553010" w:rsidRDefault="00553010" w:rsidP="00553010">
      <w:pPr>
        <w:ind w:left="851"/>
      </w:pPr>
      <w:smartTag w:uri="urn:schemas-microsoft-com:office:smarttags" w:element="country-region">
        <w:smartTag w:uri="urn:schemas-microsoft-com:office:smarttags" w:element="place">
          <w:r>
            <w:t>Wales</w:t>
          </w:r>
        </w:smartTag>
      </w:smartTag>
      <w:r>
        <w:t xml:space="preserve"> has 20 Special Protection Areas (SPAs) and 92 Special Areas of Conservation (SACs), which together span more than 700,000 hectares, comprising 8.5% of the Welsh land area and 35% of territorial waters. The network therefore comprises a significant portion of Wales’ territory, requiring substantial levels of conservation and management activity, and affecting a large number and range of landowners, land managers and </w:t>
      </w:r>
      <w:r w:rsidR="001809F3">
        <w:t xml:space="preserve">other </w:t>
      </w:r>
      <w:r>
        <w:t>stakeholders.</w:t>
      </w:r>
    </w:p>
    <w:p w14:paraId="386E99F9" w14:textId="192CB1D8" w:rsidR="00553010" w:rsidRDefault="00553010" w:rsidP="00553010">
      <w:pPr>
        <w:ind w:left="851"/>
      </w:pPr>
      <w:r>
        <w:t xml:space="preserve">However, as in the EU as a whole, much of the network is in unfavourable conservation status, and great efforts are needed for restoration and management activities if it is to achieve its potential. </w:t>
      </w:r>
      <w:r w:rsidRPr="00380585">
        <w:t xml:space="preserve">In more than 50% of occurrences in Wales, the species and habitats protected by the network are </w:t>
      </w:r>
      <w:r w:rsidR="001809F3" w:rsidRPr="00380585">
        <w:t>in unfavourable</w:t>
      </w:r>
      <w:r w:rsidRPr="00380585">
        <w:t xml:space="preserve"> condition</w:t>
      </w:r>
      <w:r w:rsidR="00380585" w:rsidRPr="00380585">
        <w:t xml:space="preserve"> (Natural Resources Wales, 2014)</w:t>
      </w:r>
      <w:r w:rsidRPr="00380585">
        <w:t>, emphasising</w:t>
      </w:r>
      <w:r>
        <w:t xml:space="preserve"> the need for focused and coordinated action. A review of SACs in 2010 found that only 27% of designated habitats and species within SACs were considered to be in favourable condition, and 11% in a process of recovery. Significant inputs of financial resources are needed for site restoration and management.  </w:t>
      </w:r>
    </w:p>
    <w:p w14:paraId="0615BEB3" w14:textId="3A4EE45A" w:rsidR="00553010" w:rsidRDefault="00553010" w:rsidP="00AF7274">
      <w:pPr>
        <w:pStyle w:val="BodyText"/>
      </w:pPr>
      <w:r>
        <w:t xml:space="preserve">In order to enhance management of the network, NRW </w:t>
      </w:r>
      <w:r w:rsidR="00556C8E">
        <w:t>w</w:t>
      </w:r>
      <w:r>
        <w:t xml:space="preserve">as awarded LIFE+ funding for </w:t>
      </w:r>
      <w:r w:rsidR="00556C8E">
        <w:t>a</w:t>
      </w:r>
      <w:r>
        <w:t xml:space="preserve"> project, LIFE </w:t>
      </w:r>
      <w:r w:rsidR="00A41D61">
        <w:t xml:space="preserve">Natura 2000 Programme for Wales </w:t>
      </w:r>
      <w:r>
        <w:t xml:space="preserve">(LIFE 11 NAT/UK/385). The purpose of the project is to develop a strategic, prioritised programme for </w:t>
      </w:r>
      <w:r w:rsidR="00A41D61">
        <w:t xml:space="preserve">the </w:t>
      </w:r>
      <w:r>
        <w:t xml:space="preserve">management </w:t>
      </w:r>
      <w:r w:rsidR="00B45DCE">
        <w:t xml:space="preserve">and restoration </w:t>
      </w:r>
      <w:r>
        <w:t xml:space="preserve">of Wales' Natura 2000 sites. </w:t>
      </w:r>
      <w:r w:rsidR="00D647B5">
        <w:t xml:space="preserve">The programme will enable Wales to make significant progress towards bringing the designated </w:t>
      </w:r>
      <w:r w:rsidR="00A41D61">
        <w:t xml:space="preserve">Natura 2000 </w:t>
      </w:r>
      <w:r w:rsidR="00D647B5">
        <w:t xml:space="preserve">habitats and species into favourable condition and help Wales to meet its commitments under the European Habitats and Birds Directives. </w:t>
      </w:r>
    </w:p>
    <w:p w14:paraId="134ED677" w14:textId="4C8D2964" w:rsidR="00553010" w:rsidRDefault="00553010" w:rsidP="0054352E">
      <w:pPr>
        <w:ind w:left="851"/>
      </w:pPr>
      <w:r>
        <w:t xml:space="preserve">The LIFE N2K Wales </w:t>
      </w:r>
      <w:r w:rsidR="00B45DCE">
        <w:t>P</w:t>
      </w:r>
      <w:r>
        <w:t xml:space="preserve">rogramme </w:t>
      </w:r>
      <w:r w:rsidR="00D647B5">
        <w:t xml:space="preserve">is identifying actions required to address pressures and threats with are </w:t>
      </w:r>
      <w:r w:rsidR="00A41D61">
        <w:t xml:space="preserve">adversely affecting </w:t>
      </w:r>
      <w:r w:rsidR="00D647B5">
        <w:t>Natura 2000 habitats and features. The actions, which focus on the period 2015-20 and are prioritised and costed</w:t>
      </w:r>
      <w:r w:rsidR="00A41D61">
        <w:t>, are presented within site Prioritised Improvement Plans and Wales-wide Thematic Action Plans</w:t>
      </w:r>
      <w:r>
        <w:t xml:space="preserve">. </w:t>
      </w:r>
      <w:bookmarkStart w:id="78" w:name="_Toc398814489"/>
      <w:r>
        <w:t>Financing needs for Natura 2000 in Wales</w:t>
      </w:r>
      <w:bookmarkEnd w:id="78"/>
      <w:r>
        <w:t xml:space="preserve"> </w:t>
      </w:r>
    </w:p>
    <w:p w14:paraId="729494F6" w14:textId="53D92866" w:rsidR="00E85D52" w:rsidRDefault="00C45716" w:rsidP="00553010">
      <w:pPr>
        <w:pStyle w:val="BodyText"/>
      </w:pPr>
      <w:r>
        <w:t xml:space="preserve">The revised </w:t>
      </w:r>
      <w:r w:rsidR="00553010">
        <w:t>Wales Prioritised Action Framework (PAF) highlights recurrent annual costs of around £</w:t>
      </w:r>
      <w:r w:rsidR="00D76854">
        <w:t>13.8</w:t>
      </w:r>
      <w:r w:rsidR="00553010">
        <w:t>m</w:t>
      </w:r>
      <w:r w:rsidR="00D76854">
        <w:t>/yr</w:t>
      </w:r>
      <w:r w:rsidR="00553010">
        <w:t xml:space="preserve"> and </w:t>
      </w:r>
      <w:r w:rsidR="00D76854">
        <w:t>one-off</w:t>
      </w:r>
      <w:r w:rsidR="00553010">
        <w:t xml:space="preserve"> costs of £3.1m for the network as a whole</w:t>
      </w:r>
      <w:r>
        <w:t xml:space="preserve"> (Welsh Government, 2014)</w:t>
      </w:r>
      <w:r w:rsidR="00553010">
        <w:t>.</w:t>
      </w:r>
      <w:r>
        <w:t xml:space="preserve"> This study builds the previous draft PAF, which produced initial estimates of these costs (Welsh Government, 2014)</w:t>
      </w:r>
      <w:r w:rsidR="00AF7274">
        <w:t xml:space="preserve">. </w:t>
      </w:r>
      <w:r w:rsidR="00E85D52">
        <w:t>These figures were extracted from Welsh contributions to a 2009 EU-wide survey of Natura 2000 financing requirements</w:t>
      </w:r>
      <w:r w:rsidR="006F38F9">
        <w:t xml:space="preserve"> </w:t>
      </w:r>
      <w:r w:rsidR="004D416A">
        <w:t xml:space="preserve">and are only approximate, however </w:t>
      </w:r>
      <w:r w:rsidR="006F38F9">
        <w:t>these figures</w:t>
      </w:r>
      <w:r w:rsidR="00E85D52">
        <w:t xml:space="preserve"> give a </w:t>
      </w:r>
      <w:r w:rsidR="006F38F9">
        <w:t>useful</w:t>
      </w:r>
      <w:r w:rsidR="00E85D52">
        <w:t xml:space="preserve"> indication of the relative burden of costs between</w:t>
      </w:r>
      <w:r w:rsidR="0054352E">
        <w:t xml:space="preserve"> </w:t>
      </w:r>
      <w:r w:rsidR="00C776EA">
        <w:t>one-off costs</w:t>
      </w:r>
      <w:r w:rsidR="00E85D52">
        <w:t xml:space="preserve"> and</w:t>
      </w:r>
      <w:r w:rsidR="0054352E">
        <w:t xml:space="preserve"> ongoing</w:t>
      </w:r>
      <w:r w:rsidR="00E85D52">
        <w:t xml:space="preserve"> management of site. </w:t>
      </w:r>
      <w:r w:rsidR="0050070E">
        <w:t xml:space="preserve">This is useful for prioritising assessment of funding sources towards the areas of greatest need. </w:t>
      </w:r>
      <w:r w:rsidR="004D416A">
        <w:t xml:space="preserve"> </w:t>
      </w:r>
    </w:p>
    <w:p w14:paraId="49F5386C" w14:textId="4C36FDB4" w:rsidR="004D416A" w:rsidRDefault="004D416A" w:rsidP="004D416A">
      <w:pPr>
        <w:pStyle w:val="BodyText"/>
      </w:pPr>
      <w:r>
        <w:t>The LIFE Natura 2000 Programme will inform the Welsh element of the 2015 version of the UK Prioritised Action Framework</w:t>
      </w:r>
      <w:r w:rsidR="0037371E">
        <w:t xml:space="preserve"> (PAF)</w:t>
      </w:r>
      <w:r>
        <w:t xml:space="preserve">. Much more accurate costings will be generated than previously and a range of funding sources will be identified. </w:t>
      </w:r>
    </w:p>
    <w:p w14:paraId="528654CB" w14:textId="1FA723B3" w:rsidR="00553010" w:rsidRDefault="00553010" w:rsidP="00553010">
      <w:pPr>
        <w:pStyle w:val="BodyText"/>
      </w:pPr>
      <w:r>
        <w:t xml:space="preserve">As in most other areas of Europe, the current costs of managing the network are borne almost entirely by public authorities. </w:t>
      </w:r>
      <w:r w:rsidR="006F38F9">
        <w:t xml:space="preserve">As NRW works to promote an ecosystem approach to natural resource management, the range of beneficiaries from larger (landscape and ecosystem level) projects points to a need for a corresponding diversification of sources of funding and support. </w:t>
      </w:r>
      <w:r>
        <w:t>Across the EU as a whole, there are opportunities to diversify funding for Natura 2000 by capitalising on the range of public and private benefits derived from the network (Kettunen, et al, 2014).</w:t>
      </w:r>
    </w:p>
    <w:p w14:paraId="066FC71E" w14:textId="77777777" w:rsidR="00553010" w:rsidRPr="005C32D3" w:rsidRDefault="00553010" w:rsidP="00553010">
      <w:pPr>
        <w:pStyle w:val="Heading2"/>
      </w:pPr>
      <w:bookmarkStart w:id="79" w:name="_Toc402428714"/>
      <w:bookmarkStart w:id="80" w:name="_Toc405466301"/>
      <w:bookmarkStart w:id="81" w:name="_Toc407617982"/>
      <w:bookmarkStart w:id="82" w:name="_Toc408093985"/>
      <w:bookmarkStart w:id="83" w:name="_Toc408850980"/>
      <w:bookmarkStart w:id="84" w:name="_Toc421880656"/>
      <w:r>
        <w:t>Aims and p</w:t>
      </w:r>
      <w:r w:rsidRPr="005C32D3">
        <w:t>urpose</w:t>
      </w:r>
      <w:bookmarkEnd w:id="79"/>
      <w:bookmarkEnd w:id="80"/>
      <w:r>
        <w:t xml:space="preserve"> of the research</w:t>
      </w:r>
      <w:bookmarkEnd w:id="81"/>
      <w:bookmarkEnd w:id="82"/>
      <w:bookmarkEnd w:id="83"/>
      <w:bookmarkEnd w:id="84"/>
    </w:p>
    <w:p w14:paraId="0936756F" w14:textId="77777777" w:rsidR="00553010" w:rsidRDefault="00553010" w:rsidP="00553010">
      <w:pPr>
        <w:pStyle w:val="BodyText"/>
      </w:pPr>
      <w:r w:rsidRPr="005C32D3">
        <w:t>A lack of awareness of the full range of potential funding sources is thought to limit the breadth of management mechanisms (and actions) that site managers consider when establishing their action plans. Further, there is a recognised shortfall in core funding avail</w:t>
      </w:r>
      <w:r>
        <w:t>able for Natura 2000 management. To address these issues, a</w:t>
      </w:r>
      <w:r w:rsidRPr="005C32D3">
        <w:t xml:space="preserve"> broader set of funding sources </w:t>
      </w:r>
      <w:r>
        <w:t xml:space="preserve">needs to </w:t>
      </w:r>
      <w:r w:rsidRPr="005C32D3">
        <w:t xml:space="preserve">be </w:t>
      </w:r>
      <w:r>
        <w:t xml:space="preserve">identified and </w:t>
      </w:r>
      <w:r w:rsidRPr="005C32D3">
        <w:t>actively considered</w:t>
      </w:r>
      <w:r>
        <w:t xml:space="preserve">, along with actions to improve access and use of the range of funding sources available. Existing studies by NRW have highlighted some current and emerging mechanisms for financing Natura 2000 sites. However, a more comprehensive approach is needed to gain a better understanding of the range of opportunities available to meet the needs of the Welsh Natura 2000 network. </w:t>
      </w:r>
    </w:p>
    <w:p w14:paraId="6CDED8A2" w14:textId="35D1A67F" w:rsidR="0050070E" w:rsidRDefault="0050070E" w:rsidP="00553010">
      <w:pPr>
        <w:pStyle w:val="BodyText"/>
      </w:pPr>
      <w:r w:rsidRPr="00380585">
        <w:t xml:space="preserve">Management of the Natura 2000 network is carried out in line </w:t>
      </w:r>
      <w:r w:rsidR="00B33BC5" w:rsidRPr="00380585">
        <w:t xml:space="preserve">with </w:t>
      </w:r>
      <w:r w:rsidRPr="00380585">
        <w:t>25 prescribed ‘management actions’</w:t>
      </w:r>
      <w:r w:rsidR="004D416A" w:rsidRPr="00380585">
        <w:t xml:space="preserve"> set out by</w:t>
      </w:r>
      <w:r w:rsidR="0054352E" w:rsidRPr="00380585">
        <w:t xml:space="preserve"> the provisions of Article 6 of the Habitats Directive</w:t>
      </w:r>
      <w:r w:rsidR="00380585" w:rsidRPr="00380585">
        <w:t xml:space="preserve"> (European Commission, 2013)</w:t>
      </w:r>
      <w:r w:rsidR="00B33BC5" w:rsidRPr="00380585">
        <w:t>. These actions</w:t>
      </w:r>
      <w:r w:rsidR="00B33BC5">
        <w:t xml:space="preserve"> describe key </w:t>
      </w:r>
      <w:r w:rsidR="0054352E">
        <w:t xml:space="preserve">challenges </w:t>
      </w:r>
      <w:r w:rsidR="00B33BC5">
        <w:t xml:space="preserve">to be addressed at each stage of establishment, management, monitoring and investment in the site. Member States are then able to design ‘management mechanisms’ to put these actions in place and to align them with the specific </w:t>
      </w:r>
      <w:r w:rsidR="006F38F9">
        <w:t xml:space="preserve">institutional landscape and </w:t>
      </w:r>
      <w:r w:rsidR="00B33BC5">
        <w:t xml:space="preserve">conservation needs </w:t>
      </w:r>
      <w:r w:rsidR="006F38F9">
        <w:t>associated with</w:t>
      </w:r>
      <w:r w:rsidR="00B33BC5">
        <w:t xml:space="preserve"> their network. Once these are in place, suitable funding is required to deliver </w:t>
      </w:r>
      <w:r w:rsidR="006F38F9">
        <w:t xml:space="preserve">the management actions through the </w:t>
      </w:r>
      <w:r w:rsidR="00B33BC5">
        <w:t xml:space="preserve">management mechanisms (see </w:t>
      </w:r>
      <w:r w:rsidR="00B33BC5">
        <w:fldChar w:fldCharType="begin"/>
      </w:r>
      <w:r w:rsidR="00B33BC5">
        <w:instrText xml:space="preserve"> REF _Ref408300808 \r \h </w:instrText>
      </w:r>
      <w:r w:rsidR="00380585">
        <w:instrText xml:space="preserve"> \* MERGEFORMAT </w:instrText>
      </w:r>
      <w:r w:rsidR="00B33BC5">
        <w:fldChar w:fldCharType="separate"/>
      </w:r>
      <w:r w:rsidR="00B31483">
        <w:t>Figure 2.1</w:t>
      </w:r>
      <w:r w:rsidR="00B33BC5">
        <w:fldChar w:fldCharType="end"/>
      </w:r>
      <w:r w:rsidR="00B33BC5">
        <w:t xml:space="preserve">). </w:t>
      </w:r>
    </w:p>
    <w:p w14:paraId="0943EB42" w14:textId="2CC012C2" w:rsidR="00553010" w:rsidRPr="005C32D3" w:rsidRDefault="00553010" w:rsidP="00553010">
      <w:pPr>
        <w:pStyle w:val="BodyText"/>
      </w:pPr>
      <w:r>
        <w:t xml:space="preserve">This </w:t>
      </w:r>
      <w:r w:rsidR="007C5687">
        <w:t xml:space="preserve">study </w:t>
      </w:r>
      <w:r>
        <w:t>directly address</w:t>
      </w:r>
      <w:r w:rsidR="007C5687">
        <w:t>ed these needs</w:t>
      </w:r>
      <w:r>
        <w:t xml:space="preserve"> by reviewing the potential range of funding options available for Natura 2000 management</w:t>
      </w:r>
      <w:r w:rsidR="00ED19B1">
        <w:t>. In addition it evaluates</w:t>
      </w:r>
      <w:r w:rsidR="00F4344B">
        <w:t xml:space="preserve"> </w:t>
      </w:r>
      <w:r>
        <w:t xml:space="preserve">their relevance with regard to the management actions that may be required and the management mechanisms which may be used to implement such actions. </w:t>
      </w:r>
    </w:p>
    <w:p w14:paraId="0DA504D8" w14:textId="7975FFB2" w:rsidR="00553010" w:rsidRDefault="00553010" w:rsidP="00553010">
      <w:pPr>
        <w:ind w:left="851"/>
      </w:pPr>
      <w:r>
        <w:t xml:space="preserve">The research also aimed </w:t>
      </w:r>
      <w:r w:rsidRPr="005C32D3">
        <w:t>to develop an understanding of potential actions that could be taken to increase</w:t>
      </w:r>
      <w:r w:rsidR="00231312">
        <w:t xml:space="preserve"> the</w:t>
      </w:r>
      <w:r w:rsidR="00ED19B1">
        <w:t xml:space="preserve"> </w:t>
      </w:r>
      <w:r w:rsidRPr="005C32D3">
        <w:t>access</w:t>
      </w:r>
      <w:r w:rsidR="00231312">
        <w:t xml:space="preserve"> </w:t>
      </w:r>
      <w:r w:rsidRPr="005C32D3">
        <w:t>and uptake of funds</w:t>
      </w:r>
      <w:r w:rsidR="00231312">
        <w:t xml:space="preserve"> to aid in the delivery of Natura 2000 management. A key element within in this is exploring the opportunities for the</w:t>
      </w:r>
      <w:r w:rsidRPr="005C32D3">
        <w:t xml:space="preserve"> greater integration of Natura 2000 management with the core EU funding programmes and other sector plans.</w:t>
      </w:r>
      <w:r>
        <w:t xml:space="preserve"> </w:t>
      </w:r>
      <w:r w:rsidRPr="00B02F83">
        <w:t xml:space="preserve">The </w:t>
      </w:r>
      <w:r w:rsidR="0037371E">
        <w:t xml:space="preserve">Welsh PAF and the </w:t>
      </w:r>
      <w:r w:rsidRPr="00B02F83">
        <w:t xml:space="preserve">LIFE N2K Wales </w:t>
      </w:r>
      <w:r w:rsidR="0037371E">
        <w:t>P</w:t>
      </w:r>
      <w:r w:rsidRPr="00B02F83">
        <w:t xml:space="preserve">rogramme will form the basis for influencing the content of </w:t>
      </w:r>
      <w:r w:rsidR="00B02F83">
        <w:t>future EU funding applications</w:t>
      </w:r>
      <w:r w:rsidR="003A1332">
        <w:t xml:space="preserve"> and funding programmes</w:t>
      </w:r>
      <w:r w:rsidRPr="00B02F83">
        <w:t xml:space="preserve"> in Wales (and other identified funding sources)</w:t>
      </w:r>
      <w:r w:rsidR="007C5687">
        <w:t>,</w:t>
      </w:r>
      <w:r w:rsidRPr="00B02F83">
        <w:t xml:space="preserve"> to recognise the importance of Natura 2000 sites and the ecosystem services they provide, and to integrate Natura 2000 needs into their policies and targets.</w:t>
      </w:r>
    </w:p>
    <w:p w14:paraId="0EB778FC" w14:textId="6D982C43" w:rsidR="00553010" w:rsidRPr="005C32D3" w:rsidRDefault="00553010" w:rsidP="00553010">
      <w:pPr>
        <w:pStyle w:val="BodyText"/>
      </w:pPr>
      <w:r>
        <w:t xml:space="preserve">Ultimately the outputs of this research provide </w:t>
      </w:r>
      <w:r w:rsidR="00AC1E28">
        <w:t xml:space="preserve">an indication of </w:t>
      </w:r>
      <w:r>
        <w:t xml:space="preserve">the potential </w:t>
      </w:r>
      <w:r w:rsidR="00AC1E28">
        <w:t>Natura 2000</w:t>
      </w:r>
      <w:r>
        <w:t xml:space="preserve"> funding </w:t>
      </w:r>
      <w:r w:rsidR="00AC1E28">
        <w:t>options available for different purposes</w:t>
      </w:r>
      <w:r>
        <w:t xml:space="preserve"> in </w:t>
      </w:r>
      <w:r w:rsidR="00AC1E28">
        <w:t>W</w:t>
      </w:r>
      <w:r>
        <w:t xml:space="preserve">ales. As such, it </w:t>
      </w:r>
      <w:r w:rsidR="00AC1E28">
        <w:t xml:space="preserve">is an </w:t>
      </w:r>
      <w:r>
        <w:t xml:space="preserve">important step in enabling a broad ranging appraisal of funding options to occur as part of the PAF development, once the conservation and management needs of Natura 2000 in Wales have been drawn together and finalised. </w:t>
      </w:r>
    </w:p>
    <w:p w14:paraId="2FA91CF6" w14:textId="77777777" w:rsidR="00553010" w:rsidRDefault="00553010" w:rsidP="00553010">
      <w:pPr>
        <w:pStyle w:val="Heading2"/>
      </w:pPr>
      <w:bookmarkStart w:id="85" w:name="_Toc407617983"/>
      <w:bookmarkStart w:id="86" w:name="_Toc408093986"/>
      <w:bookmarkStart w:id="87" w:name="_Toc408850981"/>
      <w:bookmarkStart w:id="88" w:name="_Toc421880657"/>
      <w:r>
        <w:t>The study approach and methodology</w:t>
      </w:r>
      <w:bookmarkEnd w:id="85"/>
      <w:bookmarkEnd w:id="86"/>
      <w:bookmarkEnd w:id="87"/>
      <w:bookmarkEnd w:id="88"/>
    </w:p>
    <w:p w14:paraId="05C8D2CD" w14:textId="4A142064" w:rsidR="00553010" w:rsidRDefault="00553010" w:rsidP="00553010">
      <w:pPr>
        <w:pStyle w:val="BodyText"/>
      </w:pPr>
      <w:r>
        <w:t>Our study approach was designed to bring together the key elements required for understanding what the main opportunities are for expanding or enhancing funding for Natura 2000 and what can be done to help capitalise on these opportunities. The project therefore undertook the following tasks:</w:t>
      </w:r>
    </w:p>
    <w:p w14:paraId="044BB641" w14:textId="1D84B94F" w:rsidR="00553010" w:rsidRDefault="00553010" w:rsidP="00FC0612">
      <w:pPr>
        <w:pStyle w:val="BTBullet1Last"/>
      </w:pPr>
      <w:r>
        <w:t>Establish a bibliography of funding sources</w:t>
      </w:r>
      <w:r w:rsidR="00A11632">
        <w:t>.</w:t>
      </w:r>
    </w:p>
    <w:p w14:paraId="5301773B" w14:textId="01E701AD" w:rsidR="00553010" w:rsidRPr="00FC0612" w:rsidRDefault="00553010" w:rsidP="00FC0612">
      <w:pPr>
        <w:pStyle w:val="BTBullet1Last"/>
      </w:pPr>
      <w:r w:rsidRPr="00FC0612">
        <w:t xml:space="preserve">Review </w:t>
      </w:r>
      <w:r w:rsidR="00FC0612" w:rsidRPr="00FC0612">
        <w:t xml:space="preserve">a long list of </w:t>
      </w:r>
      <w:r w:rsidRPr="00FC0612">
        <w:t xml:space="preserve">funding sources and opportunities for </w:t>
      </w:r>
      <w:r w:rsidR="00FC0612" w:rsidRPr="00FC0612">
        <w:t xml:space="preserve">their </w:t>
      </w:r>
      <w:r w:rsidR="007B1EA9" w:rsidRPr="00FC0612">
        <w:t>enhanced use and access</w:t>
      </w:r>
      <w:r w:rsidR="00AC1E28">
        <w:t>.</w:t>
      </w:r>
    </w:p>
    <w:p w14:paraId="32BBFC90" w14:textId="7D016329" w:rsidR="00553010" w:rsidRPr="00FC0612" w:rsidRDefault="00553010" w:rsidP="00FC0612">
      <w:pPr>
        <w:pStyle w:val="BTBullet1Last"/>
      </w:pPr>
      <w:r w:rsidRPr="00FC0612">
        <w:t xml:space="preserve">Review funding options for </w:t>
      </w:r>
      <w:r w:rsidR="00FC0612" w:rsidRPr="00FC0612">
        <w:t>a short list of</w:t>
      </w:r>
      <w:r w:rsidRPr="00FC0612">
        <w:t xml:space="preserve"> management mechanisms</w:t>
      </w:r>
      <w:r w:rsidR="00300A57">
        <w:t>.</w:t>
      </w:r>
    </w:p>
    <w:p w14:paraId="32A21D77" w14:textId="3F2A9F40" w:rsidR="00553010" w:rsidRDefault="00553010" w:rsidP="00553010">
      <w:pPr>
        <w:pStyle w:val="BodyText"/>
      </w:pPr>
      <w:r>
        <w:t>The review elements of the project were based upon secondary information source</w:t>
      </w:r>
      <w:r w:rsidR="007B1EA9">
        <w:t>s and primary research</w:t>
      </w:r>
      <w:r>
        <w:t>:</w:t>
      </w:r>
    </w:p>
    <w:p w14:paraId="10513513" w14:textId="77777777" w:rsidR="00553010" w:rsidRDefault="00553010" w:rsidP="00553010">
      <w:pPr>
        <w:pStyle w:val="BTBullet1Last"/>
      </w:pPr>
      <w:r>
        <w:t>Desk-based review of available documentation, including: funding source websites, programming strategies, guidance documents and reviews.</w:t>
      </w:r>
    </w:p>
    <w:p w14:paraId="267ADBD8" w14:textId="3EDF58A2" w:rsidR="00553010" w:rsidRDefault="00553010" w:rsidP="00AC1E28">
      <w:pPr>
        <w:pStyle w:val="BTBullet1Last"/>
      </w:pPr>
      <w:r>
        <w:t>Interview</w:t>
      </w:r>
      <w:r w:rsidR="007B1EA9">
        <w:t>s</w:t>
      </w:r>
      <w:r>
        <w:t xml:space="preserve"> with stakeholders</w:t>
      </w:r>
      <w:r w:rsidR="00135F62">
        <w:t xml:space="preserve"> were</w:t>
      </w:r>
      <w:r>
        <w:t xml:space="preserve"> carried out during late November and December 2014. In total </w:t>
      </w:r>
      <w:r w:rsidR="006C4506">
        <w:t>30</w:t>
      </w:r>
      <w:r>
        <w:t xml:space="preserve"> individuals/organisations were interviewed. The purpose of the interviews was to gather information about the type of funding options current</w:t>
      </w:r>
      <w:r w:rsidR="003A1332">
        <w:t>ly</w:t>
      </w:r>
      <w:r>
        <w:t xml:space="preserve"> pursued and views and opinion on funding opportunities and limitations and what could be done to aid improved access / enhanced use of these opportunities. Table 1.1 provides a summary of the types of organisation/individual interviewed and the key issues on which information and opinions were sought:</w:t>
      </w:r>
    </w:p>
    <w:p w14:paraId="5250ACA2" w14:textId="77777777" w:rsidR="00553010" w:rsidRDefault="00553010" w:rsidP="00553010">
      <w:pPr>
        <w:pStyle w:val="Table"/>
      </w:pPr>
      <w:bookmarkStart w:id="89" w:name="_Toc407942714"/>
      <w:bookmarkStart w:id="90" w:name="_Toc408094120"/>
      <w:bookmarkStart w:id="91" w:name="_Toc408851103"/>
      <w:r>
        <w:t>Focus of project interviews</w:t>
      </w:r>
      <w:bookmarkEnd w:id="89"/>
      <w:bookmarkEnd w:id="90"/>
      <w:bookmarkEnd w:id="91"/>
    </w:p>
    <w:tbl>
      <w:tblPr>
        <w:tblW w:w="8220" w:type="dxa"/>
        <w:tblInd w:w="850" w:type="dxa"/>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Layout w:type="fixed"/>
        <w:tblCellMar>
          <w:top w:w="57" w:type="dxa"/>
          <w:left w:w="0" w:type="dxa"/>
          <w:bottom w:w="28" w:type="dxa"/>
          <w:right w:w="0" w:type="dxa"/>
        </w:tblCellMar>
        <w:tblLook w:val="0000" w:firstRow="0" w:lastRow="0" w:firstColumn="0" w:lastColumn="0" w:noHBand="0" w:noVBand="0"/>
      </w:tblPr>
      <w:tblGrid>
        <w:gridCol w:w="2408"/>
        <w:gridCol w:w="5812"/>
      </w:tblGrid>
      <w:tr w:rsidR="00553010" w14:paraId="71745008" w14:textId="77777777" w:rsidTr="0054352E">
        <w:trPr>
          <w:cantSplit/>
        </w:trPr>
        <w:tc>
          <w:tcPr>
            <w:tcW w:w="2408" w:type="dxa"/>
            <w:shd w:val="clear" w:color="auto" w:fill="auto"/>
          </w:tcPr>
          <w:p w14:paraId="7BFBA168" w14:textId="77777777" w:rsidR="00553010" w:rsidRDefault="00553010" w:rsidP="00C6184D">
            <w:pPr>
              <w:pStyle w:val="TableHeading"/>
            </w:pPr>
            <w:r>
              <w:t>Stakeholder group</w:t>
            </w:r>
          </w:p>
        </w:tc>
        <w:tc>
          <w:tcPr>
            <w:tcW w:w="5812" w:type="dxa"/>
            <w:shd w:val="solid" w:color="0067AB" w:fill="0067AB"/>
          </w:tcPr>
          <w:p w14:paraId="7F6C1BD2" w14:textId="77777777" w:rsidR="00553010" w:rsidRDefault="00553010" w:rsidP="00C6184D">
            <w:pPr>
              <w:pStyle w:val="TableHeadingWhite"/>
            </w:pPr>
            <w:r>
              <w:t>Issues covered</w:t>
            </w:r>
          </w:p>
        </w:tc>
      </w:tr>
      <w:tr w:rsidR="00553010" w14:paraId="206C11F1" w14:textId="77777777" w:rsidTr="0054352E">
        <w:tc>
          <w:tcPr>
            <w:tcW w:w="2408" w:type="dxa"/>
            <w:shd w:val="clear" w:color="auto" w:fill="auto"/>
          </w:tcPr>
          <w:p w14:paraId="162F2FC8" w14:textId="3C6F2D29" w:rsidR="00553010" w:rsidRDefault="006C4506" w:rsidP="00C6184D">
            <w:pPr>
              <w:pStyle w:val="TableTextNoSpace"/>
            </w:pPr>
            <w:r>
              <w:t xml:space="preserve">Management mechanism practitioners </w:t>
            </w:r>
          </w:p>
        </w:tc>
        <w:tc>
          <w:tcPr>
            <w:tcW w:w="5812" w:type="dxa"/>
            <w:shd w:val="clear" w:color="auto" w:fill="auto"/>
          </w:tcPr>
          <w:p w14:paraId="2B48BC49" w14:textId="3E59A303" w:rsidR="00553010" w:rsidRDefault="006C4506" w:rsidP="005E0A4B">
            <w:pPr>
              <w:pStyle w:val="TableTextNoSpace"/>
            </w:pPr>
            <w:r>
              <w:t xml:space="preserve">Monitoring needs – funds for routine management – maintenance costs </w:t>
            </w:r>
            <w:r w:rsidR="005E0A4B">
              <w:t>–</w:t>
            </w:r>
            <w:r>
              <w:t xml:space="preserve"> </w:t>
            </w:r>
            <w:r w:rsidR="005E0A4B">
              <w:t>skills needs –</w:t>
            </w:r>
            <w:r w:rsidR="0037371E">
              <w:t xml:space="preserve"> </w:t>
            </w:r>
            <w:r w:rsidR="005E0A4B">
              <w:t xml:space="preserve">data/evidence quality and access – prioritisation of management actions </w:t>
            </w:r>
          </w:p>
        </w:tc>
      </w:tr>
      <w:tr w:rsidR="00553010" w14:paraId="64FF0F95" w14:textId="77777777" w:rsidTr="0054352E">
        <w:tc>
          <w:tcPr>
            <w:tcW w:w="2408" w:type="dxa"/>
            <w:shd w:val="clear" w:color="auto" w:fill="auto"/>
          </w:tcPr>
          <w:p w14:paraId="6CF900B9" w14:textId="235D8964" w:rsidR="00553010" w:rsidRDefault="006C4506" w:rsidP="00C6184D">
            <w:pPr>
              <w:pStyle w:val="TableTextNoSpace"/>
            </w:pPr>
            <w:r>
              <w:t xml:space="preserve">EU fund administrators  </w:t>
            </w:r>
          </w:p>
        </w:tc>
        <w:tc>
          <w:tcPr>
            <w:tcW w:w="5812" w:type="dxa"/>
            <w:shd w:val="clear" w:color="auto" w:fill="auto"/>
          </w:tcPr>
          <w:p w14:paraId="279D9F90" w14:textId="3ACCA7B3" w:rsidR="00553010" w:rsidRDefault="006C4506" w:rsidP="00C6184D">
            <w:pPr>
              <w:pStyle w:val="TableTextNoSpace"/>
            </w:pPr>
            <w:r>
              <w:t xml:space="preserve">Securing match funding – complexity of application processes – funding needs against management needs </w:t>
            </w:r>
            <w:r w:rsidR="005E0A4B">
              <w:t xml:space="preserve">– effectiveness of past applications </w:t>
            </w:r>
          </w:p>
        </w:tc>
      </w:tr>
      <w:tr w:rsidR="00553010" w14:paraId="3F284E86" w14:textId="77777777" w:rsidTr="0054352E">
        <w:tc>
          <w:tcPr>
            <w:tcW w:w="2408" w:type="dxa"/>
            <w:shd w:val="clear" w:color="auto" w:fill="auto"/>
          </w:tcPr>
          <w:p w14:paraId="2805B0C8" w14:textId="109C8F78" w:rsidR="00553010" w:rsidRDefault="006C4506" w:rsidP="0054352E">
            <w:pPr>
              <w:pStyle w:val="TableTextNoSpace"/>
              <w:jc w:val="left"/>
            </w:pPr>
            <w:r>
              <w:t xml:space="preserve">Other fund administrators  </w:t>
            </w:r>
          </w:p>
        </w:tc>
        <w:tc>
          <w:tcPr>
            <w:tcW w:w="5812" w:type="dxa"/>
            <w:shd w:val="clear" w:color="auto" w:fill="auto"/>
          </w:tcPr>
          <w:p w14:paraId="7D5BA079" w14:textId="20912765" w:rsidR="00553010" w:rsidRDefault="005E0A4B" w:rsidP="00C6184D">
            <w:pPr>
              <w:pStyle w:val="TableTextNoSpace"/>
            </w:pPr>
            <w:r>
              <w:t xml:space="preserve">Management needs – partnership working – resource requirements for funding applications </w:t>
            </w:r>
          </w:p>
        </w:tc>
      </w:tr>
      <w:tr w:rsidR="006C4506" w14:paraId="606AE3F5" w14:textId="77777777" w:rsidTr="0054352E">
        <w:tc>
          <w:tcPr>
            <w:tcW w:w="2408" w:type="dxa"/>
            <w:shd w:val="clear" w:color="auto" w:fill="auto"/>
          </w:tcPr>
          <w:p w14:paraId="0BBE0C1A" w14:textId="127654EE" w:rsidR="006C4506" w:rsidRDefault="006C4506" w:rsidP="00C6184D">
            <w:pPr>
              <w:pStyle w:val="TableTextNoSpace"/>
            </w:pPr>
            <w:r>
              <w:t xml:space="preserve">Other sector plans </w:t>
            </w:r>
          </w:p>
        </w:tc>
        <w:tc>
          <w:tcPr>
            <w:tcW w:w="5812" w:type="dxa"/>
            <w:shd w:val="clear" w:color="auto" w:fill="auto"/>
          </w:tcPr>
          <w:p w14:paraId="14E2EB55" w14:textId="07C5C639" w:rsidR="006C4506" w:rsidRDefault="006C4506" w:rsidP="00300A57">
            <w:pPr>
              <w:pStyle w:val="TableTextNoSpace"/>
            </w:pPr>
            <w:r>
              <w:t xml:space="preserve">Links between regulatory drivers and conservation management – use of management agreements </w:t>
            </w:r>
          </w:p>
        </w:tc>
      </w:tr>
      <w:tr w:rsidR="006C4506" w14:paraId="5CA6E6C2" w14:textId="77777777" w:rsidTr="0054352E">
        <w:tc>
          <w:tcPr>
            <w:tcW w:w="2408" w:type="dxa"/>
            <w:shd w:val="clear" w:color="auto" w:fill="auto"/>
          </w:tcPr>
          <w:p w14:paraId="7A91EB36" w14:textId="4AF0C6B4" w:rsidR="006C4506" w:rsidRDefault="006C4506" w:rsidP="00C6184D">
            <w:pPr>
              <w:pStyle w:val="TableTextNoSpace"/>
            </w:pPr>
            <w:r>
              <w:t xml:space="preserve">Alternative approaches </w:t>
            </w:r>
          </w:p>
        </w:tc>
        <w:tc>
          <w:tcPr>
            <w:tcW w:w="5812" w:type="dxa"/>
            <w:shd w:val="clear" w:color="auto" w:fill="auto"/>
          </w:tcPr>
          <w:p w14:paraId="4AF96510" w14:textId="7D474EA8" w:rsidR="006C4506" w:rsidRDefault="005E0A4B" w:rsidP="00C6184D">
            <w:pPr>
              <w:pStyle w:val="TableTextNoSpace"/>
            </w:pPr>
            <w:r>
              <w:t xml:space="preserve">Ongoing funding support – policy drivers – partnership working </w:t>
            </w:r>
          </w:p>
        </w:tc>
      </w:tr>
    </w:tbl>
    <w:p w14:paraId="62420406" w14:textId="77777777" w:rsidR="00553010" w:rsidRPr="00E243C6" w:rsidRDefault="00553010" w:rsidP="003E45F6">
      <w:pPr>
        <w:pStyle w:val="BodyText"/>
        <w:ind w:left="0"/>
      </w:pPr>
    </w:p>
    <w:p w14:paraId="19A13FDC" w14:textId="77777777" w:rsidR="00553010" w:rsidRPr="00FC0612" w:rsidRDefault="00553010" w:rsidP="00553010">
      <w:pPr>
        <w:pStyle w:val="Heading2"/>
      </w:pPr>
      <w:bookmarkStart w:id="92" w:name="_Toc407617984"/>
      <w:bookmarkStart w:id="93" w:name="_Toc408093987"/>
      <w:bookmarkStart w:id="94" w:name="_Toc408850982"/>
      <w:bookmarkStart w:id="95" w:name="_Toc421880658"/>
      <w:r w:rsidRPr="00FC0612">
        <w:t>Structure of this report</w:t>
      </w:r>
      <w:bookmarkEnd w:id="92"/>
      <w:bookmarkEnd w:id="93"/>
      <w:bookmarkEnd w:id="94"/>
      <w:bookmarkEnd w:id="95"/>
    </w:p>
    <w:p w14:paraId="5A1BA10E" w14:textId="77777777" w:rsidR="00553010" w:rsidRPr="004A3815" w:rsidRDefault="00553010" w:rsidP="00553010">
      <w:pPr>
        <w:pStyle w:val="BodyText"/>
      </w:pPr>
      <w:r w:rsidRPr="004A3815">
        <w:t>The remainder of this report is structured as follows:</w:t>
      </w:r>
    </w:p>
    <w:p w14:paraId="70FE7086" w14:textId="51A886A2" w:rsidR="00553010" w:rsidRPr="004A3815" w:rsidRDefault="00553010" w:rsidP="00553010">
      <w:pPr>
        <w:pStyle w:val="BTBullet1Last"/>
      </w:pPr>
      <w:r w:rsidRPr="004A3815">
        <w:t xml:space="preserve">Section 2 presents a discussion of the linkages between management needs and funding. Specifically it emphasise the links between management action, management mechanism and funding which is then used as a framework for </w:t>
      </w:r>
      <w:r w:rsidR="00153642">
        <w:t>the</w:t>
      </w:r>
      <w:r w:rsidRPr="004A3815">
        <w:t xml:space="preserve"> assessment. </w:t>
      </w:r>
    </w:p>
    <w:p w14:paraId="7B42B63A" w14:textId="651E6913" w:rsidR="00553010" w:rsidRPr="004A3815" w:rsidRDefault="00553010" w:rsidP="00553010">
      <w:pPr>
        <w:pStyle w:val="BTBullet1Last"/>
      </w:pPr>
      <w:r w:rsidRPr="004A3815">
        <w:t xml:space="preserve">Section </w:t>
      </w:r>
      <w:r w:rsidR="007B1EA9" w:rsidRPr="004A3815">
        <w:t>3</w:t>
      </w:r>
      <w:r w:rsidRPr="004A3815">
        <w:t xml:space="preserve"> introduces the types of funding available, providing an overview of the key types</w:t>
      </w:r>
      <w:r w:rsidR="00FC0612" w:rsidRPr="004A3815">
        <w:t>, the types of management actions that they can potentially fund</w:t>
      </w:r>
      <w:r w:rsidRPr="004A3815">
        <w:t xml:space="preserve"> and</w:t>
      </w:r>
      <w:r w:rsidR="00FC0612" w:rsidRPr="004A3815">
        <w:t xml:space="preserve"> the</w:t>
      </w:r>
      <w:r w:rsidRPr="004A3815">
        <w:t xml:space="preserve"> </w:t>
      </w:r>
      <w:r w:rsidR="00846A06" w:rsidRPr="004A3815">
        <w:t xml:space="preserve">types of management mechanism they can potentially </w:t>
      </w:r>
      <w:r w:rsidR="00BE458E">
        <w:t>be applied through</w:t>
      </w:r>
      <w:r w:rsidRPr="004A3815">
        <w:t xml:space="preserve">. It draws on </w:t>
      </w:r>
      <w:r w:rsidR="00135F62" w:rsidRPr="004A3815">
        <w:t xml:space="preserve">the detailed </w:t>
      </w:r>
      <w:r w:rsidRPr="004A3815">
        <w:t xml:space="preserve">review work </w:t>
      </w:r>
      <w:r w:rsidR="00135F62" w:rsidRPr="004A3815">
        <w:t xml:space="preserve">which is presented </w:t>
      </w:r>
      <w:r w:rsidR="00BE458E">
        <w:t xml:space="preserve">in </w:t>
      </w:r>
      <w:r w:rsidR="00846A06" w:rsidRPr="004A3815">
        <w:t>the</w:t>
      </w:r>
      <w:r w:rsidR="00135F62" w:rsidRPr="004A3815">
        <w:t xml:space="preserve"> Annexes</w:t>
      </w:r>
      <w:r w:rsidRPr="004A3815">
        <w:t>.</w:t>
      </w:r>
    </w:p>
    <w:p w14:paraId="4955D4AB" w14:textId="20D6A255" w:rsidR="00553010" w:rsidRPr="004A3815" w:rsidRDefault="007B1EA9" w:rsidP="00553010">
      <w:pPr>
        <w:pStyle w:val="BTBullet1Last"/>
      </w:pPr>
      <w:r w:rsidRPr="004A3815">
        <w:t>Section 4</w:t>
      </w:r>
      <w:r w:rsidR="00553010" w:rsidRPr="004A3815">
        <w:t xml:space="preserve"> </w:t>
      </w:r>
      <w:r w:rsidR="00846A06" w:rsidRPr="004A3815">
        <w:t>presents an assessment of the scope for enhanced use of each of the identified funding sources, along with an overview of the potential opportunities, limitations and action to enhance access/application</w:t>
      </w:r>
      <w:r w:rsidR="00BE458E">
        <w:t xml:space="preserve"> by funding type</w:t>
      </w:r>
      <w:r w:rsidR="00FC0612" w:rsidRPr="004A3815">
        <w:t>.</w:t>
      </w:r>
    </w:p>
    <w:p w14:paraId="7CCC78DD" w14:textId="43153D1F" w:rsidR="00553010" w:rsidRPr="004A3815" w:rsidRDefault="00553010" w:rsidP="00553010">
      <w:pPr>
        <w:pStyle w:val="BTBullet1Last"/>
      </w:pPr>
      <w:r w:rsidRPr="004A3815">
        <w:t xml:space="preserve">Section </w:t>
      </w:r>
      <w:r w:rsidR="007B1EA9" w:rsidRPr="004A3815">
        <w:t>5</w:t>
      </w:r>
      <w:r w:rsidRPr="004A3815">
        <w:t xml:space="preserve"> </w:t>
      </w:r>
      <w:r w:rsidR="007B1EA9" w:rsidRPr="004A3815">
        <w:t xml:space="preserve">presents </w:t>
      </w:r>
      <w:r w:rsidR="00846A06" w:rsidRPr="004A3815">
        <w:t>the</w:t>
      </w:r>
      <w:r w:rsidR="007B1EA9" w:rsidRPr="004A3815">
        <w:t xml:space="preserve"> conclusions</w:t>
      </w:r>
      <w:r w:rsidR="00BE458E">
        <w:t xml:space="preserve"> regarding funding opportunities, limitations and actions to enhance use/uptake</w:t>
      </w:r>
      <w:r w:rsidR="007B1EA9" w:rsidRPr="004A3815">
        <w:t>.</w:t>
      </w:r>
    </w:p>
    <w:p w14:paraId="71D01484" w14:textId="0D8B0BE2" w:rsidR="00553010" w:rsidRDefault="00553010" w:rsidP="008D3F81">
      <w:pPr>
        <w:pStyle w:val="BTBullet1Last"/>
      </w:pPr>
      <w:r w:rsidRPr="004A3815">
        <w:t>Annex</w:t>
      </w:r>
      <w:r w:rsidR="007B1EA9" w:rsidRPr="004A3815">
        <w:t>es: a series of supporting annexes are presented which provide further detail on the issues discussed in the main part of the report. In particular, Annex</w:t>
      </w:r>
      <w:r w:rsidR="00FC0612" w:rsidRPr="004A3815">
        <w:t>es</w:t>
      </w:r>
      <w:r w:rsidR="007B1EA9" w:rsidRPr="004A3815">
        <w:t xml:space="preserve"> 2 </w:t>
      </w:r>
      <w:r w:rsidR="00FC0612" w:rsidRPr="004A3815">
        <w:t>to 5 present</w:t>
      </w:r>
      <w:r w:rsidR="007B1EA9" w:rsidRPr="004A3815">
        <w:t xml:space="preserve"> a </w:t>
      </w:r>
      <w:r w:rsidR="00FC0612" w:rsidRPr="004A3815">
        <w:t xml:space="preserve">series of </w:t>
      </w:r>
      <w:r w:rsidR="007B1EA9" w:rsidRPr="004A3815">
        <w:t>review</w:t>
      </w:r>
      <w:r w:rsidR="00FC0612" w:rsidRPr="004A3815">
        <w:t>s</w:t>
      </w:r>
      <w:r w:rsidR="007B1EA9" w:rsidRPr="004A3815">
        <w:t xml:space="preserve"> of potential funding sources and the opportunities and limitations associated with each. </w:t>
      </w:r>
    </w:p>
    <w:p w14:paraId="11D0DC6D" w14:textId="1EBB31FD" w:rsidR="004A3815" w:rsidRDefault="004A3815" w:rsidP="008D3F81">
      <w:pPr>
        <w:pStyle w:val="BTBullet1Last"/>
      </w:pPr>
      <w:r>
        <w:t xml:space="preserve">Excel spreadsheet output: a separate </w:t>
      </w:r>
      <w:r w:rsidR="00A11632">
        <w:t>E</w:t>
      </w:r>
      <w:r>
        <w:t>xcel spreadsheet provides a review of:</w:t>
      </w:r>
    </w:p>
    <w:p w14:paraId="41977549" w14:textId="388CC02C" w:rsidR="004A3815" w:rsidRDefault="00BE458E" w:rsidP="004A3815">
      <w:pPr>
        <w:pStyle w:val="BTBullet2Last"/>
      </w:pPr>
      <w:r>
        <w:t>The</w:t>
      </w:r>
      <w:r w:rsidR="004A3815">
        <w:t xml:space="preserve"> principal opportunities for new, additional or enhanced funding for current/potential management mechanism</w:t>
      </w:r>
      <w:r>
        <w:t>s</w:t>
      </w:r>
      <w:r w:rsidR="004A3815">
        <w:t xml:space="preserve"> and new management mechanisms (as identified by NRW), and their limitations and actions to enhance use/access</w:t>
      </w:r>
      <w:r>
        <w:t>.</w:t>
      </w:r>
    </w:p>
    <w:p w14:paraId="4DF513E8" w14:textId="3C83E254" w:rsidR="004A3815" w:rsidRPr="004A3815" w:rsidRDefault="00BE458E" w:rsidP="004A3815">
      <w:pPr>
        <w:pStyle w:val="BTBullet2Last"/>
      </w:pPr>
      <w:r>
        <w:t>The</w:t>
      </w:r>
      <w:r w:rsidR="004A3815">
        <w:t xml:space="preserve"> principal opportunities, limitations and actions for enhancing use of a number of promising new funding approaches/sources</w:t>
      </w:r>
      <w:r>
        <w:t>.</w:t>
      </w:r>
      <w:r w:rsidR="004A3815">
        <w:t xml:space="preserve">  </w:t>
      </w:r>
    </w:p>
    <w:p w14:paraId="1C5ABB62" w14:textId="77777777" w:rsidR="00CA5B8E" w:rsidRDefault="00CA5B8E" w:rsidP="007B1EA9">
      <w:pPr>
        <w:pStyle w:val="Heading1"/>
      </w:pPr>
      <w:bookmarkStart w:id="96" w:name="_Toc407617985"/>
      <w:bookmarkStart w:id="97" w:name="_Toc408093988"/>
      <w:bookmarkStart w:id="98" w:name="_Toc408850983"/>
      <w:bookmarkStart w:id="99" w:name="_Toc421880659"/>
      <w:r>
        <w:t>Conservation Need, M</w:t>
      </w:r>
      <w:r w:rsidRPr="005C32D3">
        <w:t>anagement</w:t>
      </w:r>
      <w:bookmarkEnd w:id="69"/>
      <w:r w:rsidRPr="005C32D3">
        <w:t xml:space="preserve"> </w:t>
      </w:r>
      <w:r>
        <w:t>and Funding</w:t>
      </w:r>
      <w:bookmarkEnd w:id="70"/>
      <w:bookmarkEnd w:id="71"/>
      <w:bookmarkEnd w:id="96"/>
      <w:bookmarkEnd w:id="97"/>
      <w:bookmarkEnd w:id="98"/>
      <w:bookmarkEnd w:id="99"/>
    </w:p>
    <w:p w14:paraId="3C20EA92" w14:textId="77777777" w:rsidR="007B1EA9" w:rsidRDefault="007B1EA9" w:rsidP="007B1EA9">
      <w:pPr>
        <w:pStyle w:val="Heading3"/>
      </w:pPr>
      <w:r>
        <w:t>Overview</w:t>
      </w:r>
    </w:p>
    <w:p w14:paraId="55D3BB74" w14:textId="77777777" w:rsidR="007B1EA9" w:rsidRDefault="007B1EA9" w:rsidP="007B1EA9">
      <w:pPr>
        <w:pStyle w:val="BodyText"/>
      </w:pPr>
      <w:r>
        <w:t xml:space="preserve">Analysis of financing opportunities must be based on a sound assessment of management and financial needs of Natura 2000 sites. This requires an understanding of: </w:t>
      </w:r>
    </w:p>
    <w:p w14:paraId="36CB37DE" w14:textId="77777777" w:rsidR="007B1EA9" w:rsidRDefault="007B1EA9" w:rsidP="007B1EA9">
      <w:pPr>
        <w:pStyle w:val="BTBullet1"/>
      </w:pPr>
      <w:r>
        <w:t xml:space="preserve">The management priorities for the sites in question. </w:t>
      </w:r>
    </w:p>
    <w:p w14:paraId="2D2B1A9D" w14:textId="77777777" w:rsidR="007B1EA9" w:rsidRDefault="007B1EA9" w:rsidP="007B1EA9">
      <w:pPr>
        <w:pStyle w:val="BTBullet1"/>
      </w:pPr>
      <w:r>
        <w:t>The implications of these priorities for capital investment and ongoing management activities.</w:t>
      </w:r>
    </w:p>
    <w:p w14:paraId="69A8C024" w14:textId="77777777" w:rsidR="007B1EA9" w:rsidRDefault="007B1EA9" w:rsidP="007B1EA9">
      <w:pPr>
        <w:pStyle w:val="BTBullet1"/>
      </w:pPr>
      <w:r>
        <w:t>The financial resources required to meet these priorities, both in terms of one-off capital costs and ongoing management expenditures.</w:t>
      </w:r>
    </w:p>
    <w:p w14:paraId="09E00D62" w14:textId="77777777" w:rsidR="007B1EA9" w:rsidRDefault="007B1EA9" w:rsidP="007B1EA9">
      <w:pPr>
        <w:pStyle w:val="BodyText"/>
      </w:pPr>
      <w:r>
        <w:t xml:space="preserve">This can be developed by drawing out the conservation issues that need to be addressed, the mechanisms that can be used to facilitate their management and the management actions that are, in turn, required to deliver them. </w:t>
      </w:r>
    </w:p>
    <w:p w14:paraId="736E1615" w14:textId="77777777" w:rsidR="007B1EA9" w:rsidRDefault="007B1EA9" w:rsidP="007B1EA9">
      <w:pPr>
        <w:pStyle w:val="BodyText"/>
      </w:pPr>
      <w:r>
        <w:t xml:space="preserve">Linking Natura 2000 funding opportunities to conservation needs, management mechanisms and actions is an inherently complex undertaking, with a range of possible relationships and pathways between each element depending on particular circumstances. In order to facilitate a robust, relevant appraisal, a suitable organising framework is therefore required which can capture this information and enable the logical pathways between each element to be drawn out. </w:t>
      </w:r>
    </w:p>
    <w:p w14:paraId="349A1542" w14:textId="5F696170" w:rsidR="006F739D" w:rsidRDefault="006F739D" w:rsidP="006F739D">
      <w:pPr>
        <w:pStyle w:val="BodyText"/>
      </w:pPr>
      <w:bookmarkStart w:id="100" w:name="_Ref400966126"/>
      <w:bookmarkStart w:id="101" w:name="_Toc401731466"/>
      <w:r>
        <w:t xml:space="preserve">Figure </w:t>
      </w:r>
      <w:r w:rsidR="009D726F">
        <w:t>2</w:t>
      </w:r>
      <w:r>
        <w:t>.1 provides a schematic overview of the core components of the framework. Utilising this framework, a series of logic pathways can be developed that map out the linkages between specific conservation needs and funding needs, which can then be drawn on for the funding appraisal.</w:t>
      </w:r>
    </w:p>
    <w:p w14:paraId="162E614B" w14:textId="77777777" w:rsidR="006F739D" w:rsidRPr="00255ACA" w:rsidRDefault="006F739D" w:rsidP="006F739D">
      <w:pPr>
        <w:pStyle w:val="BodyText"/>
      </w:pPr>
      <w:r>
        <w:t xml:space="preserve">At this stage, a detailed picture of the conservation and management needs is still being developed. As such, our approach utilises typologies of management mechanisms, management actions and funding sources which can be nested in the basic framework in Figure 2.1.  This forms the basis of our review of likely opportunities and actions to capitalise on these, which can be investigated as part of the detailed funding appraisal for the PAF. </w:t>
      </w:r>
    </w:p>
    <w:p w14:paraId="29EC1783" w14:textId="77777777" w:rsidR="007B1EA9" w:rsidRDefault="007B1EA9" w:rsidP="007B1EA9">
      <w:pPr>
        <w:pStyle w:val="Figure"/>
      </w:pPr>
      <w:bookmarkStart w:id="102" w:name="_Toc407942729"/>
      <w:bookmarkStart w:id="103" w:name="_Toc408094135"/>
      <w:bookmarkStart w:id="104" w:name="_Ref408300808"/>
      <w:bookmarkStart w:id="105" w:name="_Toc408851119"/>
      <w:r>
        <w:t>Basic Framework for Establishing Natura 2000 Funding</w:t>
      </w:r>
      <w:bookmarkEnd w:id="100"/>
      <w:r>
        <w:t xml:space="preserve"> Needs</w:t>
      </w:r>
      <w:bookmarkEnd w:id="101"/>
      <w:bookmarkEnd w:id="102"/>
      <w:bookmarkEnd w:id="103"/>
      <w:bookmarkEnd w:id="104"/>
      <w:bookmarkEnd w:id="105"/>
      <w:r>
        <w:t xml:space="preserve"> </w:t>
      </w:r>
    </w:p>
    <w:p w14:paraId="614ECD49" w14:textId="1CE76A99" w:rsidR="007B1EA9" w:rsidRPr="00255ACA" w:rsidRDefault="00BE458E" w:rsidP="00AC1E28">
      <w:pPr>
        <w:pStyle w:val="BodyText"/>
        <w:ind w:left="284"/>
      </w:pPr>
      <w:r>
        <w:rPr>
          <w:noProof/>
          <w:lang w:eastAsia="en-GB"/>
        </w:rPr>
        <mc:AlternateContent>
          <mc:Choice Requires="wps">
            <w:drawing>
              <wp:anchor distT="0" distB="0" distL="114300" distR="114300" simplePos="0" relativeHeight="251662336" behindDoc="0" locked="0" layoutInCell="1" allowOverlap="1" wp14:anchorId="5C4B32D4" wp14:editId="65E8CBE7">
                <wp:simplePos x="0" y="0"/>
                <wp:positionH relativeFrom="page">
                  <wp:posOffset>6294120</wp:posOffset>
                </wp:positionH>
                <wp:positionV relativeFrom="paragraph">
                  <wp:posOffset>708660</wp:posOffset>
                </wp:positionV>
                <wp:extent cx="914400" cy="1350335"/>
                <wp:effectExtent l="0" t="0" r="19050" b="21590"/>
                <wp:wrapNone/>
                <wp:docPr id="3" name="Rounded Rectangle 3"/>
                <wp:cNvGraphicFramePr/>
                <a:graphic xmlns:a="http://schemas.openxmlformats.org/drawingml/2006/main">
                  <a:graphicData uri="http://schemas.microsoft.com/office/word/2010/wordprocessingShape">
                    <wps:wsp>
                      <wps:cNvSpPr/>
                      <wps:spPr>
                        <a:xfrm>
                          <a:off x="0" y="0"/>
                          <a:ext cx="914400" cy="135033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428712" w14:textId="77777777" w:rsidR="00467097" w:rsidRPr="006D0E0B" w:rsidRDefault="00467097" w:rsidP="007B1EA9">
                            <w:pPr>
                              <w:jc w:val="center"/>
                              <w:rPr>
                                <w:rFonts w:asciiTheme="minorHAnsi" w:hAnsiTheme="minorHAnsi"/>
                                <w:sz w:val="28"/>
                                <w:szCs w:val="28"/>
                              </w:rPr>
                            </w:pPr>
                            <w:r w:rsidRPr="006D0E0B">
                              <w:rPr>
                                <w:rFonts w:asciiTheme="minorHAnsi" w:hAnsiTheme="minorHAnsi"/>
                                <w:sz w:val="28"/>
                                <w:szCs w:val="28"/>
                              </w:rPr>
                              <w:t>Funding 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C4B32D4" id="Rounded Rectangle 3" o:spid="_x0000_s1030" style="position:absolute;left:0;text-align:left;margin-left:495.6pt;margin-top:55.8pt;width:1in;height:106.35pt;z-index:251662336;visibility:visible;mso-wrap-style:square;mso-wrap-distance-left:9pt;mso-wrap-distance-top:0;mso-wrap-distance-right:9pt;mso-wrap-distance-bottom:0;mso-position-horizontal:absolute;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" fillcolor="#4f81bd [3204]" strokecolor="#243f60 [1604]" strokeweight="2pt">
                <v:textbox>
                  <w:txbxContent>
                    <w:p w14:paraId="7A428712" w14:textId="77777777" w:rsidR="00467097" w:rsidRPr="006D0E0B" w:rsidRDefault="00467097" w:rsidP="007B1EA9">
                      <w:pPr>
                        <w:jc w:val="center"/>
                        <w:rPr>
                          <w:rFonts w:asciiTheme="minorHAnsi" w:hAnsiTheme="minorHAnsi"/>
                          <w:sz w:val="28"/>
                          <w:szCs w:val="28"/>
                        </w:rPr>
                      </w:pPr>
                      <w:r w:rsidRPr="006D0E0B">
                        <w:rPr>
                          <w:rFonts w:asciiTheme="minorHAnsi" w:hAnsiTheme="minorHAnsi"/>
                          <w:sz w:val="28"/>
                          <w:szCs w:val="28"/>
                        </w:rPr>
                        <w:t>Funding sources</w:t>
                      </w:r>
                    </w:p>
                  </w:txbxContent>
                </v:textbox>
                <w10:wrap anchorx="page"/>
              </v:roundrect>
            </w:pict>
          </mc:Fallback>
        </mc:AlternateContent>
      </w:r>
      <w:r>
        <w:rPr>
          <w:noProof/>
          <w:lang w:eastAsia="en-GB"/>
        </w:rPr>
        <mc:AlternateContent>
          <mc:Choice Requires="wps">
            <w:drawing>
              <wp:anchor distT="0" distB="0" distL="114300" distR="114300" simplePos="0" relativeHeight="251661312" behindDoc="0" locked="0" layoutInCell="1" allowOverlap="1" wp14:anchorId="656ECCD6" wp14:editId="15EF6D86">
                <wp:simplePos x="0" y="0"/>
                <wp:positionH relativeFrom="margin">
                  <wp:posOffset>5150485</wp:posOffset>
                </wp:positionH>
                <wp:positionV relativeFrom="paragraph">
                  <wp:posOffset>1302385</wp:posOffset>
                </wp:positionV>
                <wp:extent cx="233916" cy="127590"/>
                <wp:effectExtent l="0" t="0" r="13970" b="25400"/>
                <wp:wrapNone/>
                <wp:docPr id="8" name="Left Arrow 8"/>
                <wp:cNvGraphicFramePr/>
                <a:graphic xmlns:a="http://schemas.openxmlformats.org/drawingml/2006/main">
                  <a:graphicData uri="http://schemas.microsoft.com/office/word/2010/wordprocessingShape">
                    <wps:wsp>
                      <wps:cNvSpPr/>
                      <wps:spPr>
                        <a:xfrm>
                          <a:off x="0" y="0"/>
                          <a:ext cx="233916" cy="12759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1D00B0" id="Left Arrow 8" o:spid="_x0000_s1026" type="#_x0000_t66" style="position:absolute;margin-left:405.55pt;margin-top:102.55pt;width:18.4pt;height:10.0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" adj="5891" fillcolor="#4f81bd [3204]" strokecolor="#243f60 [1604]" strokeweight="2pt">
                <w10:wrap anchorx="margin"/>
              </v:shape>
            </w:pict>
          </mc:Fallback>
        </mc:AlternateContent>
      </w:r>
      <w:r w:rsidR="00AC1E28">
        <w:rPr>
          <w:noProof/>
          <w:lang w:eastAsia="en-GB"/>
        </w:rPr>
        <mc:AlternateContent>
          <mc:Choice Requires="wps">
            <w:drawing>
              <wp:anchor distT="0" distB="0" distL="114300" distR="114300" simplePos="0" relativeHeight="251660288" behindDoc="0" locked="0" layoutInCell="1" allowOverlap="1" wp14:anchorId="6A0526C3" wp14:editId="6C32F7A8">
                <wp:simplePos x="0" y="0"/>
                <wp:positionH relativeFrom="column">
                  <wp:posOffset>1619885</wp:posOffset>
                </wp:positionH>
                <wp:positionV relativeFrom="paragraph">
                  <wp:posOffset>647700</wp:posOffset>
                </wp:positionV>
                <wp:extent cx="2136568" cy="328753"/>
                <wp:effectExtent l="0" t="0" r="0" b="0"/>
                <wp:wrapNone/>
                <wp:docPr id="9" name="Text Box 9"/>
                <wp:cNvGraphicFramePr/>
                <a:graphic xmlns:a="http://schemas.openxmlformats.org/drawingml/2006/main">
                  <a:graphicData uri="http://schemas.microsoft.com/office/word/2010/wordprocessingShape">
                    <wps:wsp>
                      <wps:cNvSpPr txBox="1"/>
                      <wps:spPr>
                        <a:xfrm>
                          <a:off x="0" y="0"/>
                          <a:ext cx="2136568" cy="3287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6F87F3" w14:textId="77777777" w:rsidR="00467097" w:rsidRPr="009D726F" w:rsidRDefault="00467097" w:rsidP="007B1EA9">
                            <w:pPr>
                              <w:spacing w:before="0" w:after="0"/>
                              <w:rPr>
                                <w:rFonts w:asciiTheme="minorHAnsi" w:hAnsiTheme="minorHAnsi"/>
                                <w:color w:val="FFFFFF" w:themeColor="background1"/>
                                <w:sz w:val="28"/>
                                <w:szCs w:val="28"/>
                              </w:rPr>
                            </w:pPr>
                            <w:r w:rsidRPr="009D726F">
                              <w:rPr>
                                <w:rFonts w:asciiTheme="minorHAnsi" w:hAnsiTheme="minorHAnsi"/>
                                <w:color w:val="FFFFFF" w:themeColor="background1"/>
                                <w:sz w:val="28"/>
                                <w:szCs w:val="28"/>
                              </w:rPr>
                              <w:t>Management mechanisms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526C3" id="Text Box 9" o:spid="_x0000_s1031" type="#_x0000_t202" style="position:absolute;left:0;text-align:left;margin-left:127.55pt;margin-top:51pt;width:168.25pt;height:2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" filled="f" stroked="f" strokeweight=".5pt">
                <v:textbox>
                  <w:txbxContent>
                    <w:p w14:paraId="176F87F3" w14:textId="77777777" w:rsidR="00467097" w:rsidRPr="009D726F" w:rsidRDefault="00467097" w:rsidP="007B1EA9">
                      <w:pPr>
                        <w:spacing w:before="0" w:after="0"/>
                        <w:rPr>
                          <w:rFonts w:asciiTheme="minorHAnsi" w:hAnsiTheme="minorHAnsi"/>
                          <w:color w:val="FFFFFF" w:themeColor="background1"/>
                          <w:sz w:val="28"/>
                          <w:szCs w:val="28"/>
                        </w:rPr>
                      </w:pPr>
                      <w:r w:rsidRPr="009D726F">
                        <w:rPr>
                          <w:rFonts w:asciiTheme="minorHAnsi" w:hAnsiTheme="minorHAnsi"/>
                          <w:color w:val="FFFFFF" w:themeColor="background1"/>
                          <w:sz w:val="28"/>
                          <w:szCs w:val="28"/>
                        </w:rPr>
                        <w:t>Management mechanisms</w:t>
                      </w:r>
                    </w:p>
                  </w:txbxContent>
                </v:textbox>
              </v:shape>
            </w:pict>
          </mc:Fallback>
        </mc:AlternateContent>
      </w:r>
      <w:r w:rsidR="00AC1E28">
        <w:rPr>
          <w:noProof/>
          <w:lang w:eastAsia="en-GB"/>
        </w:rPr>
        <mc:AlternateContent>
          <mc:Choice Requires="wps">
            <w:drawing>
              <wp:anchor distT="0" distB="0" distL="114300" distR="114300" simplePos="0" relativeHeight="251659264" behindDoc="0" locked="0" layoutInCell="1" allowOverlap="1" wp14:anchorId="20FCF94D" wp14:editId="74F12F58">
                <wp:simplePos x="0" y="0"/>
                <wp:positionH relativeFrom="margin">
                  <wp:posOffset>1878965</wp:posOffset>
                </wp:positionH>
                <wp:positionV relativeFrom="paragraph">
                  <wp:posOffset>680085</wp:posOffset>
                </wp:positionV>
                <wp:extent cx="1668780" cy="1382056"/>
                <wp:effectExtent l="0" t="0" r="26670" b="27940"/>
                <wp:wrapNone/>
                <wp:docPr id="10" name="Rounded Rectangle 10"/>
                <wp:cNvGraphicFramePr/>
                <a:graphic xmlns:a="http://schemas.openxmlformats.org/drawingml/2006/main">
                  <a:graphicData uri="http://schemas.microsoft.com/office/word/2010/wordprocessingShape">
                    <wps:wsp>
                      <wps:cNvSpPr/>
                      <wps:spPr>
                        <a:xfrm>
                          <a:off x="0" y="0"/>
                          <a:ext cx="1668780" cy="138205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C33D33F" id="Rounded Rectangle 10" o:spid="_x0000_s1026" style="position:absolute;margin-left:147.95pt;margin-top:53.55pt;width:131.4pt;height:108.8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" filled="f" strokecolor="#243f60 [1604]" strokeweight="2pt">
                <w10:wrap anchorx="margin"/>
              </v:roundrect>
            </w:pict>
          </mc:Fallback>
        </mc:AlternateContent>
      </w:r>
      <w:r w:rsidR="007B1EA9" w:rsidRPr="006D0E0B">
        <w:rPr>
          <w:noProof/>
          <w:lang w:eastAsia="en-GB"/>
        </w:rPr>
        <w:t xml:space="preserve"> </w:t>
      </w:r>
      <w:r w:rsidR="007B1EA9">
        <w:rPr>
          <w:noProof/>
          <w:lang w:eastAsia="en-GB"/>
        </w:rPr>
        <w:drawing>
          <wp:inline distT="0" distB="0" distL="0" distR="0" wp14:anchorId="4E37DF87" wp14:editId="212CDE86">
            <wp:extent cx="5105400" cy="2752725"/>
            <wp:effectExtent l="0" t="0" r="0" b="9525"/>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27265B6A" w14:textId="77777777" w:rsidR="007B1EA9" w:rsidRDefault="007B1EA9" w:rsidP="007B1EA9">
      <w:pPr>
        <w:pStyle w:val="BodyText"/>
      </w:pPr>
    </w:p>
    <w:p w14:paraId="37681D2E" w14:textId="77777777" w:rsidR="00A47694" w:rsidRDefault="00A47694" w:rsidP="00A47694">
      <w:pPr>
        <w:pStyle w:val="Heading2"/>
      </w:pPr>
      <w:bookmarkStart w:id="106" w:name="_Toc407021041"/>
      <w:bookmarkStart w:id="107" w:name="_Toc407617986"/>
      <w:bookmarkStart w:id="108" w:name="_Toc408093989"/>
      <w:bookmarkStart w:id="109" w:name="_Toc408850984"/>
      <w:bookmarkStart w:id="110" w:name="_Toc401731453"/>
      <w:bookmarkStart w:id="111" w:name="_Toc421880660"/>
      <w:r>
        <w:t>Conservation need</w:t>
      </w:r>
      <w:bookmarkEnd w:id="106"/>
      <w:bookmarkEnd w:id="107"/>
      <w:bookmarkEnd w:id="108"/>
      <w:bookmarkEnd w:id="109"/>
      <w:bookmarkEnd w:id="111"/>
    </w:p>
    <w:p w14:paraId="5E0DBD8A" w14:textId="2762955E" w:rsidR="00A824E6" w:rsidRDefault="00A824E6" w:rsidP="00A824E6">
      <w:pPr>
        <w:pStyle w:val="BodyText"/>
      </w:pPr>
      <w:bookmarkStart w:id="112" w:name="_Toc407617987"/>
      <w:r>
        <w:t xml:space="preserve">Wales’ Natura 2000 sites face considerable challenges from both human and natural pressures and threats and around two thirds of designated species and habitats (features) on these sites are in unfavourable condition. In 2013 the LIFE Natura 2000 Programme for Wales undertook research to identify the issues (pressures) that are currently adversely affecting Natura 2000 features and those factors which are likely to be a risk (or threat) in the future. It determined those issues and risks which are having the most widespread and profound impact across the whole of Wales. It is these issues and risks which articulate the </w:t>
      </w:r>
      <w:r w:rsidR="00A11632">
        <w:t xml:space="preserve">strategic </w:t>
      </w:r>
      <w:r>
        <w:t>conservation needs for the Natura 2000 network in Wales.</w:t>
      </w:r>
      <w:r w:rsidR="00AF7274">
        <w:t xml:space="preserve"> </w:t>
      </w:r>
      <w:r>
        <w:t xml:space="preserve">Conservation issues and risks differ by habitat type and species and geographical scope. However they have been </w:t>
      </w:r>
      <w:r w:rsidR="00D07551">
        <w:t xml:space="preserve">summarised for </w:t>
      </w:r>
      <w:r>
        <w:t xml:space="preserve">three major habitat </w:t>
      </w:r>
      <w:r w:rsidRPr="00B31483">
        <w:t>groups</w:t>
      </w:r>
      <w:r>
        <w:t>:</w:t>
      </w:r>
    </w:p>
    <w:p w14:paraId="502D3445" w14:textId="065D6776" w:rsidR="00A824E6" w:rsidRDefault="00A824E6" w:rsidP="00A824E6">
      <w:pPr>
        <w:pStyle w:val="BTBullet1"/>
      </w:pPr>
      <w:r>
        <w:t xml:space="preserve">Terrestrial habitats, including mountains, moorlands and heaths, </w:t>
      </w:r>
      <w:r w:rsidRPr="00FE4FFC">
        <w:t>semi-natural grasslands</w:t>
      </w:r>
      <w:r>
        <w:t xml:space="preserve">, </w:t>
      </w:r>
      <w:r w:rsidRPr="00FE4FFC">
        <w:t>encl</w:t>
      </w:r>
      <w:r>
        <w:t>osed farmland and woodland areas</w:t>
      </w:r>
      <w:r w:rsidR="00D07551">
        <w:t>;</w:t>
      </w:r>
    </w:p>
    <w:p w14:paraId="713B0C70" w14:textId="4856D74F" w:rsidR="00A824E6" w:rsidRDefault="00A824E6" w:rsidP="00A824E6">
      <w:pPr>
        <w:pStyle w:val="BTBullet1"/>
      </w:pPr>
      <w:r>
        <w:t>Freshwater and wetland habitats</w:t>
      </w:r>
      <w:r w:rsidR="00D07551">
        <w:t>; and</w:t>
      </w:r>
    </w:p>
    <w:p w14:paraId="01590892" w14:textId="77777777" w:rsidR="00A824E6" w:rsidRDefault="00A824E6" w:rsidP="00A824E6">
      <w:pPr>
        <w:pStyle w:val="BTBullet1"/>
      </w:pPr>
      <w:r>
        <w:t xml:space="preserve">Marine habitats </w:t>
      </w:r>
    </w:p>
    <w:p w14:paraId="5B355D17" w14:textId="1C00AE6F" w:rsidR="00A824E6" w:rsidRDefault="00D07551" w:rsidP="00A824E6">
      <w:pPr>
        <w:pStyle w:val="BodyText"/>
        <w:tabs>
          <w:tab w:val="left" w:pos="2694"/>
        </w:tabs>
      </w:pPr>
      <w:r>
        <w:t>Significant c</w:t>
      </w:r>
      <w:r w:rsidR="00A824E6">
        <w:t xml:space="preserve">onservation needs on land </w:t>
      </w:r>
      <w:r>
        <w:t>include</w:t>
      </w:r>
      <w:r w:rsidR="00A824E6">
        <w:t xml:space="preserve"> </w:t>
      </w:r>
      <w:r>
        <w:t xml:space="preserve">tackling </w:t>
      </w:r>
      <w:r w:rsidR="00A824E6">
        <w:t xml:space="preserve">air pollution and impacts associated with livestock farming. </w:t>
      </w:r>
      <w:r w:rsidR="00A824E6" w:rsidRPr="00292FF8">
        <w:t>The latter include unsuitable grazing (undergrazing, overgrazing and inappropriate type and timing) and associated outcomes such as scrub invasion, as well as other factors such as poaching and supplementary feeding.</w:t>
      </w:r>
    </w:p>
    <w:p w14:paraId="29411CC4" w14:textId="77777777" w:rsidR="00A824E6" w:rsidRDefault="00A824E6" w:rsidP="00A824E6">
      <w:pPr>
        <w:pStyle w:val="BodyText"/>
        <w:tabs>
          <w:tab w:val="left" w:pos="2694"/>
        </w:tabs>
      </w:pPr>
      <w:r>
        <w:t xml:space="preserve">In freshwater and wetland habitats, water pollution from diffuse sources, invasive species and human alterations to hydraulic conditions are the major challenges from a conservation perspective. Insufficient grazing or mowing are also key issues for wetlands. Air pollution is also a challenge for these areas. </w:t>
      </w:r>
    </w:p>
    <w:p w14:paraId="41F943C6" w14:textId="0C6F2560" w:rsidR="00A824E6" w:rsidRDefault="00A824E6" w:rsidP="00A824E6">
      <w:pPr>
        <w:pStyle w:val="BodyText"/>
        <w:tabs>
          <w:tab w:val="left" w:pos="2694"/>
        </w:tabs>
      </w:pPr>
      <w:r>
        <w:t>In marine settings, both diffuse and point-source water pollution represent a challenge for the management of Natura 2000 features, as does discharge of solid waste. Coastal flood defence and erosion control is also a major challenge in many areas, as is the growth of invasive non-native species</w:t>
      </w:r>
      <w:r w:rsidR="00A11632">
        <w:t xml:space="preserve"> and m</w:t>
      </w:r>
      <w:r>
        <w:t xml:space="preserve">arine fisheries </w:t>
      </w:r>
      <w:r w:rsidR="0071239B">
        <w:t>are</w:t>
      </w:r>
      <w:r>
        <w:t xml:space="preserve"> also an issue</w:t>
      </w:r>
      <w:r w:rsidR="00243847">
        <w:t>.</w:t>
      </w:r>
    </w:p>
    <w:p w14:paraId="411A9DD9" w14:textId="5234CDCD" w:rsidR="00A11632" w:rsidRDefault="004B6D02" w:rsidP="00A824E6">
      <w:pPr>
        <w:pStyle w:val="BodyText"/>
        <w:tabs>
          <w:tab w:val="left" w:pos="2694"/>
        </w:tabs>
      </w:pPr>
      <w:r>
        <w:t>C</w:t>
      </w:r>
      <w:r w:rsidR="00A11632">
        <w:t xml:space="preserve">limate change </w:t>
      </w:r>
      <w:r>
        <w:t>and habitat fragmentation have adverse impacts across ecosystems</w:t>
      </w:r>
      <w:r w:rsidR="00243847">
        <w:t xml:space="preserve">, and thus require a more strategic </w:t>
      </w:r>
      <w:r w:rsidR="00C776EA">
        <w:t xml:space="preserve">approach </w:t>
      </w:r>
      <w:r w:rsidR="00243847">
        <w:t>in the management of the network.</w:t>
      </w:r>
      <w:r>
        <w:t xml:space="preserve"> </w:t>
      </w:r>
    </w:p>
    <w:p w14:paraId="058DA896" w14:textId="77777777" w:rsidR="007B1EA9" w:rsidRDefault="007B1EA9" w:rsidP="007B1EA9">
      <w:pPr>
        <w:pStyle w:val="Heading2"/>
      </w:pPr>
      <w:bookmarkStart w:id="113" w:name="_Toc408093990"/>
      <w:bookmarkStart w:id="114" w:name="_Toc408850985"/>
      <w:bookmarkStart w:id="115" w:name="_Toc421880661"/>
      <w:r>
        <w:t>Management mechanisms and actions</w:t>
      </w:r>
      <w:bookmarkEnd w:id="110"/>
      <w:bookmarkEnd w:id="112"/>
      <w:bookmarkEnd w:id="113"/>
      <w:bookmarkEnd w:id="114"/>
      <w:bookmarkEnd w:id="115"/>
    </w:p>
    <w:p w14:paraId="6CEC48E4" w14:textId="77777777" w:rsidR="007B1EA9" w:rsidRDefault="007B1EA9" w:rsidP="007B1EA9">
      <w:pPr>
        <w:pStyle w:val="Heading3"/>
      </w:pPr>
      <w:r>
        <w:t>Management actions</w:t>
      </w:r>
    </w:p>
    <w:p w14:paraId="3949FBE9" w14:textId="63573E74" w:rsidR="00A824E6" w:rsidRDefault="007B1EA9" w:rsidP="007B1EA9">
      <w:pPr>
        <w:pStyle w:val="BodyText"/>
      </w:pPr>
      <w:r>
        <w:t xml:space="preserve">Management actions are the actions that deliver the changes required to address the </w:t>
      </w:r>
      <w:r w:rsidR="0071239B">
        <w:t xml:space="preserve">identified </w:t>
      </w:r>
      <w:r w:rsidR="004B6D02">
        <w:t>pressures and threats</w:t>
      </w:r>
      <w:r>
        <w:t xml:space="preserve">, via the appropriate management mechanism. It is these actions that require funding and provide the basis on which the funding analysis can be taken forward. A range of actions can be taken. </w:t>
      </w:r>
      <w:r w:rsidR="00B31483">
        <w:t xml:space="preserve">European Commission (2013) sets out a typology which </w:t>
      </w:r>
      <w:r>
        <w:t>utilises a list of 25 Natura 2000 management measures</w:t>
      </w:r>
      <w:r w:rsidR="00E1476F">
        <w:t xml:space="preserve"> (see</w:t>
      </w:r>
      <w:r w:rsidR="00B31483">
        <w:t xml:space="preserve"> </w:t>
      </w:r>
      <w:r w:rsidR="00B31483">
        <w:fldChar w:fldCharType="begin"/>
      </w:r>
      <w:r w:rsidR="00B31483">
        <w:instrText xml:space="preserve"> REF _Ref413157566 \r \h </w:instrText>
      </w:r>
      <w:r w:rsidR="00B31483">
        <w:fldChar w:fldCharType="separate"/>
      </w:r>
      <w:r w:rsidR="00B31483">
        <w:t>Table 2.1</w:t>
      </w:r>
      <w:r w:rsidR="00B31483">
        <w:fldChar w:fldCharType="end"/>
      </w:r>
      <w:r w:rsidR="00E1476F">
        <w:t>)</w:t>
      </w:r>
      <w:r w:rsidR="00B31483">
        <w:t xml:space="preserve"> which have been used in the Wales PAF</w:t>
      </w:r>
      <w:r>
        <w:t xml:space="preserve">. </w:t>
      </w:r>
      <w:r w:rsidR="00A824E6">
        <w:t>These consist of four groups of measures relating to:</w:t>
      </w:r>
    </w:p>
    <w:p w14:paraId="3FB53B21" w14:textId="0E0B7F48" w:rsidR="007B1EA9" w:rsidRDefault="00A824E6" w:rsidP="00A824E6">
      <w:pPr>
        <w:pStyle w:val="BTBullet1Last"/>
      </w:pPr>
      <w:r>
        <w:t>Establishment of Natura 2000 sites.</w:t>
      </w:r>
    </w:p>
    <w:p w14:paraId="360A6EA7" w14:textId="5D7D8ADA" w:rsidR="00A824E6" w:rsidRDefault="00A824E6" w:rsidP="00A824E6">
      <w:pPr>
        <w:pStyle w:val="BTBullet1Last"/>
      </w:pPr>
      <w:r>
        <w:t>Management planning.</w:t>
      </w:r>
    </w:p>
    <w:p w14:paraId="5724791E" w14:textId="137357B8" w:rsidR="0057677C" w:rsidRDefault="00A824E6" w:rsidP="00A824E6">
      <w:pPr>
        <w:pStyle w:val="BTBullet1Last"/>
      </w:pPr>
      <w:r>
        <w:t>Ongoing habitat management and monitoring.</w:t>
      </w:r>
    </w:p>
    <w:p w14:paraId="4AB0D70D" w14:textId="4BBAB339" w:rsidR="0057677C" w:rsidRDefault="0057677C" w:rsidP="00A824E6">
      <w:pPr>
        <w:pStyle w:val="BTBullet1Last"/>
      </w:pPr>
      <w:r>
        <w:t>Investments</w:t>
      </w:r>
      <w:r w:rsidR="004B6D02">
        <w:t>.</w:t>
      </w:r>
    </w:p>
    <w:p w14:paraId="5A5BBF91" w14:textId="7A8A90C6" w:rsidR="0057677C" w:rsidRDefault="0057677C" w:rsidP="00F83B12">
      <w:pPr>
        <w:pStyle w:val="BodyText"/>
      </w:pPr>
      <w:r>
        <w:fldChar w:fldCharType="begin"/>
      </w:r>
      <w:r>
        <w:instrText xml:space="preserve"> REF _Ref408301002 \r \h </w:instrText>
      </w:r>
      <w:r>
        <w:fldChar w:fldCharType="separate"/>
      </w:r>
      <w:r w:rsidR="00B31483">
        <w:t>Table 2.1</w:t>
      </w:r>
      <w:r>
        <w:fldChar w:fldCharType="end"/>
      </w:r>
      <w:r>
        <w:t xml:space="preserve"> outlines the type of management actions contained within these four groups of measures</w:t>
      </w:r>
      <w:r w:rsidR="004B6D02">
        <w:t>.</w:t>
      </w:r>
    </w:p>
    <w:p w14:paraId="36BC7D16" w14:textId="787A07B3" w:rsidR="00A824E6" w:rsidRDefault="00A824E6" w:rsidP="00A824E6">
      <w:pPr>
        <w:pStyle w:val="Table"/>
      </w:pPr>
      <w:bookmarkStart w:id="116" w:name="_Toc407942716"/>
      <w:bookmarkStart w:id="117" w:name="_Toc408094122"/>
      <w:bookmarkStart w:id="118" w:name="_Ref408301002"/>
      <w:bookmarkStart w:id="119" w:name="_Toc408851105"/>
      <w:bookmarkStart w:id="120" w:name="_Ref413157566"/>
      <w:bookmarkStart w:id="121" w:name="_Ref421880502"/>
      <w:r>
        <w:t>Typology of Management Actions</w:t>
      </w:r>
      <w:bookmarkEnd w:id="116"/>
      <w:bookmarkEnd w:id="117"/>
      <w:bookmarkEnd w:id="118"/>
      <w:bookmarkEnd w:id="119"/>
      <w:bookmarkEnd w:id="120"/>
      <w:bookmarkEnd w:id="121"/>
    </w:p>
    <w:tbl>
      <w:tblPr>
        <w:tblW w:w="9089" w:type="dxa"/>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Layout w:type="fixed"/>
        <w:tblCellMar>
          <w:top w:w="57" w:type="dxa"/>
          <w:left w:w="0" w:type="dxa"/>
          <w:bottom w:w="28" w:type="dxa"/>
          <w:right w:w="0" w:type="dxa"/>
        </w:tblCellMar>
        <w:tblLook w:val="0000" w:firstRow="0" w:lastRow="0" w:firstColumn="0" w:lastColumn="0" w:noHBand="0" w:noVBand="0"/>
      </w:tblPr>
      <w:tblGrid>
        <w:gridCol w:w="564"/>
        <w:gridCol w:w="426"/>
        <w:gridCol w:w="3563"/>
        <w:gridCol w:w="4536"/>
      </w:tblGrid>
      <w:tr w:rsidR="00763C6D" w14:paraId="0C11CCD7" w14:textId="77777777" w:rsidTr="00C776EA">
        <w:trPr>
          <w:cantSplit/>
          <w:tblHeader/>
        </w:trPr>
        <w:tc>
          <w:tcPr>
            <w:tcW w:w="564" w:type="dxa"/>
            <w:shd w:val="clear" w:color="auto" w:fill="auto"/>
          </w:tcPr>
          <w:p w14:paraId="419059AD" w14:textId="77777777" w:rsidR="00763C6D" w:rsidRDefault="00763C6D" w:rsidP="00763C6D">
            <w:pPr>
              <w:pStyle w:val="TableHeading"/>
            </w:pPr>
          </w:p>
        </w:tc>
        <w:tc>
          <w:tcPr>
            <w:tcW w:w="426" w:type="dxa"/>
            <w:tcBorders>
              <w:right w:val="single" w:sz="2" w:space="0" w:color="FFFFFF"/>
            </w:tcBorders>
            <w:shd w:val="solid" w:color="0067AB" w:fill="0067AB"/>
          </w:tcPr>
          <w:p w14:paraId="59CD0B20" w14:textId="21302F5C" w:rsidR="00763C6D" w:rsidRDefault="00A824E6" w:rsidP="00763C6D">
            <w:pPr>
              <w:pStyle w:val="TableHeadingWhite"/>
            </w:pPr>
            <w:r>
              <w:t>No.</w:t>
            </w:r>
          </w:p>
        </w:tc>
        <w:tc>
          <w:tcPr>
            <w:tcW w:w="3563" w:type="dxa"/>
            <w:tcBorders>
              <w:left w:val="single" w:sz="2" w:space="0" w:color="FFFFFF"/>
              <w:right w:val="single" w:sz="2" w:space="0" w:color="FFFFFF"/>
            </w:tcBorders>
            <w:shd w:val="solid" w:color="0067AB" w:fill="0067AB"/>
          </w:tcPr>
          <w:p w14:paraId="2A30BD31" w14:textId="5021680A" w:rsidR="00763C6D" w:rsidRDefault="00A824E6" w:rsidP="00763C6D">
            <w:pPr>
              <w:pStyle w:val="TableHeadingWhite"/>
            </w:pPr>
            <w:r>
              <w:t>Type of management action</w:t>
            </w:r>
          </w:p>
        </w:tc>
        <w:tc>
          <w:tcPr>
            <w:tcW w:w="4536" w:type="dxa"/>
            <w:tcBorders>
              <w:left w:val="single" w:sz="2" w:space="0" w:color="FFFFFF"/>
              <w:right w:val="single" w:sz="2" w:space="0" w:color="FFFFFF"/>
            </w:tcBorders>
            <w:shd w:val="solid" w:color="0067AB" w:fill="0067AB"/>
          </w:tcPr>
          <w:p w14:paraId="2AD6D03A" w14:textId="738F9527" w:rsidR="00763C6D" w:rsidRDefault="00A824E6" w:rsidP="00763C6D">
            <w:pPr>
              <w:pStyle w:val="TableHeadingWhite"/>
            </w:pPr>
            <w:r>
              <w:t>Further explanation</w:t>
            </w:r>
          </w:p>
        </w:tc>
      </w:tr>
      <w:tr w:rsidR="00763C6D" w14:paraId="3A7E498F" w14:textId="77777777" w:rsidTr="00A824E6">
        <w:tc>
          <w:tcPr>
            <w:tcW w:w="564" w:type="dxa"/>
            <w:vMerge w:val="restart"/>
            <w:shd w:val="clear" w:color="auto" w:fill="auto"/>
            <w:textDirection w:val="btLr"/>
            <w:vAlign w:val="center"/>
          </w:tcPr>
          <w:p w14:paraId="21EC149F" w14:textId="4DDC942E" w:rsidR="00763C6D" w:rsidRPr="00763C6D" w:rsidRDefault="00A824E6" w:rsidP="00763C6D">
            <w:pPr>
              <w:pStyle w:val="TableTextNoSpace"/>
              <w:jc w:val="center"/>
              <w:rPr>
                <w:b/>
              </w:rPr>
            </w:pPr>
            <w:r>
              <w:rPr>
                <w:b/>
              </w:rPr>
              <w:t>Establishment of sites</w:t>
            </w:r>
          </w:p>
        </w:tc>
        <w:tc>
          <w:tcPr>
            <w:tcW w:w="426" w:type="dxa"/>
            <w:shd w:val="clear" w:color="auto" w:fill="auto"/>
          </w:tcPr>
          <w:p w14:paraId="78DFDA4B" w14:textId="4C14E2E7" w:rsidR="00763C6D" w:rsidRDefault="00763C6D" w:rsidP="00763C6D">
            <w:pPr>
              <w:pStyle w:val="TableTextNoSpace"/>
            </w:pPr>
            <w:r>
              <w:rPr>
                <w:rFonts w:ascii="Calibri" w:hAnsi="Calibri" w:cs="Arial"/>
                <w:b/>
                <w:bCs/>
                <w:sz w:val="18"/>
                <w:szCs w:val="18"/>
              </w:rPr>
              <w:t>1</w:t>
            </w:r>
          </w:p>
        </w:tc>
        <w:tc>
          <w:tcPr>
            <w:tcW w:w="3563" w:type="dxa"/>
            <w:shd w:val="clear" w:color="auto" w:fill="auto"/>
          </w:tcPr>
          <w:p w14:paraId="3EC67AD7" w14:textId="5851858B" w:rsidR="00763C6D" w:rsidRDefault="00763C6D" w:rsidP="00763C6D">
            <w:pPr>
              <w:pStyle w:val="TableTextNoSpace"/>
            </w:pPr>
            <w:r>
              <w:rPr>
                <w:rFonts w:ascii="Calibri" w:hAnsi="Calibri" w:cs="Arial"/>
                <w:sz w:val="18"/>
                <w:szCs w:val="18"/>
              </w:rPr>
              <w:t>Administration of the site selection process</w:t>
            </w:r>
          </w:p>
        </w:tc>
        <w:tc>
          <w:tcPr>
            <w:tcW w:w="4536" w:type="dxa"/>
            <w:shd w:val="clear" w:color="auto" w:fill="auto"/>
          </w:tcPr>
          <w:p w14:paraId="5F634CDD" w14:textId="49C70A7A" w:rsidR="00763C6D" w:rsidRDefault="0057677C" w:rsidP="00763C6D">
            <w:pPr>
              <w:pStyle w:val="TableTextNoSpace"/>
            </w:pPr>
            <w:r>
              <w:rPr>
                <w:rFonts w:ascii="Calibri" w:hAnsi="Calibri" w:cs="Arial"/>
                <w:sz w:val="18"/>
                <w:szCs w:val="18"/>
              </w:rPr>
              <w:t>Carrying</w:t>
            </w:r>
            <w:r w:rsidR="00763C6D">
              <w:rPr>
                <w:rFonts w:ascii="Calibri" w:hAnsi="Calibri" w:cs="Arial"/>
                <w:sz w:val="18"/>
                <w:szCs w:val="18"/>
              </w:rPr>
              <w:t xml:space="preserve"> out the selection process.</w:t>
            </w:r>
          </w:p>
        </w:tc>
      </w:tr>
      <w:tr w:rsidR="00763C6D" w14:paraId="4DA498DF" w14:textId="77777777" w:rsidTr="00A824E6">
        <w:tc>
          <w:tcPr>
            <w:tcW w:w="564" w:type="dxa"/>
            <w:vMerge/>
            <w:shd w:val="clear" w:color="auto" w:fill="auto"/>
            <w:textDirection w:val="btLr"/>
            <w:vAlign w:val="center"/>
          </w:tcPr>
          <w:p w14:paraId="19D8C0F4" w14:textId="77777777" w:rsidR="00763C6D" w:rsidRPr="00763C6D" w:rsidRDefault="00763C6D" w:rsidP="00763C6D">
            <w:pPr>
              <w:pStyle w:val="TableTextNoSpace"/>
              <w:jc w:val="center"/>
              <w:rPr>
                <w:b/>
              </w:rPr>
            </w:pPr>
          </w:p>
        </w:tc>
        <w:tc>
          <w:tcPr>
            <w:tcW w:w="426" w:type="dxa"/>
            <w:shd w:val="clear" w:color="auto" w:fill="auto"/>
          </w:tcPr>
          <w:p w14:paraId="2B6F077D" w14:textId="3964CC04" w:rsidR="00763C6D" w:rsidRDefault="00763C6D" w:rsidP="00763C6D">
            <w:pPr>
              <w:pStyle w:val="TableTextNoSpace"/>
            </w:pPr>
            <w:r>
              <w:rPr>
                <w:rFonts w:ascii="Calibri" w:hAnsi="Calibri" w:cs="Arial"/>
                <w:b/>
                <w:bCs/>
                <w:sz w:val="18"/>
                <w:szCs w:val="18"/>
              </w:rPr>
              <w:t>2</w:t>
            </w:r>
          </w:p>
        </w:tc>
        <w:tc>
          <w:tcPr>
            <w:tcW w:w="3563" w:type="dxa"/>
            <w:shd w:val="clear" w:color="auto" w:fill="auto"/>
          </w:tcPr>
          <w:p w14:paraId="5D7F1EC0" w14:textId="6AF39356" w:rsidR="00763C6D" w:rsidRDefault="00763C6D" w:rsidP="00763C6D">
            <w:pPr>
              <w:pStyle w:val="TableTextNoSpace"/>
            </w:pPr>
            <w:r>
              <w:rPr>
                <w:rFonts w:ascii="Calibri" w:hAnsi="Calibri" w:cs="Arial"/>
                <w:sz w:val="18"/>
                <w:szCs w:val="18"/>
              </w:rPr>
              <w:t>Scientific studies/inventories for the identification of sites – surveys, inventories, mapping, condition assessment</w:t>
            </w:r>
          </w:p>
        </w:tc>
        <w:tc>
          <w:tcPr>
            <w:tcW w:w="4536" w:type="dxa"/>
            <w:shd w:val="clear" w:color="auto" w:fill="auto"/>
          </w:tcPr>
          <w:p w14:paraId="70CB8B81" w14:textId="1D683AF0" w:rsidR="00763C6D" w:rsidRDefault="00763C6D" w:rsidP="00763C6D">
            <w:pPr>
              <w:pStyle w:val="TableTextNoSpace"/>
            </w:pPr>
            <w:r>
              <w:rPr>
                <w:rFonts w:ascii="Calibri" w:hAnsi="Calibri" w:cs="Arial"/>
                <w:sz w:val="18"/>
                <w:szCs w:val="18"/>
              </w:rPr>
              <w:t>Scientific studies, research personnel, workshops and meetings, creation of databases etc.</w:t>
            </w:r>
          </w:p>
        </w:tc>
      </w:tr>
      <w:tr w:rsidR="00763C6D" w14:paraId="50FFDA92" w14:textId="77777777" w:rsidTr="00A824E6">
        <w:tc>
          <w:tcPr>
            <w:tcW w:w="564" w:type="dxa"/>
            <w:vMerge/>
            <w:shd w:val="clear" w:color="auto" w:fill="auto"/>
            <w:textDirection w:val="btLr"/>
            <w:vAlign w:val="center"/>
          </w:tcPr>
          <w:p w14:paraId="3E896F70" w14:textId="77777777" w:rsidR="00763C6D" w:rsidRPr="00763C6D" w:rsidRDefault="00763C6D" w:rsidP="00763C6D">
            <w:pPr>
              <w:pStyle w:val="TableTextNoSpace"/>
              <w:jc w:val="center"/>
              <w:rPr>
                <w:b/>
              </w:rPr>
            </w:pPr>
          </w:p>
        </w:tc>
        <w:tc>
          <w:tcPr>
            <w:tcW w:w="426" w:type="dxa"/>
            <w:shd w:val="clear" w:color="auto" w:fill="auto"/>
          </w:tcPr>
          <w:p w14:paraId="39850004" w14:textId="42A9C3DB" w:rsidR="00763C6D" w:rsidRDefault="00763C6D" w:rsidP="00763C6D">
            <w:pPr>
              <w:pStyle w:val="TableTextNoSpace"/>
            </w:pPr>
            <w:r>
              <w:rPr>
                <w:rFonts w:ascii="Calibri" w:hAnsi="Calibri" w:cs="Arial"/>
                <w:b/>
                <w:bCs/>
                <w:sz w:val="18"/>
                <w:szCs w:val="18"/>
              </w:rPr>
              <w:t>3</w:t>
            </w:r>
          </w:p>
        </w:tc>
        <w:tc>
          <w:tcPr>
            <w:tcW w:w="3563" w:type="dxa"/>
            <w:shd w:val="clear" w:color="auto" w:fill="auto"/>
          </w:tcPr>
          <w:p w14:paraId="3E5E7B9C" w14:textId="05CB8B05" w:rsidR="00763C6D" w:rsidRDefault="00763C6D" w:rsidP="00763C6D">
            <w:pPr>
              <w:pStyle w:val="TableTextNoSpace"/>
            </w:pPr>
            <w:r>
              <w:rPr>
                <w:rFonts w:ascii="Calibri" w:hAnsi="Calibri" w:cs="Arial"/>
                <w:sz w:val="18"/>
                <w:szCs w:val="18"/>
              </w:rPr>
              <w:t>Preparation of initial information and publicity material</w:t>
            </w:r>
          </w:p>
        </w:tc>
        <w:tc>
          <w:tcPr>
            <w:tcW w:w="4536" w:type="dxa"/>
            <w:shd w:val="clear" w:color="auto" w:fill="auto"/>
          </w:tcPr>
          <w:p w14:paraId="49B8E790" w14:textId="6CA0E5DA" w:rsidR="00763C6D" w:rsidRDefault="00763C6D" w:rsidP="00763C6D">
            <w:pPr>
              <w:pStyle w:val="TableTextNoSpace"/>
            </w:pPr>
            <w:r>
              <w:rPr>
                <w:rFonts w:ascii="Calibri" w:hAnsi="Calibri" w:cs="Arial"/>
                <w:sz w:val="18"/>
                <w:szCs w:val="18"/>
              </w:rPr>
              <w:t>Including handbooks, seminars, workshops, communication materials for training and capacity building.</w:t>
            </w:r>
          </w:p>
        </w:tc>
      </w:tr>
      <w:tr w:rsidR="00763C6D" w14:paraId="20E8CD81" w14:textId="77777777" w:rsidTr="00A824E6">
        <w:tc>
          <w:tcPr>
            <w:tcW w:w="564" w:type="dxa"/>
            <w:vMerge/>
            <w:shd w:val="clear" w:color="auto" w:fill="auto"/>
            <w:textDirection w:val="btLr"/>
            <w:vAlign w:val="center"/>
          </w:tcPr>
          <w:p w14:paraId="0270FDE4" w14:textId="77777777" w:rsidR="00763C6D" w:rsidRPr="00763C6D" w:rsidRDefault="00763C6D" w:rsidP="00763C6D">
            <w:pPr>
              <w:pStyle w:val="TableTextNoSpace"/>
              <w:jc w:val="center"/>
              <w:rPr>
                <w:b/>
              </w:rPr>
            </w:pPr>
          </w:p>
        </w:tc>
        <w:tc>
          <w:tcPr>
            <w:tcW w:w="426" w:type="dxa"/>
            <w:shd w:val="clear" w:color="auto" w:fill="auto"/>
          </w:tcPr>
          <w:p w14:paraId="43C8C80E" w14:textId="739ECE62" w:rsidR="00763C6D" w:rsidRDefault="00763C6D" w:rsidP="00763C6D">
            <w:pPr>
              <w:pStyle w:val="TableTextNoSpace"/>
            </w:pPr>
            <w:r>
              <w:rPr>
                <w:rFonts w:ascii="Calibri" w:hAnsi="Calibri" w:cs="Arial"/>
                <w:b/>
                <w:bCs/>
                <w:sz w:val="18"/>
                <w:szCs w:val="18"/>
              </w:rPr>
              <w:t>4</w:t>
            </w:r>
          </w:p>
        </w:tc>
        <w:tc>
          <w:tcPr>
            <w:tcW w:w="3563" w:type="dxa"/>
            <w:shd w:val="clear" w:color="auto" w:fill="auto"/>
          </w:tcPr>
          <w:p w14:paraId="08AF8BB8" w14:textId="2E607EE9" w:rsidR="00763C6D" w:rsidRDefault="00763C6D" w:rsidP="00763C6D">
            <w:pPr>
              <w:pStyle w:val="TableTextNoSpace"/>
            </w:pPr>
            <w:r>
              <w:rPr>
                <w:rFonts w:ascii="Calibri" w:hAnsi="Calibri" w:cs="Arial"/>
                <w:sz w:val="18"/>
                <w:szCs w:val="18"/>
              </w:rPr>
              <w:t>Pilot projects</w:t>
            </w:r>
          </w:p>
        </w:tc>
        <w:tc>
          <w:tcPr>
            <w:tcW w:w="4536" w:type="dxa"/>
            <w:shd w:val="clear" w:color="auto" w:fill="auto"/>
          </w:tcPr>
          <w:p w14:paraId="518FD906" w14:textId="46F18D7B" w:rsidR="00763C6D" w:rsidRDefault="00763C6D" w:rsidP="00763C6D">
            <w:pPr>
              <w:pStyle w:val="TableTextNoSpace"/>
            </w:pPr>
            <w:r>
              <w:rPr>
                <w:rFonts w:ascii="Calibri" w:hAnsi="Calibri" w:cs="Arial"/>
                <w:sz w:val="18"/>
                <w:szCs w:val="18"/>
              </w:rPr>
              <w:t>Initial ‘trial’ projects at sites.</w:t>
            </w:r>
          </w:p>
        </w:tc>
      </w:tr>
      <w:tr w:rsidR="00763C6D" w14:paraId="16E521D4" w14:textId="77777777" w:rsidTr="00A824E6">
        <w:tc>
          <w:tcPr>
            <w:tcW w:w="564" w:type="dxa"/>
            <w:vMerge w:val="restart"/>
            <w:shd w:val="clear" w:color="auto" w:fill="auto"/>
            <w:textDirection w:val="btLr"/>
            <w:vAlign w:val="center"/>
          </w:tcPr>
          <w:p w14:paraId="1E208B88" w14:textId="53F24BE6" w:rsidR="00763C6D" w:rsidRPr="00763C6D" w:rsidRDefault="00763C6D" w:rsidP="00763C6D">
            <w:pPr>
              <w:pStyle w:val="TableTextNoSpace"/>
              <w:jc w:val="center"/>
              <w:rPr>
                <w:b/>
              </w:rPr>
            </w:pPr>
            <w:r w:rsidRPr="00763C6D">
              <w:rPr>
                <w:b/>
              </w:rPr>
              <w:t>Management Planning</w:t>
            </w:r>
          </w:p>
        </w:tc>
        <w:tc>
          <w:tcPr>
            <w:tcW w:w="426" w:type="dxa"/>
            <w:shd w:val="clear" w:color="auto" w:fill="auto"/>
          </w:tcPr>
          <w:p w14:paraId="6195A6B0" w14:textId="3BCD838C" w:rsidR="00763C6D" w:rsidRDefault="00763C6D" w:rsidP="00763C6D">
            <w:pPr>
              <w:pStyle w:val="TableTextNoSpace"/>
            </w:pPr>
            <w:r>
              <w:rPr>
                <w:rFonts w:ascii="Calibri" w:hAnsi="Calibri" w:cs="Arial"/>
                <w:b/>
                <w:bCs/>
                <w:sz w:val="18"/>
                <w:szCs w:val="18"/>
              </w:rPr>
              <w:t>5</w:t>
            </w:r>
          </w:p>
        </w:tc>
        <w:tc>
          <w:tcPr>
            <w:tcW w:w="3563" w:type="dxa"/>
            <w:shd w:val="clear" w:color="auto" w:fill="auto"/>
          </w:tcPr>
          <w:p w14:paraId="45289650" w14:textId="563C5FDC" w:rsidR="00763C6D" w:rsidRDefault="00763C6D" w:rsidP="00763C6D">
            <w:pPr>
              <w:pStyle w:val="TableTextNoSpace"/>
            </w:pPr>
            <w:r>
              <w:rPr>
                <w:rFonts w:ascii="Calibri" w:hAnsi="Calibri" w:cs="Arial"/>
                <w:sz w:val="18"/>
                <w:szCs w:val="18"/>
              </w:rPr>
              <w:t>Preparation of management plans, strategies and schemes (including scientific studies and investigations needed for planning and implementation based on solid knowledge)</w:t>
            </w:r>
          </w:p>
        </w:tc>
        <w:tc>
          <w:tcPr>
            <w:tcW w:w="4536" w:type="dxa"/>
            <w:shd w:val="clear" w:color="auto" w:fill="auto"/>
          </w:tcPr>
          <w:p w14:paraId="411B55E0" w14:textId="65365821" w:rsidR="00763C6D" w:rsidRDefault="00763C6D" w:rsidP="00763C6D">
            <w:pPr>
              <w:pStyle w:val="TableTextNoSpace"/>
            </w:pPr>
            <w:r>
              <w:rPr>
                <w:rFonts w:ascii="Calibri" w:hAnsi="Calibri" w:cs="Arial"/>
                <w:sz w:val="18"/>
                <w:szCs w:val="18"/>
              </w:rPr>
              <w:t>Elaboration and/or update of management and action plans, land use plans etc.</w:t>
            </w:r>
          </w:p>
        </w:tc>
      </w:tr>
      <w:tr w:rsidR="00763C6D" w14:paraId="29E4BD13" w14:textId="77777777" w:rsidTr="00A824E6">
        <w:tc>
          <w:tcPr>
            <w:tcW w:w="564" w:type="dxa"/>
            <w:vMerge/>
            <w:shd w:val="clear" w:color="auto" w:fill="auto"/>
            <w:textDirection w:val="btLr"/>
            <w:vAlign w:val="center"/>
          </w:tcPr>
          <w:p w14:paraId="6F4F6EBF" w14:textId="77777777" w:rsidR="00763C6D" w:rsidRPr="00763C6D" w:rsidRDefault="00763C6D" w:rsidP="00763C6D">
            <w:pPr>
              <w:pStyle w:val="TableTextNoSpace"/>
              <w:jc w:val="center"/>
              <w:rPr>
                <w:b/>
              </w:rPr>
            </w:pPr>
          </w:p>
        </w:tc>
        <w:tc>
          <w:tcPr>
            <w:tcW w:w="426" w:type="dxa"/>
            <w:shd w:val="clear" w:color="auto" w:fill="auto"/>
          </w:tcPr>
          <w:p w14:paraId="55588015" w14:textId="70DFE8B0" w:rsidR="00763C6D" w:rsidRDefault="00763C6D" w:rsidP="00763C6D">
            <w:pPr>
              <w:pStyle w:val="TableTextNoSpace"/>
            </w:pPr>
            <w:r>
              <w:rPr>
                <w:rFonts w:ascii="Calibri" w:hAnsi="Calibri" w:cs="Arial"/>
                <w:b/>
                <w:bCs/>
                <w:sz w:val="18"/>
                <w:szCs w:val="18"/>
              </w:rPr>
              <w:t>6</w:t>
            </w:r>
          </w:p>
        </w:tc>
        <w:tc>
          <w:tcPr>
            <w:tcW w:w="3563" w:type="dxa"/>
            <w:shd w:val="clear" w:color="auto" w:fill="auto"/>
          </w:tcPr>
          <w:p w14:paraId="3F3698A5" w14:textId="58EEAE0F" w:rsidR="00763C6D" w:rsidRDefault="00763C6D" w:rsidP="00763C6D">
            <w:pPr>
              <w:pStyle w:val="TableTextNoSpace"/>
            </w:pPr>
            <w:r>
              <w:rPr>
                <w:rFonts w:ascii="Calibri" w:hAnsi="Calibri" w:cs="Arial"/>
                <w:sz w:val="18"/>
                <w:szCs w:val="18"/>
              </w:rPr>
              <w:t>Establishment of management bodies</w:t>
            </w:r>
          </w:p>
        </w:tc>
        <w:tc>
          <w:tcPr>
            <w:tcW w:w="4536" w:type="dxa"/>
            <w:shd w:val="clear" w:color="auto" w:fill="auto"/>
          </w:tcPr>
          <w:p w14:paraId="2C8AC4D0" w14:textId="6C3C31DD" w:rsidR="00763C6D" w:rsidRDefault="0057677C" w:rsidP="00763C6D">
            <w:pPr>
              <w:pStyle w:val="TableTextNoSpace"/>
            </w:pPr>
            <w:r>
              <w:rPr>
                <w:rFonts w:ascii="Calibri" w:hAnsi="Calibri" w:cs="Arial"/>
                <w:sz w:val="18"/>
                <w:szCs w:val="18"/>
              </w:rPr>
              <w:t>F</w:t>
            </w:r>
            <w:r w:rsidR="00763C6D">
              <w:rPr>
                <w:rFonts w:ascii="Calibri" w:hAnsi="Calibri" w:cs="Arial"/>
                <w:sz w:val="18"/>
                <w:szCs w:val="18"/>
              </w:rPr>
              <w:t>easibility studies, management plans etc.</w:t>
            </w:r>
          </w:p>
        </w:tc>
      </w:tr>
      <w:tr w:rsidR="00763C6D" w14:paraId="440E3202" w14:textId="77777777" w:rsidTr="00A824E6">
        <w:trPr>
          <w:trHeight w:val="1220"/>
        </w:trPr>
        <w:tc>
          <w:tcPr>
            <w:tcW w:w="564" w:type="dxa"/>
            <w:vMerge/>
            <w:shd w:val="clear" w:color="auto" w:fill="auto"/>
            <w:textDirection w:val="btLr"/>
            <w:vAlign w:val="center"/>
          </w:tcPr>
          <w:p w14:paraId="473653A6" w14:textId="77777777" w:rsidR="00763C6D" w:rsidRPr="00763C6D" w:rsidRDefault="00763C6D" w:rsidP="00763C6D">
            <w:pPr>
              <w:pStyle w:val="TableTextNoSpace"/>
              <w:jc w:val="center"/>
              <w:rPr>
                <w:b/>
              </w:rPr>
            </w:pPr>
          </w:p>
        </w:tc>
        <w:tc>
          <w:tcPr>
            <w:tcW w:w="426" w:type="dxa"/>
            <w:shd w:val="clear" w:color="auto" w:fill="auto"/>
          </w:tcPr>
          <w:p w14:paraId="0A33E7AB" w14:textId="09F5923F" w:rsidR="00763C6D" w:rsidRDefault="00763C6D" w:rsidP="00763C6D">
            <w:pPr>
              <w:pStyle w:val="TableTextNoSpace"/>
            </w:pPr>
            <w:r>
              <w:rPr>
                <w:rFonts w:ascii="Calibri" w:hAnsi="Calibri" w:cs="Arial"/>
                <w:b/>
                <w:bCs/>
                <w:sz w:val="18"/>
                <w:szCs w:val="18"/>
              </w:rPr>
              <w:t>7</w:t>
            </w:r>
          </w:p>
        </w:tc>
        <w:tc>
          <w:tcPr>
            <w:tcW w:w="3563" w:type="dxa"/>
            <w:shd w:val="clear" w:color="auto" w:fill="auto"/>
          </w:tcPr>
          <w:p w14:paraId="044B2EDE" w14:textId="2CF8381B" w:rsidR="00763C6D" w:rsidRDefault="00763C6D" w:rsidP="00763C6D">
            <w:pPr>
              <w:pStyle w:val="TableTextNoSpace"/>
            </w:pPr>
            <w:r>
              <w:rPr>
                <w:rFonts w:ascii="Calibri" w:hAnsi="Calibri" w:cs="Arial"/>
                <w:sz w:val="18"/>
                <w:szCs w:val="18"/>
              </w:rPr>
              <w:t>Consultation – public meetings, liaison with landowners</w:t>
            </w:r>
          </w:p>
        </w:tc>
        <w:tc>
          <w:tcPr>
            <w:tcW w:w="4536" w:type="dxa"/>
            <w:shd w:val="clear" w:color="auto" w:fill="auto"/>
          </w:tcPr>
          <w:p w14:paraId="1AC1A9FB" w14:textId="5C51D741" w:rsidR="00763C6D" w:rsidRDefault="0057677C" w:rsidP="00763C6D">
            <w:pPr>
              <w:pStyle w:val="TableTextNoSpace"/>
            </w:pPr>
            <w:r>
              <w:rPr>
                <w:rFonts w:ascii="Calibri" w:hAnsi="Calibri" w:cs="Arial"/>
                <w:sz w:val="18"/>
                <w:szCs w:val="18"/>
              </w:rPr>
              <w:t>Organisation</w:t>
            </w:r>
            <w:r w:rsidR="00763C6D">
              <w:rPr>
                <w:rFonts w:ascii="Calibri" w:hAnsi="Calibri" w:cs="Arial"/>
                <w:sz w:val="18"/>
                <w:szCs w:val="18"/>
              </w:rPr>
              <w:t xml:space="preserve"> of meetings and workshops, publication of consultation outcomes, financial support of stakeholders, etc.</w:t>
            </w:r>
          </w:p>
          <w:p w14:paraId="5351A069" w14:textId="12A2CE77" w:rsidR="00763C6D" w:rsidRDefault="00763C6D" w:rsidP="00763C6D">
            <w:pPr>
              <w:pStyle w:val="TableTextNoSpace"/>
            </w:pPr>
            <w:r>
              <w:rPr>
                <w:rFonts w:ascii="Calibri" w:hAnsi="Calibri" w:cs="Arial"/>
                <w:sz w:val="18"/>
                <w:szCs w:val="18"/>
              </w:rPr>
              <w:t>Can include networking activities (travel, meetings and workshops).</w:t>
            </w:r>
          </w:p>
        </w:tc>
      </w:tr>
      <w:tr w:rsidR="00763C6D" w14:paraId="1710D499" w14:textId="77777777" w:rsidTr="00A824E6">
        <w:tc>
          <w:tcPr>
            <w:tcW w:w="564" w:type="dxa"/>
            <w:vMerge/>
            <w:shd w:val="clear" w:color="auto" w:fill="auto"/>
            <w:textDirection w:val="btLr"/>
            <w:vAlign w:val="center"/>
          </w:tcPr>
          <w:p w14:paraId="710F5E58" w14:textId="77777777" w:rsidR="00763C6D" w:rsidRPr="00763C6D" w:rsidRDefault="00763C6D" w:rsidP="00763C6D">
            <w:pPr>
              <w:pStyle w:val="TableTextNoSpace"/>
              <w:jc w:val="center"/>
              <w:rPr>
                <w:b/>
              </w:rPr>
            </w:pPr>
          </w:p>
        </w:tc>
        <w:tc>
          <w:tcPr>
            <w:tcW w:w="426" w:type="dxa"/>
            <w:shd w:val="clear" w:color="auto" w:fill="auto"/>
          </w:tcPr>
          <w:p w14:paraId="75A3557E" w14:textId="5AA685C6" w:rsidR="00763C6D" w:rsidRDefault="00763C6D" w:rsidP="00763C6D">
            <w:pPr>
              <w:pStyle w:val="TableTextNoSpace"/>
            </w:pPr>
            <w:r>
              <w:rPr>
                <w:rFonts w:ascii="Calibri" w:hAnsi="Calibri" w:cs="Arial"/>
                <w:b/>
                <w:bCs/>
                <w:sz w:val="18"/>
                <w:szCs w:val="18"/>
              </w:rPr>
              <w:t>8</w:t>
            </w:r>
          </w:p>
        </w:tc>
        <w:tc>
          <w:tcPr>
            <w:tcW w:w="3563" w:type="dxa"/>
            <w:shd w:val="clear" w:color="auto" w:fill="auto"/>
          </w:tcPr>
          <w:p w14:paraId="1613C8F9" w14:textId="4166F198" w:rsidR="00763C6D" w:rsidRDefault="00763C6D" w:rsidP="00763C6D">
            <w:pPr>
              <w:pStyle w:val="TableTextNoSpace"/>
            </w:pPr>
            <w:r>
              <w:rPr>
                <w:rFonts w:ascii="Calibri" w:hAnsi="Calibri" w:cs="Arial"/>
                <w:sz w:val="18"/>
                <w:szCs w:val="18"/>
              </w:rPr>
              <w:t>Review of management plans, strategies and schemes</w:t>
            </w:r>
          </w:p>
        </w:tc>
        <w:tc>
          <w:tcPr>
            <w:tcW w:w="4536" w:type="dxa"/>
            <w:shd w:val="clear" w:color="auto" w:fill="auto"/>
          </w:tcPr>
          <w:p w14:paraId="1011B839" w14:textId="254F26F1" w:rsidR="00763C6D" w:rsidRDefault="00763C6D" w:rsidP="00763C6D">
            <w:pPr>
              <w:pStyle w:val="TableTextNoSpace"/>
            </w:pPr>
            <w:r>
              <w:rPr>
                <w:rFonts w:ascii="Calibri" w:hAnsi="Calibri" w:cs="Arial"/>
                <w:sz w:val="18"/>
                <w:szCs w:val="18"/>
              </w:rPr>
              <w:t>Review and updating of management plans and strategies.</w:t>
            </w:r>
          </w:p>
        </w:tc>
      </w:tr>
      <w:tr w:rsidR="00763C6D" w14:paraId="36667EAC" w14:textId="77777777" w:rsidTr="00A824E6">
        <w:tc>
          <w:tcPr>
            <w:tcW w:w="564" w:type="dxa"/>
            <w:vMerge/>
            <w:shd w:val="clear" w:color="auto" w:fill="auto"/>
            <w:textDirection w:val="btLr"/>
            <w:vAlign w:val="center"/>
          </w:tcPr>
          <w:p w14:paraId="7BB8B085" w14:textId="77777777" w:rsidR="00763C6D" w:rsidRPr="00763C6D" w:rsidRDefault="00763C6D" w:rsidP="00763C6D">
            <w:pPr>
              <w:pStyle w:val="TableTextNoSpace"/>
              <w:jc w:val="center"/>
              <w:rPr>
                <w:b/>
              </w:rPr>
            </w:pPr>
          </w:p>
        </w:tc>
        <w:tc>
          <w:tcPr>
            <w:tcW w:w="426" w:type="dxa"/>
            <w:shd w:val="clear" w:color="auto" w:fill="auto"/>
          </w:tcPr>
          <w:p w14:paraId="7758CE55" w14:textId="6895B368" w:rsidR="00763C6D" w:rsidRDefault="00763C6D" w:rsidP="00763C6D">
            <w:pPr>
              <w:pStyle w:val="TableTextNoSpace"/>
            </w:pPr>
            <w:r>
              <w:rPr>
                <w:rFonts w:ascii="Calibri" w:hAnsi="Calibri" w:cs="Arial"/>
                <w:b/>
                <w:bCs/>
                <w:sz w:val="18"/>
                <w:szCs w:val="18"/>
              </w:rPr>
              <w:t>9</w:t>
            </w:r>
          </w:p>
        </w:tc>
        <w:tc>
          <w:tcPr>
            <w:tcW w:w="3563" w:type="dxa"/>
            <w:shd w:val="clear" w:color="auto" w:fill="auto"/>
          </w:tcPr>
          <w:p w14:paraId="24F08200" w14:textId="52107E0A" w:rsidR="00763C6D" w:rsidRDefault="00763C6D" w:rsidP="00763C6D">
            <w:pPr>
              <w:pStyle w:val="TableTextNoSpace"/>
            </w:pPr>
            <w:r>
              <w:rPr>
                <w:rFonts w:ascii="Calibri" w:hAnsi="Calibri" w:cs="Arial"/>
                <w:sz w:val="18"/>
                <w:szCs w:val="18"/>
              </w:rPr>
              <w:t>Running costs of management bodies (maintenance of buildings and equipment)</w:t>
            </w:r>
          </w:p>
        </w:tc>
        <w:tc>
          <w:tcPr>
            <w:tcW w:w="4536" w:type="dxa"/>
            <w:shd w:val="clear" w:color="auto" w:fill="auto"/>
          </w:tcPr>
          <w:p w14:paraId="39B7FBDD" w14:textId="5DC016A1" w:rsidR="00763C6D" w:rsidRDefault="00763C6D" w:rsidP="00763C6D">
            <w:pPr>
              <w:pStyle w:val="TableTextNoSpace"/>
            </w:pPr>
            <w:r>
              <w:rPr>
                <w:rFonts w:ascii="Calibri" w:hAnsi="Calibri" w:cs="Arial"/>
                <w:sz w:val="18"/>
                <w:szCs w:val="18"/>
              </w:rPr>
              <w:t>Including: running costs incurred to meet depreciation of infrastructure, consumables,  travel expenses, rents and leases etc.</w:t>
            </w:r>
          </w:p>
        </w:tc>
      </w:tr>
      <w:tr w:rsidR="00763C6D" w14:paraId="062C6756" w14:textId="77777777" w:rsidTr="00A824E6">
        <w:tc>
          <w:tcPr>
            <w:tcW w:w="564" w:type="dxa"/>
            <w:vMerge/>
            <w:shd w:val="clear" w:color="auto" w:fill="auto"/>
            <w:textDirection w:val="btLr"/>
            <w:vAlign w:val="center"/>
          </w:tcPr>
          <w:p w14:paraId="151655EB" w14:textId="77777777" w:rsidR="00763C6D" w:rsidRPr="00763C6D" w:rsidRDefault="00763C6D" w:rsidP="00763C6D">
            <w:pPr>
              <w:pStyle w:val="TableTextNoSpace"/>
              <w:jc w:val="center"/>
              <w:rPr>
                <w:b/>
              </w:rPr>
            </w:pPr>
          </w:p>
        </w:tc>
        <w:tc>
          <w:tcPr>
            <w:tcW w:w="426" w:type="dxa"/>
            <w:shd w:val="clear" w:color="auto" w:fill="auto"/>
          </w:tcPr>
          <w:p w14:paraId="14EACC26" w14:textId="2D3105E4" w:rsidR="00763C6D" w:rsidRDefault="00763C6D" w:rsidP="00763C6D">
            <w:pPr>
              <w:pStyle w:val="TableTextNoSpace"/>
            </w:pPr>
            <w:r>
              <w:rPr>
                <w:rFonts w:ascii="Calibri" w:hAnsi="Calibri" w:cs="Arial"/>
                <w:b/>
                <w:bCs/>
                <w:sz w:val="18"/>
                <w:szCs w:val="18"/>
              </w:rPr>
              <w:t>10</w:t>
            </w:r>
          </w:p>
        </w:tc>
        <w:tc>
          <w:tcPr>
            <w:tcW w:w="3563" w:type="dxa"/>
            <w:shd w:val="clear" w:color="auto" w:fill="auto"/>
          </w:tcPr>
          <w:p w14:paraId="0EA694FD" w14:textId="4CBBC8C7" w:rsidR="00763C6D" w:rsidRDefault="00763C6D" w:rsidP="00763C6D">
            <w:pPr>
              <w:pStyle w:val="TableTextNoSpace"/>
            </w:pPr>
            <w:r>
              <w:rPr>
                <w:rFonts w:ascii="Calibri" w:hAnsi="Calibri" w:cs="Arial"/>
                <w:sz w:val="18"/>
                <w:szCs w:val="18"/>
              </w:rPr>
              <w:t>Maintenance of facilities for public access and use of the sites, interpretation, observatories and kiosks etc.</w:t>
            </w:r>
          </w:p>
        </w:tc>
        <w:tc>
          <w:tcPr>
            <w:tcW w:w="4536" w:type="dxa"/>
            <w:shd w:val="clear" w:color="auto" w:fill="auto"/>
          </w:tcPr>
          <w:p w14:paraId="27AE76D1" w14:textId="5B126909" w:rsidR="00763C6D" w:rsidRDefault="00763C6D" w:rsidP="00763C6D">
            <w:pPr>
              <w:pStyle w:val="TableTextNoSpace"/>
            </w:pPr>
            <w:r>
              <w:rPr>
                <w:rFonts w:ascii="Calibri" w:hAnsi="Calibri" w:cs="Arial"/>
                <w:sz w:val="18"/>
                <w:szCs w:val="18"/>
              </w:rPr>
              <w:t>Including costs related to guides, maps, related personnel.</w:t>
            </w:r>
          </w:p>
        </w:tc>
      </w:tr>
      <w:tr w:rsidR="00763C6D" w14:paraId="6414292D" w14:textId="77777777" w:rsidTr="00A824E6">
        <w:tc>
          <w:tcPr>
            <w:tcW w:w="564" w:type="dxa"/>
            <w:vMerge/>
            <w:shd w:val="clear" w:color="auto" w:fill="auto"/>
            <w:textDirection w:val="btLr"/>
            <w:vAlign w:val="center"/>
          </w:tcPr>
          <w:p w14:paraId="70851499" w14:textId="77777777" w:rsidR="00763C6D" w:rsidRPr="00763C6D" w:rsidRDefault="00763C6D" w:rsidP="00763C6D">
            <w:pPr>
              <w:pStyle w:val="TableTextNoSpace"/>
              <w:jc w:val="center"/>
              <w:rPr>
                <w:b/>
              </w:rPr>
            </w:pPr>
          </w:p>
        </w:tc>
        <w:tc>
          <w:tcPr>
            <w:tcW w:w="426" w:type="dxa"/>
            <w:shd w:val="clear" w:color="auto" w:fill="auto"/>
          </w:tcPr>
          <w:p w14:paraId="3C7420ED" w14:textId="6C5469F0" w:rsidR="00763C6D" w:rsidRDefault="00763C6D" w:rsidP="00763C6D">
            <w:pPr>
              <w:pStyle w:val="TableTextNoSpace"/>
            </w:pPr>
            <w:r>
              <w:rPr>
                <w:rFonts w:ascii="Calibri" w:hAnsi="Calibri" w:cs="Arial"/>
                <w:b/>
                <w:bCs/>
                <w:sz w:val="18"/>
                <w:szCs w:val="18"/>
              </w:rPr>
              <w:t>11</w:t>
            </w:r>
          </w:p>
        </w:tc>
        <w:tc>
          <w:tcPr>
            <w:tcW w:w="3563" w:type="dxa"/>
            <w:shd w:val="clear" w:color="auto" w:fill="auto"/>
          </w:tcPr>
          <w:p w14:paraId="4E1FFAF0" w14:textId="7D711D10" w:rsidR="00763C6D" w:rsidRDefault="00763C6D" w:rsidP="00763C6D">
            <w:pPr>
              <w:pStyle w:val="TableTextNoSpace"/>
            </w:pPr>
            <w:r>
              <w:rPr>
                <w:rFonts w:ascii="Calibri" w:hAnsi="Calibri" w:cs="Arial"/>
                <w:sz w:val="18"/>
                <w:szCs w:val="18"/>
              </w:rPr>
              <w:t>Staff (conservation/project officers, wardens/rangers, workers)</w:t>
            </w:r>
          </w:p>
        </w:tc>
        <w:tc>
          <w:tcPr>
            <w:tcW w:w="4536" w:type="dxa"/>
            <w:shd w:val="clear" w:color="auto" w:fill="auto"/>
          </w:tcPr>
          <w:p w14:paraId="3BEAB708" w14:textId="4ABBCF13" w:rsidR="00763C6D" w:rsidRDefault="00763C6D" w:rsidP="0057677C">
            <w:pPr>
              <w:pStyle w:val="TableTextNoSpace"/>
            </w:pPr>
            <w:r>
              <w:rPr>
                <w:rFonts w:ascii="Calibri" w:hAnsi="Calibri" w:cs="Arial"/>
                <w:sz w:val="18"/>
                <w:szCs w:val="18"/>
              </w:rPr>
              <w:t xml:space="preserve">Ongoing </w:t>
            </w:r>
            <w:r w:rsidR="0057677C">
              <w:rPr>
                <w:rFonts w:ascii="Calibri" w:hAnsi="Calibri" w:cs="Arial"/>
                <w:sz w:val="18"/>
                <w:szCs w:val="18"/>
              </w:rPr>
              <w:t xml:space="preserve">staffing requirements </w:t>
            </w:r>
          </w:p>
        </w:tc>
      </w:tr>
      <w:tr w:rsidR="00763C6D" w14:paraId="550CA1BB" w14:textId="77777777" w:rsidTr="00A824E6">
        <w:tc>
          <w:tcPr>
            <w:tcW w:w="564" w:type="dxa"/>
            <w:vMerge w:val="restart"/>
            <w:shd w:val="clear" w:color="auto" w:fill="auto"/>
            <w:textDirection w:val="btLr"/>
            <w:vAlign w:val="center"/>
          </w:tcPr>
          <w:p w14:paraId="098908C5" w14:textId="61535FD0" w:rsidR="00763C6D" w:rsidRPr="00763C6D" w:rsidRDefault="00763C6D" w:rsidP="00763C6D">
            <w:pPr>
              <w:pStyle w:val="TableTextNoSpace"/>
              <w:jc w:val="center"/>
              <w:rPr>
                <w:b/>
              </w:rPr>
            </w:pPr>
            <w:r w:rsidRPr="00763C6D">
              <w:rPr>
                <w:b/>
              </w:rPr>
              <w:t xml:space="preserve">Ongoing </w:t>
            </w:r>
            <w:r w:rsidR="00A824E6">
              <w:rPr>
                <w:b/>
              </w:rPr>
              <w:t xml:space="preserve">habitat </w:t>
            </w:r>
            <w:r w:rsidRPr="00763C6D">
              <w:rPr>
                <w:b/>
              </w:rPr>
              <w:t>management and monitoring</w:t>
            </w:r>
          </w:p>
        </w:tc>
        <w:tc>
          <w:tcPr>
            <w:tcW w:w="426" w:type="dxa"/>
            <w:shd w:val="clear" w:color="auto" w:fill="auto"/>
          </w:tcPr>
          <w:p w14:paraId="69222828" w14:textId="58AF647B" w:rsidR="00763C6D" w:rsidRDefault="00763C6D" w:rsidP="00763C6D">
            <w:pPr>
              <w:pStyle w:val="TableTextNoSpace"/>
            </w:pPr>
            <w:r>
              <w:rPr>
                <w:rFonts w:ascii="Calibri" w:hAnsi="Calibri" w:cs="Arial"/>
                <w:b/>
                <w:bCs/>
                <w:sz w:val="18"/>
                <w:szCs w:val="18"/>
              </w:rPr>
              <w:t>12</w:t>
            </w:r>
          </w:p>
        </w:tc>
        <w:tc>
          <w:tcPr>
            <w:tcW w:w="3563" w:type="dxa"/>
            <w:shd w:val="clear" w:color="auto" w:fill="auto"/>
          </w:tcPr>
          <w:p w14:paraId="5E6B8861" w14:textId="5BAE9B53" w:rsidR="00763C6D" w:rsidRDefault="00763C6D" w:rsidP="00763C6D">
            <w:pPr>
              <w:pStyle w:val="TableTextNoSpace"/>
            </w:pPr>
            <w:r>
              <w:rPr>
                <w:rFonts w:ascii="Calibri" w:hAnsi="Calibri" w:cs="Arial"/>
                <w:sz w:val="18"/>
                <w:szCs w:val="18"/>
              </w:rPr>
              <w:t>Conservation management measures – maintenance and improvement of habitats’ favourable conservation status</w:t>
            </w:r>
          </w:p>
        </w:tc>
        <w:tc>
          <w:tcPr>
            <w:tcW w:w="4536" w:type="dxa"/>
            <w:shd w:val="clear" w:color="auto" w:fill="auto"/>
          </w:tcPr>
          <w:p w14:paraId="5E5BE91F" w14:textId="5489946B" w:rsidR="00763C6D" w:rsidRDefault="00763C6D" w:rsidP="00763C6D">
            <w:pPr>
              <w:pStyle w:val="TableTextNoSpace"/>
            </w:pPr>
            <w:r>
              <w:rPr>
                <w:rFonts w:ascii="Calibri" w:hAnsi="Calibri" w:cs="Arial"/>
                <w:sz w:val="18"/>
                <w:szCs w:val="18"/>
              </w:rPr>
              <w:t>Including restoration work, provision of wildlife passages, management of specific habitats, and preparation of management plans.</w:t>
            </w:r>
          </w:p>
        </w:tc>
      </w:tr>
      <w:tr w:rsidR="00763C6D" w14:paraId="232E357C" w14:textId="77777777" w:rsidTr="00A824E6">
        <w:tc>
          <w:tcPr>
            <w:tcW w:w="564" w:type="dxa"/>
            <w:vMerge/>
            <w:shd w:val="clear" w:color="auto" w:fill="auto"/>
            <w:textDirection w:val="btLr"/>
            <w:vAlign w:val="center"/>
          </w:tcPr>
          <w:p w14:paraId="69ABA814" w14:textId="77777777" w:rsidR="00763C6D" w:rsidRPr="00763C6D" w:rsidRDefault="00763C6D" w:rsidP="00763C6D">
            <w:pPr>
              <w:pStyle w:val="TableTextNoSpace"/>
              <w:jc w:val="center"/>
              <w:rPr>
                <w:b/>
              </w:rPr>
            </w:pPr>
          </w:p>
        </w:tc>
        <w:tc>
          <w:tcPr>
            <w:tcW w:w="426" w:type="dxa"/>
            <w:shd w:val="clear" w:color="auto" w:fill="auto"/>
          </w:tcPr>
          <w:p w14:paraId="795BFD80" w14:textId="3D0FC1D6" w:rsidR="00763C6D" w:rsidRDefault="00763C6D" w:rsidP="00763C6D">
            <w:pPr>
              <w:pStyle w:val="TableTextNoSpace"/>
            </w:pPr>
            <w:r>
              <w:rPr>
                <w:rFonts w:ascii="Calibri" w:hAnsi="Calibri" w:cs="Arial"/>
                <w:b/>
                <w:bCs/>
                <w:sz w:val="18"/>
                <w:szCs w:val="18"/>
              </w:rPr>
              <w:t>13</w:t>
            </w:r>
          </w:p>
        </w:tc>
        <w:tc>
          <w:tcPr>
            <w:tcW w:w="3563" w:type="dxa"/>
            <w:shd w:val="clear" w:color="auto" w:fill="auto"/>
          </w:tcPr>
          <w:p w14:paraId="59190977" w14:textId="208BF6FA" w:rsidR="00763C6D" w:rsidRDefault="00763C6D" w:rsidP="00763C6D">
            <w:pPr>
              <w:pStyle w:val="TableTextNoSpace"/>
            </w:pPr>
            <w:r>
              <w:rPr>
                <w:rFonts w:ascii="Calibri" w:hAnsi="Calibri" w:cs="Arial"/>
                <w:sz w:val="18"/>
                <w:szCs w:val="18"/>
              </w:rPr>
              <w:t>Conservation management measures – maintenance and improvement of species’ favourable conservation status</w:t>
            </w:r>
          </w:p>
        </w:tc>
        <w:tc>
          <w:tcPr>
            <w:tcW w:w="4536" w:type="dxa"/>
            <w:shd w:val="clear" w:color="auto" w:fill="auto"/>
          </w:tcPr>
          <w:p w14:paraId="308CFEB6" w14:textId="348E8C31" w:rsidR="00763C6D" w:rsidRDefault="00763C6D" w:rsidP="00763C6D">
            <w:pPr>
              <w:pStyle w:val="TableTextNoSpace"/>
            </w:pPr>
            <w:r>
              <w:rPr>
                <w:rFonts w:ascii="Calibri" w:hAnsi="Calibri" w:cs="Arial"/>
                <w:sz w:val="18"/>
                <w:szCs w:val="18"/>
              </w:rPr>
              <w:t>Including restoration work, provision of wildlife passages, management of specific species (flora and fauna) and plans.</w:t>
            </w:r>
          </w:p>
        </w:tc>
      </w:tr>
      <w:tr w:rsidR="00763C6D" w14:paraId="706BCAE8" w14:textId="77777777" w:rsidTr="00A824E6">
        <w:tc>
          <w:tcPr>
            <w:tcW w:w="564" w:type="dxa"/>
            <w:vMerge/>
            <w:shd w:val="clear" w:color="auto" w:fill="auto"/>
            <w:textDirection w:val="btLr"/>
            <w:vAlign w:val="center"/>
          </w:tcPr>
          <w:p w14:paraId="3EC68CBF" w14:textId="77777777" w:rsidR="00763C6D" w:rsidRPr="00763C6D" w:rsidRDefault="00763C6D" w:rsidP="00763C6D">
            <w:pPr>
              <w:pStyle w:val="TableTextNoSpace"/>
              <w:jc w:val="center"/>
              <w:rPr>
                <w:b/>
              </w:rPr>
            </w:pPr>
          </w:p>
        </w:tc>
        <w:tc>
          <w:tcPr>
            <w:tcW w:w="426" w:type="dxa"/>
            <w:shd w:val="clear" w:color="auto" w:fill="auto"/>
          </w:tcPr>
          <w:p w14:paraId="621245CA" w14:textId="5BA5168E" w:rsidR="00763C6D" w:rsidRDefault="00763C6D" w:rsidP="00763C6D">
            <w:pPr>
              <w:pStyle w:val="TableTextNoSpace"/>
            </w:pPr>
            <w:r>
              <w:rPr>
                <w:rFonts w:ascii="Calibri" w:hAnsi="Calibri" w:cs="Arial"/>
                <w:b/>
                <w:bCs/>
                <w:sz w:val="18"/>
                <w:szCs w:val="18"/>
              </w:rPr>
              <w:t>14</w:t>
            </w:r>
          </w:p>
        </w:tc>
        <w:tc>
          <w:tcPr>
            <w:tcW w:w="3563" w:type="dxa"/>
            <w:shd w:val="clear" w:color="auto" w:fill="auto"/>
          </w:tcPr>
          <w:p w14:paraId="720C3E61" w14:textId="675F2EDC" w:rsidR="00763C6D" w:rsidRDefault="00763C6D" w:rsidP="00763C6D">
            <w:pPr>
              <w:pStyle w:val="TableTextNoSpace"/>
            </w:pPr>
            <w:r>
              <w:rPr>
                <w:rFonts w:ascii="Calibri" w:hAnsi="Calibri" w:cs="Arial"/>
                <w:sz w:val="18"/>
                <w:szCs w:val="18"/>
              </w:rPr>
              <w:t>Conservation management measures in relation to invasive alien species (IAS)</w:t>
            </w:r>
          </w:p>
        </w:tc>
        <w:tc>
          <w:tcPr>
            <w:tcW w:w="4536" w:type="dxa"/>
            <w:shd w:val="clear" w:color="auto" w:fill="auto"/>
          </w:tcPr>
          <w:p w14:paraId="5AC213EF" w14:textId="49958FA1" w:rsidR="00763C6D" w:rsidRDefault="00763C6D" w:rsidP="00763C6D">
            <w:pPr>
              <w:pStyle w:val="TableTextNoSpace"/>
            </w:pPr>
            <w:r>
              <w:rPr>
                <w:rFonts w:ascii="Calibri" w:hAnsi="Calibri" w:cs="Arial"/>
                <w:sz w:val="18"/>
                <w:szCs w:val="18"/>
              </w:rPr>
              <w:t>Including restoration work, infrastructure, management of specific species, and preparation of management plans.</w:t>
            </w:r>
          </w:p>
        </w:tc>
      </w:tr>
      <w:tr w:rsidR="00763C6D" w14:paraId="572982DB" w14:textId="77777777" w:rsidTr="00BE458E">
        <w:trPr>
          <w:trHeight w:val="2862"/>
        </w:trPr>
        <w:tc>
          <w:tcPr>
            <w:tcW w:w="564" w:type="dxa"/>
            <w:vMerge/>
            <w:tcBorders>
              <w:bottom w:val="single" w:sz="2" w:space="0" w:color="0067AB"/>
            </w:tcBorders>
            <w:shd w:val="clear" w:color="auto" w:fill="auto"/>
            <w:textDirection w:val="btLr"/>
            <w:vAlign w:val="center"/>
          </w:tcPr>
          <w:p w14:paraId="725406DC" w14:textId="77777777" w:rsidR="00763C6D" w:rsidRPr="00763C6D" w:rsidRDefault="00763C6D" w:rsidP="00763C6D">
            <w:pPr>
              <w:pStyle w:val="TableTextNoSpace"/>
              <w:jc w:val="center"/>
              <w:rPr>
                <w:b/>
              </w:rPr>
            </w:pPr>
          </w:p>
        </w:tc>
        <w:tc>
          <w:tcPr>
            <w:tcW w:w="426" w:type="dxa"/>
            <w:tcBorders>
              <w:bottom w:val="single" w:sz="2" w:space="0" w:color="0067AB"/>
            </w:tcBorders>
            <w:shd w:val="clear" w:color="auto" w:fill="auto"/>
          </w:tcPr>
          <w:p w14:paraId="1C982B5F" w14:textId="09B3E7F0" w:rsidR="00763C6D" w:rsidRDefault="00763C6D" w:rsidP="00763C6D">
            <w:pPr>
              <w:pStyle w:val="TableTextNoSpace"/>
            </w:pPr>
            <w:r>
              <w:rPr>
                <w:rFonts w:ascii="Calibri" w:hAnsi="Calibri" w:cs="Arial"/>
                <w:b/>
                <w:bCs/>
                <w:sz w:val="18"/>
                <w:szCs w:val="18"/>
              </w:rPr>
              <w:t>15</w:t>
            </w:r>
          </w:p>
        </w:tc>
        <w:tc>
          <w:tcPr>
            <w:tcW w:w="3563" w:type="dxa"/>
            <w:tcBorders>
              <w:bottom w:val="single" w:sz="2" w:space="0" w:color="0067AB"/>
            </w:tcBorders>
            <w:shd w:val="clear" w:color="auto" w:fill="auto"/>
          </w:tcPr>
          <w:p w14:paraId="14C4A252" w14:textId="55D58A7F" w:rsidR="00763C6D" w:rsidRDefault="00763C6D" w:rsidP="00763C6D">
            <w:pPr>
              <w:pStyle w:val="TableTextNoSpace"/>
            </w:pPr>
            <w:r>
              <w:rPr>
                <w:rFonts w:ascii="Calibri" w:hAnsi="Calibri" w:cs="Arial"/>
                <w:sz w:val="18"/>
                <w:szCs w:val="18"/>
              </w:rPr>
              <w:t>Implementation of management schemes and agreements with owners and managers of land or water to follow particular prescriptions.</w:t>
            </w:r>
          </w:p>
        </w:tc>
        <w:tc>
          <w:tcPr>
            <w:tcW w:w="4536" w:type="dxa"/>
            <w:tcBorders>
              <w:bottom w:val="single" w:sz="2" w:space="0" w:color="0067AB"/>
            </w:tcBorders>
            <w:shd w:val="clear" w:color="auto" w:fill="auto"/>
          </w:tcPr>
          <w:p w14:paraId="68401B1D" w14:textId="77777777" w:rsidR="00763C6D" w:rsidRDefault="00763C6D" w:rsidP="00763C6D">
            <w:pPr>
              <w:pStyle w:val="TableTextNoSpace"/>
            </w:pPr>
            <w:r>
              <w:rPr>
                <w:rFonts w:ascii="Calibri" w:hAnsi="Calibri" w:cs="Arial"/>
                <w:sz w:val="18"/>
                <w:szCs w:val="18"/>
              </w:rPr>
              <w:t>Includes:</w:t>
            </w:r>
          </w:p>
          <w:p w14:paraId="7E5D1C58" w14:textId="432BB2E0" w:rsidR="00763C6D" w:rsidRDefault="00763C6D" w:rsidP="00763C6D">
            <w:pPr>
              <w:pStyle w:val="TableTextNoSpace"/>
            </w:pPr>
            <w:r>
              <w:rPr>
                <w:rFonts w:ascii="Symbol" w:hAnsi="Symbol" w:cs="Arial"/>
                <w:sz w:val="18"/>
                <w:szCs w:val="18"/>
              </w:rPr>
              <w:t></w:t>
            </w:r>
            <w:r>
              <w:rPr>
                <w:sz w:val="14"/>
                <w:szCs w:val="14"/>
              </w:rPr>
              <w:t> </w:t>
            </w:r>
            <w:r>
              <w:rPr>
                <w:rFonts w:ascii="Calibri" w:hAnsi="Calibri" w:cs="Arial"/>
                <w:i/>
                <w:iCs/>
                <w:sz w:val="18"/>
                <w:szCs w:val="18"/>
              </w:rPr>
              <w:t>Agri-environmental measures</w:t>
            </w:r>
            <w:r>
              <w:rPr>
                <w:rFonts w:ascii="Calibri" w:hAnsi="Calibri" w:cs="Arial"/>
                <w:sz w:val="18"/>
                <w:szCs w:val="18"/>
              </w:rPr>
              <w:t xml:space="preserve">, e.g. wildlife-friendly </w:t>
            </w:r>
            <w:r w:rsidR="00A824E6">
              <w:rPr>
                <w:rFonts w:ascii="Calibri" w:hAnsi="Calibri" w:cs="Arial"/>
                <w:sz w:val="18"/>
                <w:szCs w:val="18"/>
              </w:rPr>
              <w:t>p</w:t>
            </w:r>
            <w:r>
              <w:rPr>
                <w:rFonts w:ascii="Calibri" w:hAnsi="Calibri" w:cs="Arial"/>
                <w:sz w:val="18"/>
                <w:szCs w:val="18"/>
              </w:rPr>
              <w:t>roduction methods, habitat restoration on agricultural land, extensive livestock breeding, conservation of meadows, etc</w:t>
            </w:r>
          </w:p>
          <w:p w14:paraId="551562FD" w14:textId="7C360BED" w:rsidR="00763C6D" w:rsidRDefault="00763C6D" w:rsidP="00763C6D">
            <w:pPr>
              <w:pStyle w:val="TableTextNoSpace"/>
            </w:pPr>
            <w:r>
              <w:rPr>
                <w:rFonts w:ascii="Symbol" w:hAnsi="Symbol" w:cs="Arial"/>
                <w:sz w:val="18"/>
                <w:szCs w:val="18"/>
              </w:rPr>
              <w:t></w:t>
            </w:r>
            <w:r>
              <w:rPr>
                <w:sz w:val="14"/>
                <w:szCs w:val="14"/>
              </w:rPr>
              <w:t> </w:t>
            </w:r>
            <w:r>
              <w:rPr>
                <w:rFonts w:ascii="Calibri" w:hAnsi="Calibri" w:cs="Arial"/>
                <w:i/>
                <w:iCs/>
                <w:sz w:val="18"/>
                <w:szCs w:val="18"/>
              </w:rPr>
              <w:t>Forest-environmental measures</w:t>
            </w:r>
            <w:r>
              <w:rPr>
                <w:rFonts w:ascii="Calibri" w:hAnsi="Calibri" w:cs="Arial"/>
                <w:sz w:val="18"/>
                <w:szCs w:val="18"/>
              </w:rPr>
              <w:t>, e.g. creation of exploitation-free zones, retention of dead wood, control or eradication of invasive alien species, afforestation or reforestation activities, management of specific vegetation, etc.</w:t>
            </w:r>
          </w:p>
          <w:p w14:paraId="5693F037" w14:textId="55008A5D" w:rsidR="00763C6D" w:rsidRDefault="00763C6D" w:rsidP="00A824E6">
            <w:pPr>
              <w:pStyle w:val="TableTextNoSpace"/>
            </w:pPr>
            <w:r>
              <w:rPr>
                <w:rFonts w:ascii="Symbol" w:hAnsi="Symbol" w:cs="Arial"/>
                <w:sz w:val="18"/>
                <w:szCs w:val="18"/>
              </w:rPr>
              <w:t></w:t>
            </w:r>
            <w:r>
              <w:rPr>
                <w:sz w:val="14"/>
                <w:szCs w:val="14"/>
              </w:rPr>
              <w:t> </w:t>
            </w:r>
            <w:r>
              <w:rPr>
                <w:rFonts w:ascii="Calibri" w:hAnsi="Calibri" w:cs="Arial"/>
                <w:i/>
                <w:iCs/>
                <w:sz w:val="18"/>
                <w:szCs w:val="18"/>
              </w:rPr>
              <w:t xml:space="preserve">Aqua-environmental measures, </w:t>
            </w:r>
            <w:r>
              <w:rPr>
                <w:rFonts w:ascii="Calibri" w:hAnsi="Calibri" w:cs="Arial"/>
                <w:sz w:val="18"/>
                <w:szCs w:val="18"/>
              </w:rPr>
              <w:t>e.g. habitat maintenance in aquaculture zones etc. (relates to aquaculture rather than fishing).</w:t>
            </w:r>
          </w:p>
        </w:tc>
      </w:tr>
      <w:tr w:rsidR="00763C6D" w14:paraId="39F8BF77" w14:textId="77777777" w:rsidTr="00A824E6">
        <w:tc>
          <w:tcPr>
            <w:tcW w:w="564" w:type="dxa"/>
            <w:vMerge/>
            <w:shd w:val="clear" w:color="auto" w:fill="auto"/>
            <w:textDirection w:val="btLr"/>
            <w:vAlign w:val="center"/>
          </w:tcPr>
          <w:p w14:paraId="2452EB1E" w14:textId="77777777" w:rsidR="00763C6D" w:rsidRPr="00763C6D" w:rsidRDefault="00763C6D" w:rsidP="00763C6D">
            <w:pPr>
              <w:pStyle w:val="TableTextNoSpace"/>
              <w:jc w:val="center"/>
              <w:rPr>
                <w:b/>
              </w:rPr>
            </w:pPr>
          </w:p>
        </w:tc>
        <w:tc>
          <w:tcPr>
            <w:tcW w:w="426" w:type="dxa"/>
            <w:shd w:val="clear" w:color="auto" w:fill="auto"/>
          </w:tcPr>
          <w:p w14:paraId="1C12A24F" w14:textId="6E076A53" w:rsidR="00763C6D" w:rsidRDefault="00763C6D" w:rsidP="00763C6D">
            <w:pPr>
              <w:pStyle w:val="TableTextNoSpace"/>
            </w:pPr>
            <w:r>
              <w:rPr>
                <w:rFonts w:ascii="Calibri" w:hAnsi="Calibri" w:cs="Arial"/>
                <w:b/>
                <w:bCs/>
                <w:sz w:val="18"/>
                <w:szCs w:val="18"/>
              </w:rPr>
              <w:t>16</w:t>
            </w:r>
          </w:p>
        </w:tc>
        <w:tc>
          <w:tcPr>
            <w:tcW w:w="3563" w:type="dxa"/>
            <w:shd w:val="clear" w:color="auto" w:fill="auto"/>
          </w:tcPr>
          <w:p w14:paraId="11E98453" w14:textId="2D86EED6" w:rsidR="00763C6D" w:rsidRDefault="00763C6D" w:rsidP="00763C6D">
            <w:pPr>
              <w:pStyle w:val="TableTextNoSpace"/>
            </w:pPr>
            <w:r>
              <w:rPr>
                <w:rFonts w:ascii="Calibri" w:hAnsi="Calibri" w:cs="Arial"/>
                <w:sz w:val="18"/>
                <w:szCs w:val="18"/>
              </w:rPr>
              <w:t>Provision of services: compensation for rights foregone and loss of income and developing acceptability ‘liaison’ with neighbours</w:t>
            </w:r>
          </w:p>
        </w:tc>
        <w:tc>
          <w:tcPr>
            <w:tcW w:w="4536" w:type="dxa"/>
            <w:shd w:val="clear" w:color="auto" w:fill="auto"/>
          </w:tcPr>
          <w:p w14:paraId="46860C8A" w14:textId="2203EC6A" w:rsidR="00763C6D" w:rsidRDefault="00257AB1" w:rsidP="00763C6D">
            <w:pPr>
              <w:pStyle w:val="TableTextNoSpace"/>
            </w:pPr>
            <w:r>
              <w:rPr>
                <w:rFonts w:ascii="Calibri" w:hAnsi="Calibri" w:cs="Arial"/>
                <w:sz w:val="18"/>
                <w:szCs w:val="18"/>
              </w:rPr>
              <w:t>Compensation needs</w:t>
            </w:r>
            <w:r w:rsidR="00763C6D">
              <w:rPr>
                <w:rFonts w:ascii="Calibri" w:hAnsi="Calibri" w:cs="Arial"/>
                <w:sz w:val="18"/>
                <w:szCs w:val="18"/>
              </w:rPr>
              <w:t>, e.g. to farmers, foresters or other land owners or users for income forgone as a result of management prescriptions needed for Natura 2000.</w:t>
            </w:r>
          </w:p>
        </w:tc>
      </w:tr>
      <w:tr w:rsidR="00763C6D" w14:paraId="4727A403" w14:textId="77777777" w:rsidTr="00A824E6">
        <w:tc>
          <w:tcPr>
            <w:tcW w:w="564" w:type="dxa"/>
            <w:vMerge/>
            <w:shd w:val="clear" w:color="auto" w:fill="auto"/>
            <w:textDirection w:val="btLr"/>
            <w:vAlign w:val="center"/>
          </w:tcPr>
          <w:p w14:paraId="0C939E9A" w14:textId="77777777" w:rsidR="00763C6D" w:rsidRPr="00763C6D" w:rsidRDefault="00763C6D" w:rsidP="00763C6D">
            <w:pPr>
              <w:pStyle w:val="TableTextNoSpace"/>
              <w:jc w:val="center"/>
              <w:rPr>
                <w:b/>
              </w:rPr>
            </w:pPr>
          </w:p>
        </w:tc>
        <w:tc>
          <w:tcPr>
            <w:tcW w:w="426" w:type="dxa"/>
            <w:shd w:val="clear" w:color="auto" w:fill="auto"/>
          </w:tcPr>
          <w:p w14:paraId="16383FEE" w14:textId="0FAD9477" w:rsidR="00763C6D" w:rsidRDefault="00763C6D" w:rsidP="00763C6D">
            <w:pPr>
              <w:pStyle w:val="TableTextNoSpace"/>
            </w:pPr>
            <w:r>
              <w:rPr>
                <w:rFonts w:ascii="Calibri" w:hAnsi="Calibri" w:cs="Arial"/>
                <w:b/>
                <w:bCs/>
                <w:sz w:val="18"/>
                <w:szCs w:val="18"/>
              </w:rPr>
              <w:t>17</w:t>
            </w:r>
          </w:p>
        </w:tc>
        <w:tc>
          <w:tcPr>
            <w:tcW w:w="3563" w:type="dxa"/>
            <w:shd w:val="clear" w:color="auto" w:fill="auto"/>
          </w:tcPr>
          <w:p w14:paraId="06F959F7" w14:textId="112555DA" w:rsidR="00763C6D" w:rsidRDefault="00763C6D" w:rsidP="00763C6D">
            <w:pPr>
              <w:pStyle w:val="TableTextNoSpace"/>
            </w:pPr>
            <w:r>
              <w:rPr>
                <w:rFonts w:ascii="Calibri" w:hAnsi="Calibri" w:cs="Arial"/>
                <w:sz w:val="18"/>
                <w:szCs w:val="18"/>
              </w:rPr>
              <w:t>Monitoring and surveying</w:t>
            </w:r>
          </w:p>
        </w:tc>
        <w:tc>
          <w:tcPr>
            <w:tcW w:w="4536" w:type="dxa"/>
            <w:shd w:val="clear" w:color="auto" w:fill="auto"/>
          </w:tcPr>
          <w:p w14:paraId="26FD1DAB" w14:textId="0B915030" w:rsidR="00763C6D" w:rsidRDefault="00257AB1" w:rsidP="00763C6D">
            <w:pPr>
              <w:pStyle w:val="TableTextNoSpace"/>
            </w:pPr>
            <w:r>
              <w:rPr>
                <w:rFonts w:ascii="Calibri" w:hAnsi="Calibri" w:cs="Arial"/>
                <w:sz w:val="18"/>
                <w:szCs w:val="18"/>
              </w:rPr>
              <w:t>Includes</w:t>
            </w:r>
            <w:r w:rsidR="00763C6D">
              <w:rPr>
                <w:rFonts w:ascii="Calibri" w:hAnsi="Calibri" w:cs="Arial"/>
                <w:sz w:val="18"/>
                <w:szCs w:val="18"/>
              </w:rPr>
              <w:t xml:space="preserve"> development of monitoring plans, methods and equipment and training of personnel. </w:t>
            </w:r>
          </w:p>
        </w:tc>
      </w:tr>
      <w:tr w:rsidR="00763C6D" w14:paraId="7D6F18AC" w14:textId="77777777" w:rsidTr="00A824E6">
        <w:tc>
          <w:tcPr>
            <w:tcW w:w="564" w:type="dxa"/>
            <w:vMerge/>
            <w:shd w:val="clear" w:color="auto" w:fill="auto"/>
            <w:textDirection w:val="btLr"/>
            <w:vAlign w:val="center"/>
          </w:tcPr>
          <w:p w14:paraId="4B7C1064" w14:textId="77777777" w:rsidR="00763C6D" w:rsidRPr="00763C6D" w:rsidRDefault="00763C6D" w:rsidP="00763C6D">
            <w:pPr>
              <w:pStyle w:val="TableTextNoSpace"/>
              <w:jc w:val="center"/>
              <w:rPr>
                <w:b/>
              </w:rPr>
            </w:pPr>
          </w:p>
        </w:tc>
        <w:tc>
          <w:tcPr>
            <w:tcW w:w="426" w:type="dxa"/>
            <w:shd w:val="clear" w:color="auto" w:fill="auto"/>
          </w:tcPr>
          <w:p w14:paraId="718DB11B" w14:textId="2758DEA6" w:rsidR="00763C6D" w:rsidRDefault="00763C6D" w:rsidP="00763C6D">
            <w:pPr>
              <w:pStyle w:val="TableTextNoSpace"/>
            </w:pPr>
            <w:r>
              <w:rPr>
                <w:rFonts w:ascii="Calibri" w:hAnsi="Calibri" w:cs="Arial"/>
                <w:b/>
                <w:bCs/>
                <w:sz w:val="18"/>
                <w:szCs w:val="18"/>
              </w:rPr>
              <w:t>18</w:t>
            </w:r>
          </w:p>
        </w:tc>
        <w:tc>
          <w:tcPr>
            <w:tcW w:w="3563" w:type="dxa"/>
            <w:shd w:val="clear" w:color="auto" w:fill="auto"/>
          </w:tcPr>
          <w:p w14:paraId="63D03E69" w14:textId="17625BE0" w:rsidR="00763C6D" w:rsidRDefault="00763C6D" w:rsidP="00763C6D">
            <w:pPr>
              <w:pStyle w:val="TableTextNoSpace"/>
            </w:pPr>
            <w:r>
              <w:rPr>
                <w:rFonts w:ascii="Calibri" w:hAnsi="Calibri" w:cs="Arial"/>
                <w:sz w:val="18"/>
                <w:szCs w:val="18"/>
              </w:rPr>
              <w:t>Risk management (fire prevention and control, flooding etc)</w:t>
            </w:r>
          </w:p>
        </w:tc>
        <w:tc>
          <w:tcPr>
            <w:tcW w:w="4536" w:type="dxa"/>
            <w:shd w:val="clear" w:color="auto" w:fill="auto"/>
          </w:tcPr>
          <w:p w14:paraId="46F727AC" w14:textId="336B647C" w:rsidR="00763C6D" w:rsidRDefault="00763C6D" w:rsidP="00763C6D">
            <w:pPr>
              <w:pStyle w:val="TableTextNoSpace"/>
            </w:pPr>
            <w:r>
              <w:rPr>
                <w:rFonts w:ascii="Calibri" w:hAnsi="Calibri" w:cs="Arial"/>
                <w:sz w:val="18"/>
                <w:szCs w:val="18"/>
              </w:rPr>
              <w:t>Includes the preparation of wardening and fire-control plans, development of relevant infrastructure, and equipment purchase.</w:t>
            </w:r>
          </w:p>
        </w:tc>
      </w:tr>
      <w:tr w:rsidR="00763C6D" w14:paraId="02A49AB9" w14:textId="77777777" w:rsidTr="00A824E6">
        <w:tc>
          <w:tcPr>
            <w:tcW w:w="564" w:type="dxa"/>
            <w:vMerge/>
            <w:shd w:val="clear" w:color="auto" w:fill="auto"/>
            <w:textDirection w:val="btLr"/>
            <w:vAlign w:val="center"/>
          </w:tcPr>
          <w:p w14:paraId="2648065F" w14:textId="77777777" w:rsidR="00763C6D" w:rsidRPr="00763C6D" w:rsidRDefault="00763C6D" w:rsidP="00763C6D">
            <w:pPr>
              <w:pStyle w:val="TableTextNoSpace"/>
              <w:jc w:val="center"/>
              <w:rPr>
                <w:b/>
              </w:rPr>
            </w:pPr>
          </w:p>
        </w:tc>
        <w:tc>
          <w:tcPr>
            <w:tcW w:w="426" w:type="dxa"/>
            <w:shd w:val="clear" w:color="auto" w:fill="auto"/>
          </w:tcPr>
          <w:p w14:paraId="342938E3" w14:textId="39FAC728" w:rsidR="00763C6D" w:rsidRDefault="00763C6D" w:rsidP="00763C6D">
            <w:pPr>
              <w:pStyle w:val="TableTextNoSpace"/>
            </w:pPr>
            <w:r>
              <w:rPr>
                <w:rFonts w:ascii="Calibri" w:hAnsi="Calibri" w:cs="Arial"/>
                <w:b/>
                <w:bCs/>
                <w:sz w:val="18"/>
                <w:szCs w:val="18"/>
              </w:rPr>
              <w:t>19</w:t>
            </w:r>
          </w:p>
        </w:tc>
        <w:tc>
          <w:tcPr>
            <w:tcW w:w="3563" w:type="dxa"/>
            <w:shd w:val="clear" w:color="auto" w:fill="auto"/>
          </w:tcPr>
          <w:p w14:paraId="2C783628" w14:textId="64B728C3" w:rsidR="00763C6D" w:rsidRDefault="00763C6D" w:rsidP="00763C6D">
            <w:pPr>
              <w:pStyle w:val="TableTextNoSpace"/>
            </w:pPr>
            <w:r>
              <w:rPr>
                <w:rFonts w:ascii="Calibri" w:hAnsi="Calibri" w:cs="Arial"/>
                <w:sz w:val="18"/>
                <w:szCs w:val="18"/>
              </w:rPr>
              <w:t>Site surveillance</w:t>
            </w:r>
          </w:p>
        </w:tc>
        <w:tc>
          <w:tcPr>
            <w:tcW w:w="4536" w:type="dxa"/>
            <w:shd w:val="clear" w:color="auto" w:fill="auto"/>
          </w:tcPr>
          <w:p w14:paraId="1AC26045" w14:textId="61A3BBDF" w:rsidR="00763C6D" w:rsidRDefault="00763C6D" w:rsidP="00763C6D">
            <w:pPr>
              <w:pStyle w:val="TableTextNoSpace"/>
            </w:pPr>
            <w:r>
              <w:rPr>
                <w:rFonts w:ascii="Calibri" w:hAnsi="Calibri" w:cs="Arial"/>
                <w:sz w:val="18"/>
                <w:szCs w:val="18"/>
              </w:rPr>
              <w:t>Includes on-going surveillance, wardening and patrolling activities. Can include personnel costs, consumables, travel, etc in order to implement surveillance and guarding activities, including surveillance to control harmful recreational or economic activities and protect against wildfires.</w:t>
            </w:r>
          </w:p>
        </w:tc>
      </w:tr>
      <w:tr w:rsidR="00763C6D" w14:paraId="5B41456F" w14:textId="77777777" w:rsidTr="00A824E6">
        <w:tc>
          <w:tcPr>
            <w:tcW w:w="564" w:type="dxa"/>
            <w:vMerge/>
            <w:shd w:val="clear" w:color="auto" w:fill="auto"/>
            <w:textDirection w:val="btLr"/>
            <w:vAlign w:val="center"/>
          </w:tcPr>
          <w:p w14:paraId="42839D07" w14:textId="77777777" w:rsidR="00763C6D" w:rsidRPr="00763C6D" w:rsidRDefault="00763C6D" w:rsidP="00763C6D">
            <w:pPr>
              <w:pStyle w:val="TableTextNoSpace"/>
              <w:jc w:val="center"/>
              <w:rPr>
                <w:b/>
              </w:rPr>
            </w:pPr>
          </w:p>
        </w:tc>
        <w:tc>
          <w:tcPr>
            <w:tcW w:w="426" w:type="dxa"/>
            <w:shd w:val="clear" w:color="auto" w:fill="auto"/>
          </w:tcPr>
          <w:p w14:paraId="4E2BE26B" w14:textId="13D71C03" w:rsidR="00763C6D" w:rsidRDefault="00763C6D" w:rsidP="00763C6D">
            <w:pPr>
              <w:pStyle w:val="TableTextNoSpace"/>
              <w:rPr>
                <w:rFonts w:ascii="Calibri" w:hAnsi="Calibri" w:cs="Arial"/>
                <w:b/>
                <w:bCs/>
                <w:sz w:val="18"/>
                <w:szCs w:val="18"/>
              </w:rPr>
            </w:pPr>
            <w:r>
              <w:rPr>
                <w:rFonts w:ascii="Calibri" w:hAnsi="Calibri" w:cs="Arial"/>
                <w:b/>
                <w:bCs/>
                <w:sz w:val="18"/>
                <w:szCs w:val="18"/>
              </w:rPr>
              <w:t>20</w:t>
            </w:r>
          </w:p>
        </w:tc>
        <w:tc>
          <w:tcPr>
            <w:tcW w:w="3563" w:type="dxa"/>
            <w:shd w:val="clear" w:color="auto" w:fill="auto"/>
          </w:tcPr>
          <w:p w14:paraId="049A0AA7" w14:textId="3E5A62D3" w:rsidR="00763C6D" w:rsidRDefault="00763C6D" w:rsidP="00763C6D">
            <w:pPr>
              <w:pStyle w:val="TableTextNoSpace"/>
              <w:rPr>
                <w:rFonts w:ascii="Calibri" w:hAnsi="Calibri" w:cs="Arial"/>
                <w:sz w:val="18"/>
                <w:szCs w:val="18"/>
              </w:rPr>
            </w:pPr>
            <w:r>
              <w:rPr>
                <w:rFonts w:ascii="Calibri" w:hAnsi="Calibri" w:cs="Arial"/>
                <w:sz w:val="18"/>
                <w:szCs w:val="18"/>
              </w:rPr>
              <w:t>Provision of information and publicity material</w:t>
            </w:r>
          </w:p>
        </w:tc>
        <w:tc>
          <w:tcPr>
            <w:tcW w:w="4536" w:type="dxa"/>
            <w:shd w:val="clear" w:color="auto" w:fill="auto"/>
          </w:tcPr>
          <w:p w14:paraId="24974BBD" w14:textId="2C8E1A49" w:rsidR="00763C6D" w:rsidRDefault="00763C6D" w:rsidP="00763C6D">
            <w:pPr>
              <w:pStyle w:val="TableTextNoSpace"/>
              <w:rPr>
                <w:rFonts w:ascii="Calibri" w:hAnsi="Calibri" w:cs="Arial"/>
                <w:sz w:val="18"/>
                <w:szCs w:val="18"/>
              </w:rPr>
            </w:pPr>
            <w:r>
              <w:rPr>
                <w:rFonts w:ascii="Calibri" w:hAnsi="Calibri" w:cs="Arial"/>
                <w:sz w:val="18"/>
                <w:szCs w:val="18"/>
              </w:rPr>
              <w:t>Includes establishing communication networks, producing newsletters and awareness-raising and information materials, setting-up and maintaining internet pages, etc.</w:t>
            </w:r>
          </w:p>
        </w:tc>
      </w:tr>
      <w:tr w:rsidR="00763C6D" w14:paraId="1129E0BA" w14:textId="77777777" w:rsidTr="00A824E6">
        <w:tc>
          <w:tcPr>
            <w:tcW w:w="564" w:type="dxa"/>
            <w:vMerge/>
            <w:shd w:val="clear" w:color="auto" w:fill="auto"/>
            <w:textDirection w:val="btLr"/>
            <w:vAlign w:val="center"/>
          </w:tcPr>
          <w:p w14:paraId="2326FCC5" w14:textId="77777777" w:rsidR="00763C6D" w:rsidRPr="00763C6D" w:rsidRDefault="00763C6D" w:rsidP="00763C6D">
            <w:pPr>
              <w:pStyle w:val="TableTextNoSpace"/>
              <w:jc w:val="center"/>
              <w:rPr>
                <w:b/>
              </w:rPr>
            </w:pPr>
          </w:p>
        </w:tc>
        <w:tc>
          <w:tcPr>
            <w:tcW w:w="426" w:type="dxa"/>
            <w:shd w:val="clear" w:color="auto" w:fill="auto"/>
          </w:tcPr>
          <w:p w14:paraId="29BBD83A" w14:textId="62932FFE" w:rsidR="00763C6D" w:rsidRDefault="00763C6D" w:rsidP="00763C6D">
            <w:pPr>
              <w:pStyle w:val="TableTextNoSpace"/>
              <w:rPr>
                <w:rFonts w:ascii="Calibri" w:hAnsi="Calibri" w:cs="Arial"/>
                <w:b/>
                <w:bCs/>
                <w:sz w:val="18"/>
                <w:szCs w:val="18"/>
              </w:rPr>
            </w:pPr>
            <w:r>
              <w:rPr>
                <w:rFonts w:ascii="Calibri" w:hAnsi="Calibri" w:cs="Arial"/>
                <w:b/>
                <w:bCs/>
                <w:sz w:val="18"/>
                <w:szCs w:val="18"/>
              </w:rPr>
              <w:t>21</w:t>
            </w:r>
          </w:p>
        </w:tc>
        <w:tc>
          <w:tcPr>
            <w:tcW w:w="3563" w:type="dxa"/>
            <w:shd w:val="clear" w:color="auto" w:fill="auto"/>
          </w:tcPr>
          <w:p w14:paraId="2662E790" w14:textId="43A51C6F" w:rsidR="00763C6D" w:rsidRDefault="00763C6D" w:rsidP="00763C6D">
            <w:pPr>
              <w:pStyle w:val="TableTextNoSpace"/>
              <w:rPr>
                <w:rFonts w:ascii="Calibri" w:hAnsi="Calibri" w:cs="Arial"/>
                <w:sz w:val="18"/>
                <w:szCs w:val="18"/>
              </w:rPr>
            </w:pPr>
            <w:r>
              <w:rPr>
                <w:rFonts w:ascii="Calibri" w:hAnsi="Calibri" w:cs="Arial"/>
                <w:sz w:val="18"/>
                <w:szCs w:val="18"/>
              </w:rPr>
              <w:t>Training and education</w:t>
            </w:r>
          </w:p>
        </w:tc>
        <w:tc>
          <w:tcPr>
            <w:tcW w:w="4536" w:type="dxa"/>
            <w:shd w:val="clear" w:color="auto" w:fill="auto"/>
          </w:tcPr>
          <w:p w14:paraId="3B5A4585" w14:textId="30409D26" w:rsidR="00763C6D" w:rsidRDefault="00763C6D" w:rsidP="00763C6D">
            <w:pPr>
              <w:pStyle w:val="TableTextNoSpace"/>
              <w:rPr>
                <w:rFonts w:ascii="Calibri" w:hAnsi="Calibri" w:cs="Arial"/>
                <w:sz w:val="18"/>
                <w:szCs w:val="18"/>
              </w:rPr>
            </w:pPr>
            <w:r>
              <w:rPr>
                <w:rFonts w:ascii="Calibri" w:hAnsi="Calibri" w:cs="Arial"/>
                <w:sz w:val="18"/>
                <w:szCs w:val="18"/>
              </w:rPr>
              <w:t>Including production of handbooks, seminars, workshops and communication materials.</w:t>
            </w:r>
          </w:p>
        </w:tc>
      </w:tr>
      <w:tr w:rsidR="00763C6D" w14:paraId="28ECC93A" w14:textId="77777777" w:rsidTr="00A824E6">
        <w:tc>
          <w:tcPr>
            <w:tcW w:w="564" w:type="dxa"/>
            <w:vMerge/>
            <w:shd w:val="clear" w:color="auto" w:fill="auto"/>
            <w:textDirection w:val="btLr"/>
            <w:vAlign w:val="center"/>
          </w:tcPr>
          <w:p w14:paraId="4E1BC496" w14:textId="77777777" w:rsidR="00763C6D" w:rsidRPr="00763C6D" w:rsidRDefault="00763C6D" w:rsidP="00763C6D">
            <w:pPr>
              <w:pStyle w:val="TableTextNoSpace"/>
              <w:jc w:val="center"/>
              <w:rPr>
                <w:b/>
              </w:rPr>
            </w:pPr>
          </w:p>
        </w:tc>
        <w:tc>
          <w:tcPr>
            <w:tcW w:w="426" w:type="dxa"/>
            <w:shd w:val="clear" w:color="auto" w:fill="auto"/>
          </w:tcPr>
          <w:p w14:paraId="1A518CC1" w14:textId="39D997F1" w:rsidR="00763C6D" w:rsidRDefault="00763C6D" w:rsidP="00763C6D">
            <w:pPr>
              <w:pStyle w:val="TableTextNoSpace"/>
              <w:rPr>
                <w:rFonts w:ascii="Calibri" w:hAnsi="Calibri" w:cs="Arial"/>
                <w:b/>
                <w:bCs/>
                <w:sz w:val="18"/>
                <w:szCs w:val="18"/>
              </w:rPr>
            </w:pPr>
            <w:r>
              <w:rPr>
                <w:rFonts w:ascii="Calibri" w:hAnsi="Calibri" w:cs="Arial"/>
                <w:b/>
                <w:bCs/>
                <w:sz w:val="18"/>
                <w:szCs w:val="18"/>
              </w:rPr>
              <w:t>22</w:t>
            </w:r>
          </w:p>
        </w:tc>
        <w:tc>
          <w:tcPr>
            <w:tcW w:w="3563" w:type="dxa"/>
            <w:shd w:val="clear" w:color="auto" w:fill="auto"/>
          </w:tcPr>
          <w:p w14:paraId="45918EEC" w14:textId="6BA6C9EC" w:rsidR="00763C6D" w:rsidRDefault="00763C6D" w:rsidP="00763C6D">
            <w:pPr>
              <w:pStyle w:val="TableTextNoSpace"/>
              <w:rPr>
                <w:rFonts w:ascii="Calibri" w:hAnsi="Calibri" w:cs="Arial"/>
                <w:sz w:val="18"/>
                <w:szCs w:val="18"/>
              </w:rPr>
            </w:pPr>
            <w:r>
              <w:rPr>
                <w:rFonts w:ascii="Calibri" w:hAnsi="Calibri" w:cs="Arial"/>
                <w:sz w:val="18"/>
                <w:szCs w:val="18"/>
              </w:rPr>
              <w:t>Facilities to encourage visitor use and appreciation of Natura 2000 sites</w:t>
            </w:r>
          </w:p>
        </w:tc>
        <w:tc>
          <w:tcPr>
            <w:tcW w:w="4536" w:type="dxa"/>
            <w:shd w:val="clear" w:color="auto" w:fill="auto"/>
          </w:tcPr>
          <w:p w14:paraId="7C24C028" w14:textId="789D469C" w:rsidR="00763C6D" w:rsidRDefault="00763C6D" w:rsidP="00763C6D">
            <w:pPr>
              <w:pStyle w:val="TableTextNoSpace"/>
              <w:rPr>
                <w:rFonts w:ascii="Calibri" w:hAnsi="Calibri" w:cs="Arial"/>
                <w:sz w:val="18"/>
                <w:szCs w:val="18"/>
              </w:rPr>
            </w:pPr>
            <w:r>
              <w:rPr>
                <w:rFonts w:ascii="Calibri" w:hAnsi="Calibri" w:cs="Arial"/>
                <w:sz w:val="18"/>
                <w:szCs w:val="18"/>
              </w:rPr>
              <w:t> </w:t>
            </w:r>
          </w:p>
        </w:tc>
      </w:tr>
      <w:tr w:rsidR="00763C6D" w14:paraId="407B079F" w14:textId="77777777" w:rsidTr="00A824E6">
        <w:tc>
          <w:tcPr>
            <w:tcW w:w="564" w:type="dxa"/>
            <w:vMerge w:val="restart"/>
            <w:shd w:val="clear" w:color="auto" w:fill="auto"/>
            <w:textDirection w:val="btLr"/>
            <w:vAlign w:val="center"/>
          </w:tcPr>
          <w:p w14:paraId="0A9BCED5" w14:textId="34948001" w:rsidR="00763C6D" w:rsidRPr="00763C6D" w:rsidRDefault="00763C6D" w:rsidP="00763C6D">
            <w:pPr>
              <w:pStyle w:val="TableTextNoSpace"/>
              <w:jc w:val="center"/>
              <w:rPr>
                <w:b/>
              </w:rPr>
            </w:pPr>
            <w:r w:rsidRPr="00763C6D">
              <w:rPr>
                <w:b/>
              </w:rPr>
              <w:t>Investment Costs</w:t>
            </w:r>
          </w:p>
        </w:tc>
        <w:tc>
          <w:tcPr>
            <w:tcW w:w="426" w:type="dxa"/>
            <w:shd w:val="clear" w:color="auto" w:fill="auto"/>
          </w:tcPr>
          <w:p w14:paraId="165A7349" w14:textId="44AAD3D2" w:rsidR="00763C6D" w:rsidRDefault="00763C6D" w:rsidP="00763C6D">
            <w:pPr>
              <w:pStyle w:val="TableTextNoSpace"/>
              <w:rPr>
                <w:rFonts w:ascii="Calibri" w:hAnsi="Calibri" w:cs="Arial"/>
                <w:b/>
                <w:bCs/>
                <w:sz w:val="18"/>
                <w:szCs w:val="18"/>
              </w:rPr>
            </w:pPr>
            <w:r>
              <w:rPr>
                <w:rFonts w:ascii="Calibri" w:hAnsi="Calibri" w:cs="Arial"/>
                <w:b/>
                <w:bCs/>
                <w:sz w:val="18"/>
                <w:szCs w:val="18"/>
              </w:rPr>
              <w:t>23</w:t>
            </w:r>
          </w:p>
        </w:tc>
        <w:tc>
          <w:tcPr>
            <w:tcW w:w="3563" w:type="dxa"/>
            <w:shd w:val="clear" w:color="auto" w:fill="auto"/>
          </w:tcPr>
          <w:p w14:paraId="270569F3" w14:textId="688CF096" w:rsidR="00763C6D" w:rsidRDefault="00763C6D" w:rsidP="00763C6D">
            <w:pPr>
              <w:pStyle w:val="TableTextNoSpace"/>
              <w:rPr>
                <w:rFonts w:ascii="Calibri" w:hAnsi="Calibri" w:cs="Arial"/>
                <w:sz w:val="18"/>
                <w:szCs w:val="18"/>
              </w:rPr>
            </w:pPr>
            <w:r>
              <w:rPr>
                <w:rFonts w:ascii="Calibri" w:hAnsi="Calibri" w:cs="Arial"/>
                <w:sz w:val="18"/>
                <w:szCs w:val="18"/>
              </w:rPr>
              <w:t>Land purchase, including compensation for development rights</w:t>
            </w:r>
          </w:p>
        </w:tc>
        <w:tc>
          <w:tcPr>
            <w:tcW w:w="4536" w:type="dxa"/>
            <w:shd w:val="clear" w:color="auto" w:fill="auto"/>
          </w:tcPr>
          <w:p w14:paraId="15BE4C1F" w14:textId="01F68768" w:rsidR="00763C6D" w:rsidRDefault="00763C6D" w:rsidP="00763C6D">
            <w:pPr>
              <w:pStyle w:val="TableTextNoSpace"/>
              <w:rPr>
                <w:rFonts w:ascii="Calibri" w:hAnsi="Calibri" w:cs="Arial"/>
                <w:sz w:val="18"/>
                <w:szCs w:val="18"/>
              </w:rPr>
            </w:pPr>
            <w:r>
              <w:rPr>
                <w:rFonts w:ascii="Calibri" w:hAnsi="Calibri" w:cs="Arial"/>
                <w:sz w:val="18"/>
                <w:szCs w:val="18"/>
              </w:rPr>
              <w:t>Land purchase to achieve environmental protection and management schemes.</w:t>
            </w:r>
          </w:p>
        </w:tc>
      </w:tr>
      <w:tr w:rsidR="00763C6D" w14:paraId="16E7E63B" w14:textId="77777777" w:rsidTr="00A824E6">
        <w:trPr>
          <w:trHeight w:val="1660"/>
        </w:trPr>
        <w:tc>
          <w:tcPr>
            <w:tcW w:w="564" w:type="dxa"/>
            <w:vMerge/>
            <w:shd w:val="clear" w:color="auto" w:fill="auto"/>
          </w:tcPr>
          <w:p w14:paraId="750B3079" w14:textId="77777777" w:rsidR="00763C6D" w:rsidRDefault="00763C6D" w:rsidP="00763C6D">
            <w:pPr>
              <w:pStyle w:val="TableTextNoSpace"/>
            </w:pPr>
          </w:p>
        </w:tc>
        <w:tc>
          <w:tcPr>
            <w:tcW w:w="426" w:type="dxa"/>
            <w:shd w:val="clear" w:color="auto" w:fill="auto"/>
          </w:tcPr>
          <w:p w14:paraId="494F8592" w14:textId="69B55D3F" w:rsidR="00763C6D" w:rsidRDefault="00763C6D" w:rsidP="00763C6D">
            <w:pPr>
              <w:pStyle w:val="TableTextNoSpace"/>
              <w:rPr>
                <w:rFonts w:ascii="Calibri" w:hAnsi="Calibri" w:cs="Arial"/>
                <w:b/>
                <w:bCs/>
                <w:sz w:val="18"/>
                <w:szCs w:val="18"/>
              </w:rPr>
            </w:pPr>
            <w:r>
              <w:rPr>
                <w:rFonts w:ascii="Calibri" w:hAnsi="Calibri" w:cs="Arial"/>
                <w:b/>
                <w:bCs/>
                <w:sz w:val="18"/>
                <w:szCs w:val="18"/>
              </w:rPr>
              <w:t>24</w:t>
            </w:r>
          </w:p>
        </w:tc>
        <w:tc>
          <w:tcPr>
            <w:tcW w:w="3563" w:type="dxa"/>
            <w:shd w:val="clear" w:color="auto" w:fill="auto"/>
          </w:tcPr>
          <w:p w14:paraId="0AC4165F" w14:textId="6DC72A21" w:rsidR="00763C6D" w:rsidRDefault="00763C6D" w:rsidP="00763C6D">
            <w:pPr>
              <w:pStyle w:val="TableTextNoSpace"/>
              <w:rPr>
                <w:rFonts w:ascii="Calibri" w:hAnsi="Calibri" w:cs="Arial"/>
                <w:sz w:val="18"/>
                <w:szCs w:val="18"/>
              </w:rPr>
            </w:pPr>
            <w:r>
              <w:rPr>
                <w:rFonts w:ascii="Calibri" w:hAnsi="Calibri" w:cs="Arial"/>
                <w:sz w:val="18"/>
                <w:szCs w:val="18"/>
              </w:rPr>
              <w:t>Infrastructure needed for habitat or species restoration</w:t>
            </w:r>
          </w:p>
        </w:tc>
        <w:tc>
          <w:tcPr>
            <w:tcW w:w="4536" w:type="dxa"/>
            <w:shd w:val="clear" w:color="auto" w:fill="auto"/>
          </w:tcPr>
          <w:p w14:paraId="4896E91A" w14:textId="77777777" w:rsidR="00763C6D" w:rsidRDefault="00763C6D" w:rsidP="00763C6D">
            <w:pPr>
              <w:pStyle w:val="TableTextNoSpace"/>
              <w:rPr>
                <w:rFonts w:ascii="Calibri" w:hAnsi="Calibri" w:cs="Arial"/>
                <w:sz w:val="18"/>
                <w:szCs w:val="18"/>
              </w:rPr>
            </w:pPr>
            <w:r>
              <w:rPr>
                <w:rFonts w:ascii="Calibri" w:hAnsi="Calibri" w:cs="Arial"/>
                <w:sz w:val="18"/>
                <w:szCs w:val="18"/>
              </w:rPr>
              <w:t>Includes an array of measures for the creation of specific infrastructure for the management of the environment, e.g. for water management in peat bogs and mines.</w:t>
            </w:r>
          </w:p>
          <w:p w14:paraId="1F9AF64F" w14:textId="60795539" w:rsidR="00763C6D" w:rsidRDefault="00763C6D" w:rsidP="00763C6D">
            <w:pPr>
              <w:pStyle w:val="TableTextNoSpace"/>
              <w:rPr>
                <w:rFonts w:ascii="Calibri" w:hAnsi="Calibri" w:cs="Arial"/>
                <w:sz w:val="18"/>
                <w:szCs w:val="18"/>
              </w:rPr>
            </w:pPr>
            <w:r>
              <w:rPr>
                <w:rFonts w:ascii="Calibri" w:hAnsi="Calibri" w:cs="Arial"/>
                <w:sz w:val="18"/>
                <w:szCs w:val="18"/>
              </w:rPr>
              <w:t>Can include equipment acquisition (for equipment relevant to the running of protection and management institutions such as office and IT equipment, monitoring materials, boats, diving equipment, cameras, etc.)</w:t>
            </w:r>
          </w:p>
        </w:tc>
      </w:tr>
      <w:tr w:rsidR="00763C6D" w14:paraId="55553ADD" w14:textId="77777777" w:rsidTr="00A824E6">
        <w:tc>
          <w:tcPr>
            <w:tcW w:w="564" w:type="dxa"/>
            <w:vMerge/>
            <w:shd w:val="clear" w:color="auto" w:fill="auto"/>
          </w:tcPr>
          <w:p w14:paraId="7D7F05BD" w14:textId="77777777" w:rsidR="00763C6D" w:rsidRDefault="00763C6D" w:rsidP="00763C6D">
            <w:pPr>
              <w:pStyle w:val="TableTextNoSpace"/>
            </w:pPr>
          </w:p>
        </w:tc>
        <w:tc>
          <w:tcPr>
            <w:tcW w:w="426" w:type="dxa"/>
            <w:shd w:val="clear" w:color="auto" w:fill="auto"/>
          </w:tcPr>
          <w:p w14:paraId="0D0C181A" w14:textId="155A974C" w:rsidR="00763C6D" w:rsidRDefault="00763C6D" w:rsidP="00763C6D">
            <w:pPr>
              <w:pStyle w:val="TableTextNoSpace"/>
              <w:rPr>
                <w:rFonts w:ascii="Calibri" w:hAnsi="Calibri" w:cs="Arial"/>
                <w:b/>
                <w:bCs/>
                <w:sz w:val="18"/>
                <w:szCs w:val="18"/>
              </w:rPr>
            </w:pPr>
            <w:r>
              <w:rPr>
                <w:rFonts w:ascii="Calibri" w:hAnsi="Calibri" w:cs="Arial"/>
                <w:b/>
                <w:bCs/>
                <w:sz w:val="18"/>
                <w:szCs w:val="18"/>
              </w:rPr>
              <w:t>25</w:t>
            </w:r>
          </w:p>
        </w:tc>
        <w:tc>
          <w:tcPr>
            <w:tcW w:w="3563" w:type="dxa"/>
            <w:shd w:val="clear" w:color="auto" w:fill="auto"/>
          </w:tcPr>
          <w:p w14:paraId="24055B6A" w14:textId="5C064A6F" w:rsidR="00763C6D" w:rsidRDefault="00763C6D" w:rsidP="00763C6D">
            <w:pPr>
              <w:pStyle w:val="TableTextNoSpace"/>
              <w:rPr>
                <w:rFonts w:ascii="Calibri" w:hAnsi="Calibri" w:cs="Arial"/>
                <w:sz w:val="18"/>
                <w:szCs w:val="18"/>
              </w:rPr>
            </w:pPr>
            <w:r>
              <w:rPr>
                <w:rFonts w:ascii="Calibri" w:hAnsi="Calibri" w:cs="Arial"/>
                <w:sz w:val="18"/>
                <w:szCs w:val="18"/>
              </w:rPr>
              <w:t xml:space="preserve">Infrastructure for public access, interpretation, observatories and kiosks, </w:t>
            </w:r>
            <w:r w:rsidR="00A824E6">
              <w:rPr>
                <w:rFonts w:ascii="Calibri" w:hAnsi="Calibri" w:cs="Arial"/>
                <w:sz w:val="18"/>
                <w:szCs w:val="18"/>
              </w:rPr>
              <w:t>etc.</w:t>
            </w:r>
          </w:p>
        </w:tc>
        <w:tc>
          <w:tcPr>
            <w:tcW w:w="4536" w:type="dxa"/>
            <w:shd w:val="clear" w:color="auto" w:fill="auto"/>
          </w:tcPr>
          <w:p w14:paraId="7C90AD4C" w14:textId="55E43B82" w:rsidR="00763C6D" w:rsidRDefault="00763C6D" w:rsidP="00763C6D">
            <w:pPr>
              <w:pStyle w:val="TableTextNoSpace"/>
              <w:rPr>
                <w:rFonts w:ascii="Calibri" w:hAnsi="Calibri" w:cs="Arial"/>
                <w:sz w:val="18"/>
                <w:szCs w:val="18"/>
              </w:rPr>
            </w:pPr>
            <w:r>
              <w:rPr>
                <w:rFonts w:ascii="Calibri" w:hAnsi="Calibri" w:cs="Arial"/>
                <w:sz w:val="18"/>
                <w:szCs w:val="18"/>
              </w:rPr>
              <w:t>Infrastructure for public use that is conducive to environmental protection and management (e.g. infrastructure to increase the amenity value of sites such as signage, trails, observation platforms and visitor centres).</w:t>
            </w:r>
          </w:p>
        </w:tc>
      </w:tr>
    </w:tbl>
    <w:p w14:paraId="1952ABAB" w14:textId="71957FBD" w:rsidR="00B31483" w:rsidRDefault="00B31483" w:rsidP="00C776EA">
      <w:pPr>
        <w:pStyle w:val="TableSource"/>
      </w:pPr>
      <w:r>
        <w:t>European Commission, 2013</w:t>
      </w:r>
    </w:p>
    <w:p w14:paraId="4AC56A8F" w14:textId="77777777" w:rsidR="00A47694" w:rsidRDefault="00A47694" w:rsidP="00A47694">
      <w:pPr>
        <w:pStyle w:val="Heading3"/>
      </w:pPr>
      <w:r>
        <w:t>Management mechanisms</w:t>
      </w:r>
    </w:p>
    <w:p w14:paraId="2C8F16E9" w14:textId="2D020D98" w:rsidR="00B24C0F" w:rsidRDefault="00A47694" w:rsidP="00A47694">
      <w:pPr>
        <w:pStyle w:val="BodyText"/>
      </w:pPr>
      <w:r>
        <w:t xml:space="preserve">Management mechanisms are the instruments through which the actions to address the conservation needs can be delivered.  </w:t>
      </w:r>
      <w:r w:rsidR="00B24C0F">
        <w:t xml:space="preserve">Research </w:t>
      </w:r>
      <w:r w:rsidR="003A1332">
        <w:t xml:space="preserve">reports </w:t>
      </w:r>
      <w:r w:rsidR="00B24C0F">
        <w:t>by NRW</w:t>
      </w:r>
      <w:r w:rsidR="00B31483">
        <w:t xml:space="preserve"> </w:t>
      </w:r>
      <w:r w:rsidR="00B24C0F">
        <w:t xml:space="preserve">presented in two internal studies </w:t>
      </w:r>
      <w:r w:rsidR="00B31483">
        <w:t>(Natural Resources Wales, 2014)</w:t>
      </w:r>
      <w:r w:rsidR="00B24C0F">
        <w:t xml:space="preserve">, which draw on the views of site managers and other relevant stakeholders, have been used to inform our understanding of these issues and </w:t>
      </w:r>
      <w:r w:rsidR="009074FE">
        <w:t>as a basis for selecting the</w:t>
      </w:r>
      <w:r w:rsidR="00B24C0F">
        <w:t xml:space="preserve"> mechanism</w:t>
      </w:r>
      <w:r w:rsidR="00382968">
        <w:t>s</w:t>
      </w:r>
      <w:r w:rsidR="00B24C0F">
        <w:t xml:space="preserve"> consider</w:t>
      </w:r>
      <w:r w:rsidR="009074FE">
        <w:t>ed</w:t>
      </w:r>
      <w:r w:rsidR="00B24C0F">
        <w:t xml:space="preserve"> in this research.</w:t>
      </w:r>
      <w:r w:rsidR="00BE458E">
        <w:t xml:space="preserve"> In some instances these may be well aligned with specific management actions</w:t>
      </w:r>
      <w:r w:rsidR="00B101FF">
        <w:t>.</w:t>
      </w:r>
    </w:p>
    <w:p w14:paraId="122948CF" w14:textId="35405042" w:rsidR="00B24C0F" w:rsidRDefault="00B24C0F" w:rsidP="00B24C0F">
      <w:pPr>
        <w:pStyle w:val="Table"/>
      </w:pPr>
      <w:bookmarkStart w:id="122" w:name="_Toc408851106"/>
      <w:r>
        <w:t>Typology of</w:t>
      </w:r>
      <w:r w:rsidR="00D6673C">
        <w:t xml:space="preserve"> current</w:t>
      </w:r>
      <w:r>
        <w:t xml:space="preserve"> management mechanisms</w:t>
      </w:r>
      <w:bookmarkEnd w:id="122"/>
    </w:p>
    <w:tbl>
      <w:tblPr>
        <w:tblW w:w="8219" w:type="dxa"/>
        <w:tblInd w:w="850" w:type="dxa"/>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Layout w:type="fixed"/>
        <w:tblCellMar>
          <w:top w:w="57" w:type="dxa"/>
          <w:left w:w="0" w:type="dxa"/>
          <w:bottom w:w="28" w:type="dxa"/>
          <w:right w:w="0" w:type="dxa"/>
        </w:tblCellMar>
        <w:tblLook w:val="0000" w:firstRow="0" w:lastRow="0" w:firstColumn="0" w:lastColumn="0" w:noHBand="0" w:noVBand="0"/>
      </w:tblPr>
      <w:tblGrid>
        <w:gridCol w:w="3402"/>
        <w:gridCol w:w="4817"/>
      </w:tblGrid>
      <w:tr w:rsidR="00802BDF" w14:paraId="5A38061E" w14:textId="77777777" w:rsidTr="00802BDF">
        <w:trPr>
          <w:cantSplit/>
        </w:trPr>
        <w:tc>
          <w:tcPr>
            <w:tcW w:w="3402" w:type="dxa"/>
            <w:tcBorders>
              <w:right w:val="single" w:sz="2" w:space="0" w:color="FFFFFF"/>
            </w:tcBorders>
            <w:shd w:val="solid" w:color="0067AB" w:fill="0067AB"/>
          </w:tcPr>
          <w:p w14:paraId="65CCB9F1" w14:textId="3AEF07F1" w:rsidR="00802BDF" w:rsidRDefault="00802BDF" w:rsidP="00B24C0F">
            <w:pPr>
              <w:pStyle w:val="TableHeadingWhite"/>
            </w:pPr>
            <w:r>
              <w:t>Type of management mechanism</w:t>
            </w:r>
          </w:p>
        </w:tc>
        <w:tc>
          <w:tcPr>
            <w:tcW w:w="4817" w:type="dxa"/>
            <w:tcBorders>
              <w:left w:val="single" w:sz="2" w:space="0" w:color="FFFFFF"/>
            </w:tcBorders>
            <w:shd w:val="solid" w:color="0067AB" w:fill="0067AB"/>
          </w:tcPr>
          <w:p w14:paraId="7A062EA2" w14:textId="5E63FED0" w:rsidR="00802BDF" w:rsidRDefault="00802BDF" w:rsidP="00B24C0F">
            <w:pPr>
              <w:pStyle w:val="TableHeadingWhite"/>
            </w:pPr>
            <w:r>
              <w:t>Further explanation</w:t>
            </w:r>
          </w:p>
        </w:tc>
      </w:tr>
      <w:tr w:rsidR="00802BDF" w14:paraId="55171934" w14:textId="77777777" w:rsidTr="00802BDF">
        <w:tc>
          <w:tcPr>
            <w:tcW w:w="3402" w:type="dxa"/>
            <w:shd w:val="clear" w:color="auto" w:fill="auto"/>
          </w:tcPr>
          <w:p w14:paraId="7C03B351" w14:textId="0540CACA" w:rsidR="00802BDF" w:rsidRPr="00B101FF" w:rsidRDefault="00802BDF" w:rsidP="00B101FF">
            <w:pPr>
              <w:pStyle w:val="TableTextNoSpace"/>
              <w:jc w:val="left"/>
              <w:rPr>
                <w:rFonts w:asciiTheme="minorHAnsi" w:hAnsiTheme="minorHAnsi"/>
                <w:szCs w:val="20"/>
              </w:rPr>
            </w:pPr>
            <w:r w:rsidRPr="00B101FF">
              <w:rPr>
                <w:rFonts w:asciiTheme="minorHAnsi" w:hAnsiTheme="minorHAnsi"/>
                <w:szCs w:val="20"/>
              </w:rPr>
              <w:t>Management plans</w:t>
            </w:r>
          </w:p>
        </w:tc>
        <w:tc>
          <w:tcPr>
            <w:tcW w:w="4817" w:type="dxa"/>
            <w:shd w:val="clear" w:color="auto" w:fill="auto"/>
          </w:tcPr>
          <w:p w14:paraId="350327B5" w14:textId="22F25AC9" w:rsidR="00802BDF" w:rsidRPr="00B101FF" w:rsidRDefault="00802BDF" w:rsidP="00B101FF">
            <w:pPr>
              <w:pStyle w:val="TableTextNoSpace"/>
              <w:jc w:val="left"/>
              <w:rPr>
                <w:rFonts w:asciiTheme="minorHAnsi" w:hAnsiTheme="minorHAnsi"/>
                <w:szCs w:val="20"/>
              </w:rPr>
            </w:pPr>
            <w:r w:rsidRPr="00B101FF">
              <w:rPr>
                <w:rFonts w:asciiTheme="minorHAnsi" w:hAnsiTheme="minorHAnsi"/>
                <w:szCs w:val="20"/>
              </w:rPr>
              <w:t xml:space="preserve">Review and production of Natura 2000 and issue-specific plans </w:t>
            </w:r>
          </w:p>
        </w:tc>
      </w:tr>
      <w:tr w:rsidR="00802BDF" w14:paraId="149FB9C4" w14:textId="77777777" w:rsidTr="00802BDF">
        <w:tc>
          <w:tcPr>
            <w:tcW w:w="3402" w:type="dxa"/>
            <w:shd w:val="clear" w:color="auto" w:fill="auto"/>
          </w:tcPr>
          <w:p w14:paraId="2477523C" w14:textId="35838772" w:rsidR="00802BDF" w:rsidRPr="00B101FF" w:rsidRDefault="00802BDF" w:rsidP="00B101FF">
            <w:pPr>
              <w:pStyle w:val="TableTextNoSpace"/>
              <w:jc w:val="left"/>
              <w:rPr>
                <w:rFonts w:asciiTheme="minorHAnsi" w:hAnsiTheme="minorHAnsi"/>
                <w:szCs w:val="20"/>
              </w:rPr>
            </w:pPr>
            <w:r w:rsidRPr="00B101FF">
              <w:rPr>
                <w:rFonts w:asciiTheme="minorHAnsi" w:hAnsiTheme="minorHAnsi"/>
                <w:szCs w:val="20"/>
              </w:rPr>
              <w:t>Investigation</w:t>
            </w:r>
          </w:p>
        </w:tc>
        <w:tc>
          <w:tcPr>
            <w:tcW w:w="4817" w:type="dxa"/>
            <w:shd w:val="clear" w:color="auto" w:fill="auto"/>
          </w:tcPr>
          <w:p w14:paraId="109A9055" w14:textId="11EFFF47" w:rsidR="00802BDF" w:rsidRPr="00B101FF" w:rsidRDefault="00802BDF" w:rsidP="00B101FF">
            <w:pPr>
              <w:pStyle w:val="TableTextNoSpace"/>
              <w:jc w:val="left"/>
              <w:rPr>
                <w:rFonts w:asciiTheme="minorHAnsi" w:hAnsiTheme="minorHAnsi"/>
                <w:szCs w:val="20"/>
              </w:rPr>
            </w:pPr>
            <w:r w:rsidRPr="00B101FF">
              <w:rPr>
                <w:rFonts w:asciiTheme="minorHAnsi" w:hAnsiTheme="minorHAnsi"/>
                <w:szCs w:val="20"/>
              </w:rPr>
              <w:t>A means of gathering identifying the causes of site issues</w:t>
            </w:r>
          </w:p>
        </w:tc>
      </w:tr>
      <w:tr w:rsidR="00802BDF" w14:paraId="69A054C6" w14:textId="77777777" w:rsidTr="00802BDF">
        <w:tc>
          <w:tcPr>
            <w:tcW w:w="3402" w:type="dxa"/>
            <w:shd w:val="clear" w:color="auto" w:fill="auto"/>
          </w:tcPr>
          <w:p w14:paraId="34579FA3" w14:textId="54DBC38B" w:rsidR="00802BDF" w:rsidRPr="00B101FF" w:rsidRDefault="00802BDF" w:rsidP="00B101FF">
            <w:pPr>
              <w:pStyle w:val="TableTextNoSpace"/>
              <w:jc w:val="left"/>
              <w:rPr>
                <w:rFonts w:asciiTheme="minorHAnsi" w:hAnsiTheme="minorHAnsi"/>
                <w:szCs w:val="20"/>
              </w:rPr>
            </w:pPr>
            <w:r w:rsidRPr="00B101FF">
              <w:rPr>
                <w:rFonts w:asciiTheme="minorHAnsi" w:hAnsiTheme="minorHAnsi"/>
                <w:szCs w:val="20"/>
              </w:rPr>
              <w:t>Glastir agri-environment agreements</w:t>
            </w:r>
          </w:p>
        </w:tc>
        <w:tc>
          <w:tcPr>
            <w:tcW w:w="4817" w:type="dxa"/>
            <w:shd w:val="clear" w:color="auto" w:fill="auto"/>
          </w:tcPr>
          <w:p w14:paraId="20940569" w14:textId="1C8C0471" w:rsidR="00802BDF" w:rsidRPr="00B101FF" w:rsidRDefault="00802BDF" w:rsidP="00B101FF">
            <w:pPr>
              <w:pStyle w:val="TableTextNoSpace"/>
              <w:jc w:val="left"/>
              <w:rPr>
                <w:rFonts w:asciiTheme="minorHAnsi" w:hAnsiTheme="minorHAnsi"/>
                <w:szCs w:val="20"/>
              </w:rPr>
            </w:pPr>
            <w:r w:rsidRPr="00B101FF">
              <w:rPr>
                <w:rFonts w:asciiTheme="minorHAnsi" w:hAnsiTheme="minorHAnsi"/>
                <w:szCs w:val="20"/>
              </w:rPr>
              <w:t>Compensation payments to landowners engaging in landscape and agri-environmental management activities</w:t>
            </w:r>
          </w:p>
        </w:tc>
      </w:tr>
      <w:tr w:rsidR="00802BDF" w14:paraId="188B57C5" w14:textId="77777777" w:rsidTr="00802BDF">
        <w:tc>
          <w:tcPr>
            <w:tcW w:w="3402" w:type="dxa"/>
            <w:shd w:val="clear" w:color="auto" w:fill="auto"/>
          </w:tcPr>
          <w:p w14:paraId="45FAF14D" w14:textId="6FAD6FAC" w:rsidR="00802BDF" w:rsidRPr="00B101FF" w:rsidRDefault="00802BDF" w:rsidP="00B101FF">
            <w:pPr>
              <w:pStyle w:val="TableTextNoSpace"/>
              <w:jc w:val="left"/>
              <w:rPr>
                <w:rFonts w:asciiTheme="minorHAnsi" w:hAnsiTheme="minorHAnsi"/>
                <w:szCs w:val="20"/>
              </w:rPr>
            </w:pPr>
            <w:r w:rsidRPr="00B101FF">
              <w:rPr>
                <w:rFonts w:asciiTheme="minorHAnsi" w:hAnsiTheme="minorHAnsi"/>
                <w:szCs w:val="20"/>
              </w:rPr>
              <w:t>NRW land-use management agreements</w:t>
            </w:r>
          </w:p>
        </w:tc>
        <w:tc>
          <w:tcPr>
            <w:tcW w:w="4817" w:type="dxa"/>
            <w:shd w:val="clear" w:color="auto" w:fill="auto"/>
          </w:tcPr>
          <w:p w14:paraId="4707FD40" w14:textId="3300D26D" w:rsidR="00802BDF" w:rsidRPr="00B101FF" w:rsidRDefault="00802BDF" w:rsidP="00B101FF">
            <w:pPr>
              <w:pStyle w:val="TableTextNoSpace"/>
              <w:jc w:val="left"/>
              <w:rPr>
                <w:rFonts w:asciiTheme="minorHAnsi" w:hAnsiTheme="minorHAnsi"/>
                <w:szCs w:val="20"/>
              </w:rPr>
            </w:pPr>
            <w:r w:rsidRPr="00B101FF">
              <w:rPr>
                <w:rFonts w:asciiTheme="minorHAnsi" w:hAnsiTheme="minorHAnsi"/>
                <w:szCs w:val="20"/>
              </w:rPr>
              <w:t>Management agreements between NRW and landowners to achieve defined ecological management objectives</w:t>
            </w:r>
          </w:p>
        </w:tc>
      </w:tr>
      <w:tr w:rsidR="00802BDF" w14:paraId="643E0809" w14:textId="77777777" w:rsidTr="00802BDF">
        <w:tc>
          <w:tcPr>
            <w:tcW w:w="3402" w:type="dxa"/>
            <w:shd w:val="clear" w:color="auto" w:fill="auto"/>
          </w:tcPr>
          <w:p w14:paraId="4C637152" w14:textId="44BE984A" w:rsidR="00802BDF" w:rsidRPr="00B101FF" w:rsidRDefault="00802BDF" w:rsidP="00B101FF">
            <w:pPr>
              <w:pStyle w:val="TableTextNoSpace"/>
              <w:jc w:val="left"/>
              <w:rPr>
                <w:rFonts w:asciiTheme="minorHAnsi" w:hAnsiTheme="minorHAnsi"/>
                <w:szCs w:val="20"/>
              </w:rPr>
            </w:pPr>
            <w:r w:rsidRPr="00B101FF">
              <w:rPr>
                <w:rFonts w:asciiTheme="minorHAnsi" w:hAnsiTheme="minorHAnsi"/>
                <w:szCs w:val="20"/>
              </w:rPr>
              <w:t>Direct conservation management</w:t>
            </w:r>
          </w:p>
        </w:tc>
        <w:tc>
          <w:tcPr>
            <w:tcW w:w="4817" w:type="dxa"/>
            <w:shd w:val="clear" w:color="auto" w:fill="auto"/>
          </w:tcPr>
          <w:p w14:paraId="1DFF3FC4" w14:textId="5DD8D645" w:rsidR="00802BDF" w:rsidRPr="00B101FF" w:rsidRDefault="00802BDF" w:rsidP="008B06A7">
            <w:pPr>
              <w:pStyle w:val="TableTextNoSpace"/>
              <w:jc w:val="left"/>
              <w:rPr>
                <w:rFonts w:asciiTheme="minorHAnsi" w:hAnsiTheme="minorHAnsi"/>
                <w:szCs w:val="20"/>
              </w:rPr>
            </w:pPr>
            <w:r w:rsidRPr="00B101FF">
              <w:rPr>
                <w:rFonts w:asciiTheme="minorHAnsi" w:hAnsiTheme="minorHAnsi"/>
                <w:szCs w:val="20"/>
              </w:rPr>
              <w:t xml:space="preserve">Management carried out </w:t>
            </w:r>
            <w:r>
              <w:rPr>
                <w:rFonts w:asciiTheme="minorHAnsi" w:hAnsiTheme="minorHAnsi"/>
                <w:szCs w:val="20"/>
              </w:rPr>
              <w:t xml:space="preserve">or contracted directly </w:t>
            </w:r>
            <w:r w:rsidRPr="00B101FF">
              <w:rPr>
                <w:rFonts w:asciiTheme="minorHAnsi" w:hAnsiTheme="minorHAnsi"/>
                <w:szCs w:val="20"/>
              </w:rPr>
              <w:t xml:space="preserve">by NRW </w:t>
            </w:r>
            <w:r>
              <w:rPr>
                <w:rFonts w:asciiTheme="minorHAnsi" w:hAnsiTheme="minorHAnsi"/>
                <w:szCs w:val="20"/>
              </w:rPr>
              <w:t>or other organisation with management responsibility for a site e.g. NGO or local authority</w:t>
            </w:r>
          </w:p>
        </w:tc>
      </w:tr>
      <w:tr w:rsidR="00802BDF" w14:paraId="4B23FFC1" w14:textId="77777777" w:rsidTr="00802BDF">
        <w:tc>
          <w:tcPr>
            <w:tcW w:w="3402" w:type="dxa"/>
            <w:shd w:val="clear" w:color="auto" w:fill="auto"/>
          </w:tcPr>
          <w:p w14:paraId="63BF6315" w14:textId="25545E51" w:rsidR="00802BDF" w:rsidRPr="00B101FF" w:rsidRDefault="00802BDF" w:rsidP="00B101FF">
            <w:pPr>
              <w:pStyle w:val="TableTextNoSpace"/>
              <w:jc w:val="left"/>
              <w:rPr>
                <w:rFonts w:asciiTheme="minorHAnsi" w:hAnsiTheme="minorHAnsi"/>
                <w:szCs w:val="20"/>
              </w:rPr>
            </w:pPr>
            <w:r w:rsidRPr="00B101FF">
              <w:rPr>
                <w:rFonts w:asciiTheme="minorHAnsi" w:hAnsiTheme="minorHAnsi"/>
                <w:szCs w:val="20"/>
              </w:rPr>
              <w:t>Land ownership</w:t>
            </w:r>
          </w:p>
        </w:tc>
        <w:tc>
          <w:tcPr>
            <w:tcW w:w="4817" w:type="dxa"/>
            <w:shd w:val="clear" w:color="auto" w:fill="auto"/>
          </w:tcPr>
          <w:p w14:paraId="4048FD23" w14:textId="4EDE3669" w:rsidR="00802BDF" w:rsidRPr="00B101FF" w:rsidRDefault="00802BDF" w:rsidP="00B101FF">
            <w:pPr>
              <w:pStyle w:val="TableTextNoSpace"/>
              <w:jc w:val="left"/>
              <w:rPr>
                <w:rFonts w:asciiTheme="minorHAnsi" w:hAnsiTheme="minorHAnsi"/>
                <w:szCs w:val="20"/>
              </w:rPr>
            </w:pPr>
            <w:r w:rsidRPr="00B101FF">
              <w:rPr>
                <w:rFonts w:asciiTheme="minorHAnsi" w:hAnsiTheme="minorHAnsi"/>
                <w:szCs w:val="20"/>
              </w:rPr>
              <w:t>Acquisition of land, or development of tenancy agreements, to aid the implementation of management actions</w:t>
            </w:r>
          </w:p>
        </w:tc>
      </w:tr>
      <w:tr w:rsidR="00802BDF" w14:paraId="1F0584C7" w14:textId="77777777" w:rsidTr="00802BDF">
        <w:tc>
          <w:tcPr>
            <w:tcW w:w="3402" w:type="dxa"/>
            <w:shd w:val="clear" w:color="auto" w:fill="auto"/>
          </w:tcPr>
          <w:p w14:paraId="0297ADFF" w14:textId="29DBBFAA" w:rsidR="00802BDF" w:rsidRPr="00B101FF" w:rsidRDefault="00802BDF" w:rsidP="00B101FF">
            <w:pPr>
              <w:pStyle w:val="TableTextNoSpace"/>
              <w:jc w:val="left"/>
              <w:rPr>
                <w:rFonts w:asciiTheme="minorHAnsi" w:hAnsiTheme="minorHAnsi"/>
                <w:szCs w:val="20"/>
              </w:rPr>
            </w:pPr>
            <w:r w:rsidRPr="00B101FF">
              <w:rPr>
                <w:rFonts w:asciiTheme="minorHAnsi" w:hAnsiTheme="minorHAnsi"/>
                <w:szCs w:val="20"/>
              </w:rPr>
              <w:t>Special initiatives</w:t>
            </w:r>
            <w:r>
              <w:rPr>
                <w:rFonts w:asciiTheme="minorHAnsi" w:hAnsiTheme="minorHAnsi"/>
                <w:szCs w:val="20"/>
              </w:rPr>
              <w:t>/projects</w:t>
            </w:r>
          </w:p>
        </w:tc>
        <w:tc>
          <w:tcPr>
            <w:tcW w:w="4817" w:type="dxa"/>
            <w:shd w:val="clear" w:color="auto" w:fill="auto"/>
          </w:tcPr>
          <w:p w14:paraId="0FFAAE83" w14:textId="4C523FC0" w:rsidR="00802BDF" w:rsidRPr="00B101FF" w:rsidRDefault="00802BDF" w:rsidP="00B101FF">
            <w:pPr>
              <w:pStyle w:val="TableTextNoSpace"/>
              <w:jc w:val="left"/>
              <w:rPr>
                <w:rFonts w:asciiTheme="minorHAnsi" w:hAnsiTheme="minorHAnsi"/>
                <w:szCs w:val="20"/>
              </w:rPr>
            </w:pPr>
            <w:r w:rsidRPr="00B101FF">
              <w:rPr>
                <w:rFonts w:asciiTheme="minorHAnsi" w:hAnsiTheme="minorHAnsi"/>
                <w:szCs w:val="20"/>
              </w:rPr>
              <w:t>Various policy, educational or technical initiatives designed to address specific or general management issues relating to sites or the network as a whole</w:t>
            </w:r>
          </w:p>
        </w:tc>
      </w:tr>
      <w:tr w:rsidR="00802BDF" w14:paraId="071D3129" w14:textId="77777777" w:rsidTr="00802BDF">
        <w:tc>
          <w:tcPr>
            <w:tcW w:w="3402" w:type="dxa"/>
            <w:shd w:val="clear" w:color="auto" w:fill="auto"/>
          </w:tcPr>
          <w:p w14:paraId="0E980CE1" w14:textId="709221DE" w:rsidR="00802BDF" w:rsidRPr="00B101FF" w:rsidRDefault="00802BDF" w:rsidP="00B101FF">
            <w:pPr>
              <w:pStyle w:val="TableTextNoSpace"/>
              <w:jc w:val="left"/>
              <w:rPr>
                <w:rFonts w:asciiTheme="minorHAnsi" w:hAnsiTheme="minorHAnsi"/>
                <w:szCs w:val="20"/>
              </w:rPr>
            </w:pPr>
            <w:r w:rsidRPr="00B101FF">
              <w:rPr>
                <w:rFonts w:asciiTheme="minorHAnsi" w:hAnsiTheme="minorHAnsi"/>
                <w:szCs w:val="20"/>
              </w:rPr>
              <w:t>Other sector plans</w:t>
            </w:r>
          </w:p>
        </w:tc>
        <w:tc>
          <w:tcPr>
            <w:tcW w:w="4817" w:type="dxa"/>
            <w:shd w:val="clear" w:color="auto" w:fill="auto"/>
          </w:tcPr>
          <w:p w14:paraId="7A32BA2C" w14:textId="7E4472BB" w:rsidR="00802BDF" w:rsidRPr="00B101FF" w:rsidRDefault="00802BDF" w:rsidP="00B101FF">
            <w:pPr>
              <w:pStyle w:val="TableTextNoSpace"/>
              <w:jc w:val="left"/>
              <w:rPr>
                <w:rFonts w:asciiTheme="minorHAnsi" w:hAnsiTheme="minorHAnsi"/>
                <w:szCs w:val="20"/>
              </w:rPr>
            </w:pPr>
            <w:r w:rsidRPr="00B101FF">
              <w:rPr>
                <w:rFonts w:asciiTheme="minorHAnsi" w:hAnsiTheme="minorHAnsi"/>
                <w:szCs w:val="20"/>
              </w:rPr>
              <w:t>Integration of Natura 2000 needs into strategies and action plans of other sectors</w:t>
            </w:r>
          </w:p>
        </w:tc>
      </w:tr>
      <w:tr w:rsidR="00802BDF" w14:paraId="6DA0DF27" w14:textId="77777777" w:rsidTr="00802BDF">
        <w:tc>
          <w:tcPr>
            <w:tcW w:w="3402" w:type="dxa"/>
            <w:shd w:val="clear" w:color="auto" w:fill="auto"/>
          </w:tcPr>
          <w:p w14:paraId="082071B1" w14:textId="312A29BA" w:rsidR="00802BDF" w:rsidRPr="00B101FF" w:rsidRDefault="00802BDF" w:rsidP="00B101FF">
            <w:pPr>
              <w:pStyle w:val="TableTextNoSpace"/>
              <w:jc w:val="left"/>
              <w:rPr>
                <w:rFonts w:asciiTheme="minorHAnsi" w:hAnsiTheme="minorHAnsi"/>
                <w:szCs w:val="20"/>
              </w:rPr>
            </w:pPr>
            <w:r w:rsidRPr="00B101FF">
              <w:rPr>
                <w:rFonts w:asciiTheme="minorHAnsi" w:hAnsiTheme="minorHAnsi"/>
                <w:szCs w:val="20"/>
              </w:rPr>
              <w:t>Legislation and regulation</w:t>
            </w:r>
          </w:p>
        </w:tc>
        <w:tc>
          <w:tcPr>
            <w:tcW w:w="4817" w:type="dxa"/>
            <w:shd w:val="clear" w:color="auto" w:fill="auto"/>
          </w:tcPr>
          <w:p w14:paraId="5FB63F22" w14:textId="55A67631" w:rsidR="00802BDF" w:rsidRPr="00B101FF" w:rsidRDefault="00802BDF" w:rsidP="00B101FF">
            <w:pPr>
              <w:pStyle w:val="TableTextNoSpace"/>
              <w:jc w:val="left"/>
              <w:rPr>
                <w:rFonts w:asciiTheme="minorHAnsi" w:hAnsiTheme="minorHAnsi"/>
                <w:szCs w:val="20"/>
              </w:rPr>
            </w:pPr>
            <w:r w:rsidRPr="00B101FF">
              <w:rPr>
                <w:rFonts w:asciiTheme="minorHAnsi" w:hAnsiTheme="minorHAnsi"/>
                <w:szCs w:val="20"/>
              </w:rPr>
              <w:t>Use of legislation &amp; regulation to control activities</w:t>
            </w:r>
          </w:p>
        </w:tc>
      </w:tr>
    </w:tbl>
    <w:p w14:paraId="7FE99578" w14:textId="77777777" w:rsidR="00802BDF" w:rsidRDefault="00802BDF" w:rsidP="00802BDF">
      <w:pPr>
        <w:pStyle w:val="BodyText"/>
      </w:pPr>
    </w:p>
    <w:p w14:paraId="0AAC62B0" w14:textId="5218D62D" w:rsidR="008E0882" w:rsidRDefault="008E0882" w:rsidP="00802BDF">
      <w:pPr>
        <w:pStyle w:val="Table"/>
      </w:pPr>
      <w:r>
        <w:t xml:space="preserve">Typology of potential new mechanisms </w:t>
      </w:r>
    </w:p>
    <w:tbl>
      <w:tblPr>
        <w:tblW w:w="8219" w:type="dxa"/>
        <w:tblInd w:w="850" w:type="dxa"/>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Layout w:type="fixed"/>
        <w:tblCellMar>
          <w:top w:w="57" w:type="dxa"/>
          <w:left w:w="0" w:type="dxa"/>
          <w:bottom w:w="28" w:type="dxa"/>
          <w:right w:w="0" w:type="dxa"/>
        </w:tblCellMar>
        <w:tblLook w:val="0000" w:firstRow="0" w:lastRow="0" w:firstColumn="0" w:lastColumn="0" w:noHBand="0" w:noVBand="0"/>
      </w:tblPr>
      <w:tblGrid>
        <w:gridCol w:w="3402"/>
        <w:gridCol w:w="4817"/>
      </w:tblGrid>
      <w:tr w:rsidR="00802BDF" w14:paraId="24479649" w14:textId="77777777" w:rsidTr="00802BDF">
        <w:trPr>
          <w:trHeight w:val="222"/>
        </w:trPr>
        <w:tc>
          <w:tcPr>
            <w:tcW w:w="3402" w:type="dxa"/>
            <w:tcBorders>
              <w:top w:val="single" w:sz="2" w:space="0" w:color="0067AB"/>
              <w:left w:val="single" w:sz="2" w:space="0" w:color="0067AB"/>
              <w:bottom w:val="single" w:sz="2" w:space="0" w:color="0067AB"/>
              <w:right w:val="single" w:sz="2" w:space="0" w:color="FFFFFF" w:themeColor="background1"/>
            </w:tcBorders>
            <w:shd w:val="clear" w:color="auto" w:fill="0067AC" w:themeFill="text2"/>
          </w:tcPr>
          <w:p w14:paraId="0399EE4F" w14:textId="77777777" w:rsidR="00802BDF" w:rsidRPr="00802BDF" w:rsidRDefault="00802BDF" w:rsidP="00802BDF">
            <w:pPr>
              <w:pStyle w:val="TableTextNoSpace"/>
              <w:jc w:val="left"/>
              <w:rPr>
                <w:rFonts w:asciiTheme="minorHAnsi" w:eastAsia="Times New Roman" w:hAnsiTheme="minorHAnsi"/>
                <w:color w:val="FFFFFF" w:themeColor="background1"/>
                <w:szCs w:val="20"/>
                <w:lang w:eastAsia="en-GB"/>
              </w:rPr>
            </w:pPr>
            <w:r w:rsidRPr="00802BDF">
              <w:rPr>
                <w:rFonts w:asciiTheme="minorHAnsi" w:eastAsia="Times New Roman" w:hAnsiTheme="minorHAnsi"/>
                <w:color w:val="FFFFFF" w:themeColor="background1"/>
                <w:szCs w:val="20"/>
                <w:lang w:eastAsia="en-GB"/>
              </w:rPr>
              <w:t>Type of management mechanism</w:t>
            </w:r>
          </w:p>
        </w:tc>
        <w:tc>
          <w:tcPr>
            <w:tcW w:w="4817" w:type="dxa"/>
            <w:tcBorders>
              <w:top w:val="single" w:sz="2" w:space="0" w:color="0067AB"/>
              <w:left w:val="single" w:sz="2" w:space="0" w:color="FFFFFF" w:themeColor="background1"/>
              <w:bottom w:val="single" w:sz="2" w:space="0" w:color="0067AB"/>
              <w:right w:val="single" w:sz="2" w:space="0" w:color="0067AB"/>
            </w:tcBorders>
            <w:shd w:val="clear" w:color="auto" w:fill="0067AC" w:themeFill="text2"/>
          </w:tcPr>
          <w:p w14:paraId="43580F16" w14:textId="77777777" w:rsidR="00802BDF" w:rsidRPr="00802BDF" w:rsidRDefault="00802BDF" w:rsidP="00802BDF">
            <w:pPr>
              <w:pStyle w:val="TableTextNoSpace"/>
              <w:jc w:val="left"/>
              <w:rPr>
                <w:rFonts w:asciiTheme="minorHAnsi" w:hAnsiTheme="minorHAnsi"/>
                <w:color w:val="FFFFFF" w:themeColor="background1"/>
                <w:szCs w:val="20"/>
              </w:rPr>
            </w:pPr>
            <w:r w:rsidRPr="00802BDF">
              <w:rPr>
                <w:rFonts w:asciiTheme="minorHAnsi" w:hAnsiTheme="minorHAnsi"/>
                <w:color w:val="FFFFFF" w:themeColor="background1"/>
                <w:szCs w:val="20"/>
              </w:rPr>
              <w:t>Further explanation</w:t>
            </w:r>
          </w:p>
        </w:tc>
      </w:tr>
      <w:tr w:rsidR="00802BDF" w:rsidRPr="00B101FF" w14:paraId="4D97924E" w14:textId="77777777" w:rsidTr="00802BDF">
        <w:trPr>
          <w:trHeight w:val="431"/>
        </w:trPr>
        <w:tc>
          <w:tcPr>
            <w:tcW w:w="3402" w:type="dxa"/>
            <w:shd w:val="clear" w:color="auto" w:fill="auto"/>
          </w:tcPr>
          <w:p w14:paraId="54E92ED6" w14:textId="77777777" w:rsidR="00802BDF" w:rsidRPr="00B101FF" w:rsidRDefault="00802BDF" w:rsidP="00802BDF">
            <w:pPr>
              <w:pStyle w:val="TableTextNoSpace"/>
              <w:jc w:val="left"/>
              <w:rPr>
                <w:rFonts w:asciiTheme="minorHAnsi" w:hAnsiTheme="minorHAnsi"/>
                <w:szCs w:val="20"/>
              </w:rPr>
            </w:pPr>
            <w:r w:rsidRPr="00B101FF">
              <w:rPr>
                <w:rFonts w:asciiTheme="minorHAnsi" w:eastAsia="Times New Roman" w:hAnsiTheme="minorHAnsi"/>
                <w:szCs w:val="20"/>
                <w:lang w:eastAsia="en-GB"/>
              </w:rPr>
              <w:t>Promotion of social/community enterprise and green business</w:t>
            </w:r>
          </w:p>
        </w:tc>
        <w:tc>
          <w:tcPr>
            <w:tcW w:w="4817" w:type="dxa"/>
            <w:shd w:val="clear" w:color="auto" w:fill="auto"/>
          </w:tcPr>
          <w:p w14:paraId="10B6BDAF" w14:textId="77777777" w:rsidR="00802BDF" w:rsidRPr="00B101FF" w:rsidRDefault="00802BDF" w:rsidP="00802BDF">
            <w:pPr>
              <w:pStyle w:val="TableTextNoSpace"/>
              <w:jc w:val="left"/>
              <w:rPr>
                <w:rFonts w:asciiTheme="minorHAnsi" w:hAnsiTheme="minorHAnsi"/>
                <w:szCs w:val="20"/>
              </w:rPr>
            </w:pPr>
            <w:r w:rsidRPr="00B101FF">
              <w:rPr>
                <w:rFonts w:asciiTheme="minorHAnsi" w:hAnsiTheme="minorHAnsi"/>
                <w:szCs w:val="20"/>
              </w:rPr>
              <w:t>Use of such enterprises/businesses to deliver management actions</w:t>
            </w:r>
          </w:p>
        </w:tc>
      </w:tr>
      <w:tr w:rsidR="00802BDF" w:rsidRPr="00B101FF" w14:paraId="6B2CA7B7" w14:textId="77777777" w:rsidTr="00802BDF">
        <w:tc>
          <w:tcPr>
            <w:tcW w:w="3402" w:type="dxa"/>
            <w:shd w:val="clear" w:color="auto" w:fill="auto"/>
          </w:tcPr>
          <w:p w14:paraId="4AD488DC" w14:textId="77777777" w:rsidR="00802BDF" w:rsidRPr="00B101FF" w:rsidRDefault="00802BDF" w:rsidP="00802BDF">
            <w:pPr>
              <w:pStyle w:val="TableTextNoSpace"/>
              <w:jc w:val="left"/>
              <w:rPr>
                <w:rFonts w:asciiTheme="minorHAnsi" w:hAnsiTheme="minorHAnsi"/>
                <w:szCs w:val="20"/>
              </w:rPr>
            </w:pPr>
            <w:r w:rsidRPr="00B101FF">
              <w:rPr>
                <w:rFonts w:asciiTheme="minorHAnsi" w:eastAsia="Times New Roman" w:hAnsiTheme="minorHAnsi"/>
                <w:szCs w:val="20"/>
                <w:lang w:eastAsia="en-GB"/>
              </w:rPr>
              <w:t>Incentivise site users/managers to use their skills in an alternative way to obtain positive outcomes for N2K</w:t>
            </w:r>
          </w:p>
        </w:tc>
        <w:tc>
          <w:tcPr>
            <w:tcW w:w="4817" w:type="dxa"/>
            <w:shd w:val="clear" w:color="auto" w:fill="auto"/>
          </w:tcPr>
          <w:p w14:paraId="5693478C" w14:textId="77777777" w:rsidR="00802BDF" w:rsidRPr="00B101FF" w:rsidRDefault="00802BDF" w:rsidP="00802BDF">
            <w:pPr>
              <w:pStyle w:val="TableTextNoSpace"/>
              <w:jc w:val="left"/>
              <w:rPr>
                <w:rFonts w:asciiTheme="minorHAnsi" w:hAnsiTheme="minorHAnsi"/>
                <w:szCs w:val="20"/>
              </w:rPr>
            </w:pPr>
            <w:r w:rsidRPr="00B101FF">
              <w:rPr>
                <w:rFonts w:asciiTheme="minorHAnsi" w:hAnsiTheme="minorHAnsi"/>
                <w:szCs w:val="20"/>
              </w:rPr>
              <w:t xml:space="preserve">Financial or other incentives to encourage certain ways of working or additional tasks that address conservation needs. </w:t>
            </w:r>
          </w:p>
        </w:tc>
      </w:tr>
      <w:tr w:rsidR="00802BDF" w:rsidRPr="00B101FF" w14:paraId="304197AA" w14:textId="77777777" w:rsidTr="00802BDF">
        <w:tc>
          <w:tcPr>
            <w:tcW w:w="3402" w:type="dxa"/>
            <w:shd w:val="clear" w:color="auto" w:fill="auto"/>
          </w:tcPr>
          <w:p w14:paraId="2B2AF9DD" w14:textId="77777777" w:rsidR="00802BDF" w:rsidRPr="00B101FF" w:rsidRDefault="00802BDF" w:rsidP="00802BDF">
            <w:pPr>
              <w:pStyle w:val="TableTextNoSpace"/>
              <w:jc w:val="left"/>
              <w:rPr>
                <w:rFonts w:asciiTheme="minorHAnsi" w:hAnsiTheme="minorHAnsi"/>
                <w:szCs w:val="20"/>
              </w:rPr>
            </w:pPr>
            <w:r w:rsidRPr="00B101FF">
              <w:rPr>
                <w:rFonts w:asciiTheme="minorHAnsi" w:eastAsia="Times New Roman" w:hAnsiTheme="minorHAnsi"/>
                <w:szCs w:val="20"/>
                <w:lang w:eastAsia="en-GB"/>
              </w:rPr>
              <w:t xml:space="preserve">Conservation </w:t>
            </w:r>
            <w:r>
              <w:rPr>
                <w:rFonts w:asciiTheme="minorHAnsi" w:eastAsia="Times New Roman" w:hAnsiTheme="minorHAnsi"/>
                <w:szCs w:val="20"/>
                <w:lang w:eastAsia="en-GB"/>
              </w:rPr>
              <w:t>c</w:t>
            </w:r>
            <w:r w:rsidRPr="00B101FF">
              <w:rPr>
                <w:rFonts w:asciiTheme="minorHAnsi" w:eastAsia="Times New Roman" w:hAnsiTheme="minorHAnsi"/>
                <w:szCs w:val="20"/>
                <w:lang w:eastAsia="en-GB"/>
              </w:rPr>
              <w:t>ovenant</w:t>
            </w:r>
          </w:p>
        </w:tc>
        <w:tc>
          <w:tcPr>
            <w:tcW w:w="4817" w:type="dxa"/>
            <w:shd w:val="clear" w:color="auto" w:fill="auto"/>
          </w:tcPr>
          <w:p w14:paraId="2AC059CB" w14:textId="77777777" w:rsidR="00802BDF" w:rsidRPr="00B101FF" w:rsidRDefault="00802BDF" w:rsidP="00802BDF">
            <w:pPr>
              <w:pStyle w:val="TableTextNoSpace"/>
              <w:jc w:val="left"/>
              <w:rPr>
                <w:rFonts w:asciiTheme="minorHAnsi" w:hAnsiTheme="minorHAnsi"/>
                <w:szCs w:val="20"/>
              </w:rPr>
            </w:pPr>
            <w:r w:rsidRPr="00B101FF">
              <w:rPr>
                <w:rFonts w:asciiTheme="minorHAnsi" w:hAnsiTheme="minorHAnsi"/>
                <w:szCs w:val="20"/>
              </w:rPr>
              <w:t>Voluntary agreement between a landowner and responsible body (charity, public body/ local/central government) to give up normal rights for the benefit of conservation, for which payment is usually mad</w:t>
            </w:r>
            <w:r>
              <w:rPr>
                <w:rFonts w:asciiTheme="minorHAnsi" w:hAnsiTheme="minorHAnsi"/>
                <w:szCs w:val="20"/>
              </w:rPr>
              <w:t>e</w:t>
            </w:r>
          </w:p>
        </w:tc>
      </w:tr>
      <w:tr w:rsidR="00802BDF" w:rsidRPr="00B101FF" w14:paraId="793C389E" w14:textId="77777777" w:rsidTr="00802BDF">
        <w:tc>
          <w:tcPr>
            <w:tcW w:w="3402" w:type="dxa"/>
            <w:shd w:val="clear" w:color="auto" w:fill="auto"/>
          </w:tcPr>
          <w:p w14:paraId="5F642335" w14:textId="77777777" w:rsidR="00802BDF" w:rsidRPr="00B101FF" w:rsidRDefault="00802BDF" w:rsidP="00802BDF">
            <w:pPr>
              <w:pStyle w:val="TableTextNoSpace"/>
              <w:jc w:val="left"/>
              <w:rPr>
                <w:rFonts w:asciiTheme="minorHAnsi" w:hAnsiTheme="minorHAnsi"/>
                <w:szCs w:val="20"/>
              </w:rPr>
            </w:pPr>
            <w:r w:rsidRPr="00B101FF">
              <w:rPr>
                <w:rFonts w:asciiTheme="minorHAnsi" w:eastAsia="Times New Roman" w:hAnsiTheme="minorHAnsi"/>
                <w:szCs w:val="20"/>
                <w:lang w:eastAsia="en-GB"/>
              </w:rPr>
              <w:t>Resource sharing programme</w:t>
            </w:r>
          </w:p>
        </w:tc>
        <w:tc>
          <w:tcPr>
            <w:tcW w:w="4817" w:type="dxa"/>
            <w:shd w:val="clear" w:color="auto" w:fill="auto"/>
          </w:tcPr>
          <w:p w14:paraId="1FA788EA" w14:textId="77777777" w:rsidR="00802BDF" w:rsidRPr="00B101FF" w:rsidRDefault="00802BDF" w:rsidP="00802BDF">
            <w:pPr>
              <w:pStyle w:val="TableTextNoSpace"/>
              <w:jc w:val="left"/>
              <w:rPr>
                <w:rFonts w:asciiTheme="minorHAnsi" w:hAnsiTheme="minorHAnsi"/>
                <w:szCs w:val="20"/>
              </w:rPr>
            </w:pPr>
            <w:r w:rsidRPr="00B101FF">
              <w:rPr>
                <w:rFonts w:asciiTheme="minorHAnsi" w:hAnsiTheme="minorHAnsi"/>
                <w:szCs w:val="20"/>
              </w:rPr>
              <w:t>Sharing of labour and capital resources across projects, programmes, sectors</w:t>
            </w:r>
          </w:p>
        </w:tc>
      </w:tr>
      <w:tr w:rsidR="00802BDF" w:rsidRPr="00B101FF" w14:paraId="4799BADF" w14:textId="77777777" w:rsidTr="00802BDF">
        <w:tc>
          <w:tcPr>
            <w:tcW w:w="3402" w:type="dxa"/>
            <w:shd w:val="clear" w:color="auto" w:fill="auto"/>
          </w:tcPr>
          <w:p w14:paraId="16550DC5" w14:textId="77777777" w:rsidR="00802BDF" w:rsidRPr="00B101FF" w:rsidRDefault="00802BDF" w:rsidP="00802BDF">
            <w:pPr>
              <w:pStyle w:val="TableTextNoSpace"/>
              <w:jc w:val="left"/>
              <w:rPr>
                <w:rFonts w:asciiTheme="minorHAnsi" w:eastAsia="Times New Roman" w:hAnsiTheme="minorHAnsi"/>
                <w:szCs w:val="20"/>
                <w:lang w:eastAsia="en-GB"/>
              </w:rPr>
            </w:pPr>
            <w:r w:rsidRPr="00B101FF">
              <w:rPr>
                <w:rFonts w:asciiTheme="minorHAnsi" w:eastAsia="Times New Roman" w:hAnsiTheme="minorHAnsi"/>
                <w:szCs w:val="20"/>
                <w:lang w:eastAsia="en-GB"/>
              </w:rPr>
              <w:t xml:space="preserve">Marketed products </w:t>
            </w:r>
          </w:p>
        </w:tc>
        <w:tc>
          <w:tcPr>
            <w:tcW w:w="4817" w:type="dxa"/>
            <w:shd w:val="clear" w:color="auto" w:fill="auto"/>
          </w:tcPr>
          <w:p w14:paraId="57FE0885" w14:textId="77777777" w:rsidR="00802BDF" w:rsidRPr="00B101FF" w:rsidRDefault="00802BDF" w:rsidP="00802BDF">
            <w:pPr>
              <w:pStyle w:val="TableTextNoSpace"/>
              <w:jc w:val="left"/>
              <w:rPr>
                <w:rFonts w:asciiTheme="minorHAnsi" w:hAnsiTheme="minorHAnsi"/>
                <w:szCs w:val="20"/>
              </w:rPr>
            </w:pPr>
            <w:r w:rsidRPr="00B101FF">
              <w:rPr>
                <w:rFonts w:asciiTheme="minorHAnsi" w:hAnsiTheme="minorHAnsi"/>
                <w:szCs w:val="20"/>
              </w:rPr>
              <w:t>Products produced on Natura 2000 sites. Most typically these may focus on premium-priced products (via certification and labelling) or finding markets for by-products generated on site</w:t>
            </w:r>
          </w:p>
        </w:tc>
      </w:tr>
      <w:tr w:rsidR="00802BDF" w:rsidRPr="00B101FF" w14:paraId="3665B961" w14:textId="77777777" w:rsidTr="00802BDF">
        <w:tc>
          <w:tcPr>
            <w:tcW w:w="3402" w:type="dxa"/>
            <w:shd w:val="clear" w:color="auto" w:fill="auto"/>
          </w:tcPr>
          <w:p w14:paraId="6FA2CDB5" w14:textId="77777777" w:rsidR="00802BDF" w:rsidRPr="00B101FF" w:rsidRDefault="00802BDF" w:rsidP="00802BDF">
            <w:pPr>
              <w:pStyle w:val="TableTextNoSpace"/>
              <w:jc w:val="left"/>
              <w:rPr>
                <w:rFonts w:asciiTheme="minorHAnsi" w:eastAsia="Times New Roman" w:hAnsiTheme="minorHAnsi"/>
                <w:szCs w:val="20"/>
                <w:lang w:eastAsia="en-GB"/>
              </w:rPr>
            </w:pPr>
            <w:r w:rsidRPr="00B101FF">
              <w:rPr>
                <w:rFonts w:asciiTheme="minorHAnsi" w:eastAsia="Times New Roman" w:hAnsiTheme="minorHAnsi"/>
                <w:szCs w:val="20"/>
                <w:lang w:eastAsia="en-GB"/>
              </w:rPr>
              <w:t xml:space="preserve">Payment  for ecosystem services </w:t>
            </w:r>
          </w:p>
        </w:tc>
        <w:tc>
          <w:tcPr>
            <w:tcW w:w="4817" w:type="dxa"/>
            <w:shd w:val="clear" w:color="auto" w:fill="auto"/>
          </w:tcPr>
          <w:p w14:paraId="53BA8AA5" w14:textId="77777777" w:rsidR="00802BDF" w:rsidRPr="00B101FF" w:rsidRDefault="00802BDF" w:rsidP="00802BDF">
            <w:pPr>
              <w:pStyle w:val="TableTextNoSpace"/>
              <w:jc w:val="left"/>
              <w:rPr>
                <w:rFonts w:asciiTheme="minorHAnsi" w:hAnsiTheme="minorHAnsi"/>
                <w:szCs w:val="20"/>
              </w:rPr>
            </w:pPr>
            <w:r w:rsidRPr="00B101FF">
              <w:rPr>
                <w:rFonts w:asciiTheme="minorHAnsi" w:hAnsiTheme="minorHAnsi"/>
                <w:szCs w:val="20"/>
              </w:rPr>
              <w:t>A PES scheme can be used to encourage the protection and enhancement of ecosystem services through a voluntary transaction between the provider of the service and a beneficiary</w:t>
            </w:r>
          </w:p>
        </w:tc>
      </w:tr>
    </w:tbl>
    <w:p w14:paraId="465C1046" w14:textId="77777777" w:rsidR="00802BDF" w:rsidRPr="008E0882" w:rsidRDefault="00802BDF" w:rsidP="00802BDF">
      <w:pPr>
        <w:pStyle w:val="BodyText"/>
        <w:ind w:left="0"/>
      </w:pPr>
    </w:p>
    <w:p w14:paraId="7A58F184" w14:textId="77777777" w:rsidR="007B1EA9" w:rsidRDefault="007B1EA9" w:rsidP="007B1EA9">
      <w:pPr>
        <w:pStyle w:val="Heading3"/>
      </w:pPr>
      <w:r>
        <w:t>Linking management mechanisms, management actions and funding sources</w:t>
      </w:r>
    </w:p>
    <w:p w14:paraId="38519543" w14:textId="74DF0A5B" w:rsidR="006F739D" w:rsidRPr="0097200E" w:rsidRDefault="00D011EA" w:rsidP="006F739D">
      <w:pPr>
        <w:pStyle w:val="BodyText"/>
      </w:pPr>
      <w:r>
        <w:t>Four</w:t>
      </w:r>
      <w:r w:rsidR="006F739D" w:rsidRPr="0097200E">
        <w:t xml:space="preserve"> </w:t>
      </w:r>
      <w:r w:rsidR="0097200E">
        <w:t>general</w:t>
      </w:r>
      <w:r w:rsidR="006F739D" w:rsidRPr="0097200E">
        <w:t xml:space="preserve"> linkages between management mechanisms and funding can be identified: </w:t>
      </w:r>
    </w:p>
    <w:p w14:paraId="72F2EDEB" w14:textId="01BA5326" w:rsidR="006F739D" w:rsidRPr="0097200E" w:rsidRDefault="006F739D" w:rsidP="006F739D">
      <w:pPr>
        <w:pStyle w:val="BTBullet1"/>
      </w:pPr>
      <w:r w:rsidRPr="0097200E">
        <w:t xml:space="preserve">Management mechanisms with associated </w:t>
      </w:r>
      <w:r w:rsidR="00B101FF">
        <w:t xml:space="preserve">dedicated </w:t>
      </w:r>
      <w:r w:rsidRPr="0097200E">
        <w:t xml:space="preserve">funding </w:t>
      </w:r>
      <w:r w:rsidR="00B101FF">
        <w:t>which can</w:t>
      </w:r>
      <w:r w:rsidRPr="0097200E">
        <w:t xml:space="preserve"> be used to </w:t>
      </w:r>
      <w:r w:rsidR="0097200E">
        <w:t>deliver management actions for</w:t>
      </w:r>
      <w:r w:rsidRPr="0097200E">
        <w:t xml:space="preserve"> Natura 2000</w:t>
      </w:r>
      <w:r w:rsidR="00D412BE">
        <w:t>, for example,</w:t>
      </w:r>
      <w:r w:rsidR="001116D3">
        <w:t xml:space="preserve"> </w:t>
      </w:r>
      <w:r w:rsidR="00027196" w:rsidRPr="0097200E">
        <w:t>e.g.</w:t>
      </w:r>
      <w:r w:rsidRPr="0097200E">
        <w:t xml:space="preserve"> Glastir agri-environmental agreements</w:t>
      </w:r>
      <w:r w:rsidR="00326662">
        <w:t>.</w:t>
      </w:r>
    </w:p>
    <w:p w14:paraId="3781795F" w14:textId="77777777" w:rsidR="00783B6E" w:rsidRDefault="00F414B3" w:rsidP="00783B6E">
      <w:pPr>
        <w:pStyle w:val="BTBullet1"/>
      </w:pPr>
      <w:r w:rsidRPr="0097200E">
        <w:t xml:space="preserve">Management mechanisms </w:t>
      </w:r>
      <w:r w:rsidR="00B101FF">
        <w:t xml:space="preserve">which </w:t>
      </w:r>
      <w:r w:rsidRPr="0097200E">
        <w:t xml:space="preserve">may deliver </w:t>
      </w:r>
      <w:r w:rsidR="0097200E" w:rsidRPr="0097200E">
        <w:t xml:space="preserve">management </w:t>
      </w:r>
      <w:r w:rsidRPr="0097200E">
        <w:t>action</w:t>
      </w:r>
      <w:r w:rsidR="0097200E" w:rsidRPr="0097200E">
        <w:t>s</w:t>
      </w:r>
      <w:r w:rsidRPr="0097200E">
        <w:t xml:space="preserve"> for Natura 2000 but require funding to unlock</w:t>
      </w:r>
      <w:r w:rsidR="0097200E">
        <w:t xml:space="preserve"> their use</w:t>
      </w:r>
      <w:r w:rsidR="00783B6E">
        <w:t>. Existing funding sources may provide short term funding for projects that aim to catalyse the development of longer term mechanisms for ongoing funding and management (e.g. LIFE funded projects to develop and trial payments for ecosystem services).</w:t>
      </w:r>
    </w:p>
    <w:p w14:paraId="6CC7156D" w14:textId="3C6C76ED" w:rsidR="005D1936" w:rsidRDefault="00F414B3" w:rsidP="006F739D">
      <w:pPr>
        <w:pStyle w:val="BTBullet1"/>
      </w:pPr>
      <w:r w:rsidRPr="0097200E">
        <w:t xml:space="preserve">Management mechanisms may reduce the need for </w:t>
      </w:r>
      <w:r w:rsidR="0097200E" w:rsidRPr="0097200E">
        <w:t xml:space="preserve">Natura 2000 </w:t>
      </w:r>
      <w:r w:rsidRPr="0097200E">
        <w:t>funding (</w:t>
      </w:r>
      <w:r w:rsidR="00027196" w:rsidRPr="0097200E">
        <w:t>e.g.</w:t>
      </w:r>
      <w:r w:rsidRPr="0097200E">
        <w:t xml:space="preserve"> </w:t>
      </w:r>
      <w:r w:rsidR="0097200E" w:rsidRPr="0097200E">
        <w:t>integration of management needs into other sector plans</w:t>
      </w:r>
      <w:r w:rsidR="00F6589E">
        <w:t xml:space="preserve"> could reduce requirements for dedicated conservation activity</w:t>
      </w:r>
      <w:r w:rsidRPr="0097200E">
        <w:t>)</w:t>
      </w:r>
      <w:r w:rsidR="00F6589E">
        <w:t>.</w:t>
      </w:r>
    </w:p>
    <w:p w14:paraId="1C8747BD" w14:textId="7FB91C20" w:rsidR="00783B6E" w:rsidRPr="0097200E" w:rsidRDefault="00783B6E" w:rsidP="00783B6E">
      <w:pPr>
        <w:pStyle w:val="BTBullet1"/>
      </w:pPr>
      <w:r>
        <w:t xml:space="preserve">Management mechanisms which require funding and do not deliver management actions per se, but can enhance the effectiveness of management actions or reduce the need for Natura 2000 management action funding </w:t>
      </w:r>
      <w:r w:rsidRPr="0097200E">
        <w:t xml:space="preserve">(e.g. wider use of investigation </w:t>
      </w:r>
      <w:r>
        <w:t xml:space="preserve">and enhanced enforcement of existing rules </w:t>
      </w:r>
      <w:r w:rsidRPr="0097200E">
        <w:t>could benefit the network but would require additional funds</w:t>
      </w:r>
      <w:r>
        <w:t xml:space="preserve"> for delivery</w:t>
      </w:r>
      <w:r w:rsidRPr="0097200E">
        <w:t>)</w:t>
      </w:r>
      <w:r>
        <w:t>.</w:t>
      </w:r>
    </w:p>
    <w:p w14:paraId="5AD4D31F" w14:textId="504DCFCD" w:rsidR="00223B39" w:rsidRPr="0097200E" w:rsidRDefault="00223B39" w:rsidP="00223B39">
      <w:pPr>
        <w:pStyle w:val="BodyText"/>
      </w:pPr>
      <w:r w:rsidRPr="0097200E">
        <w:t xml:space="preserve">A desk-based exercise </w:t>
      </w:r>
      <w:r>
        <w:t>was</w:t>
      </w:r>
      <w:r w:rsidRPr="0097200E">
        <w:t xml:space="preserve"> undertaken by the project team to </w:t>
      </w:r>
      <w:r>
        <w:t>identify</w:t>
      </w:r>
      <w:r w:rsidRPr="0097200E">
        <w:t xml:space="preserve"> linkages between management mechanisms and funding sources by utilising management actions as the common variable</w:t>
      </w:r>
      <w:r w:rsidR="009074FE">
        <w:t xml:space="preserve"> for the first step</w:t>
      </w:r>
      <w:r w:rsidR="00B101FF">
        <w:t xml:space="preserve"> and then refining this view through more detailed consideration of the mechanisms and funding sources</w:t>
      </w:r>
      <w:r w:rsidR="009074FE">
        <w:t>. The outcomes of this exer</w:t>
      </w:r>
      <w:r w:rsidR="00B101FF">
        <w:t>cise are presented in Section 3 and the Excel spreadsheet outputs</w:t>
      </w:r>
      <w:r w:rsidRPr="0097200E">
        <w:t xml:space="preserve">. </w:t>
      </w:r>
    </w:p>
    <w:p w14:paraId="50D24777" w14:textId="77777777" w:rsidR="00A47694" w:rsidRDefault="00A47694" w:rsidP="00A47694">
      <w:pPr>
        <w:pStyle w:val="Heading2"/>
      </w:pPr>
      <w:bookmarkStart w:id="123" w:name="_Toc407021043"/>
      <w:bookmarkStart w:id="124" w:name="_Toc407617988"/>
      <w:bookmarkStart w:id="125" w:name="_Toc408093991"/>
      <w:bookmarkStart w:id="126" w:name="_Toc408850986"/>
      <w:bookmarkStart w:id="127" w:name="_Toc421880662"/>
      <w:r>
        <w:t>Funding need</w:t>
      </w:r>
      <w:bookmarkEnd w:id="123"/>
      <w:bookmarkEnd w:id="124"/>
      <w:bookmarkEnd w:id="125"/>
      <w:bookmarkEnd w:id="126"/>
      <w:bookmarkEnd w:id="127"/>
    </w:p>
    <w:p w14:paraId="2E0C7008" w14:textId="69216666" w:rsidR="00A47694" w:rsidRDefault="00A47694" w:rsidP="00A47694">
      <w:pPr>
        <w:pStyle w:val="BodyText"/>
      </w:pPr>
      <w:r>
        <w:t xml:space="preserve">The funding needs for Natura 2000 in Wales are currently being </w:t>
      </w:r>
      <w:r w:rsidR="00F6589E">
        <w:t>assessed</w:t>
      </w:r>
      <w:r>
        <w:t xml:space="preserve"> as part of the </w:t>
      </w:r>
      <w:r w:rsidR="00867BA9">
        <w:t xml:space="preserve">LIFE N2K </w:t>
      </w:r>
      <w:r w:rsidR="00445353">
        <w:t>P</w:t>
      </w:r>
      <w:r w:rsidR="00867BA9">
        <w:t xml:space="preserve">rogramme </w:t>
      </w:r>
      <w:r>
        <w:t xml:space="preserve">and will be articulated through the </w:t>
      </w:r>
      <w:r w:rsidR="00A856F3">
        <w:t>Prioritised Improvement Plans (PIPs)</w:t>
      </w:r>
      <w:r w:rsidR="00445353">
        <w:t xml:space="preserve"> and Thematic Actions Plans</w:t>
      </w:r>
      <w:r w:rsidR="00FA5B45">
        <w:t xml:space="preserve">, </w:t>
      </w:r>
      <w:r w:rsidR="00A856F3">
        <w:t>and</w:t>
      </w:r>
      <w:r w:rsidR="00FA5B45">
        <w:t xml:space="preserve"> the</w:t>
      </w:r>
      <w:r w:rsidR="00A856F3">
        <w:t xml:space="preserve"> </w:t>
      </w:r>
      <w:r w:rsidR="00DD2D76">
        <w:t xml:space="preserve">Prioritised </w:t>
      </w:r>
      <w:r>
        <w:t xml:space="preserve">Action </w:t>
      </w:r>
      <w:r w:rsidR="00867BA9">
        <w:t>F</w:t>
      </w:r>
      <w:r>
        <w:t>ramewor</w:t>
      </w:r>
      <w:r w:rsidR="00B101FF">
        <w:t>k (PAF). The initial draft PAF</w:t>
      </w:r>
      <w:r w:rsidR="00FA5B45">
        <w:t>, produced in 2013</w:t>
      </w:r>
      <w:r w:rsidR="00B31483">
        <w:t xml:space="preserve"> (Welsh Government, 2013)</w:t>
      </w:r>
      <w:r w:rsidR="00FA5B45">
        <w:t>,</w:t>
      </w:r>
      <w:r w:rsidR="00B101FF">
        <w:t xml:space="preserve"> </w:t>
      </w:r>
      <w:r>
        <w:t xml:space="preserve">gives </w:t>
      </w:r>
      <w:r w:rsidR="00D6673C">
        <w:t>an</w:t>
      </w:r>
      <w:r w:rsidR="00802BDF">
        <w:t xml:space="preserve"> </w:t>
      </w:r>
      <w:r>
        <w:t>indication of the likely nature of the funding needs</w:t>
      </w:r>
      <w:r w:rsidR="00D6673C">
        <w:t xml:space="preserve"> based on early estimates of costs</w:t>
      </w:r>
      <w:r>
        <w:t xml:space="preserve">. This is summarised in </w:t>
      </w:r>
      <w:r w:rsidR="00802BDF">
        <w:fldChar w:fldCharType="begin"/>
      </w:r>
      <w:r w:rsidR="00802BDF">
        <w:instrText xml:space="preserve"> REF _Ref412561081 \r \h </w:instrText>
      </w:r>
      <w:r w:rsidR="00802BDF">
        <w:fldChar w:fldCharType="separate"/>
      </w:r>
      <w:r w:rsidR="00B31483">
        <w:t>Table 2.4</w:t>
      </w:r>
      <w:r w:rsidR="00802BDF">
        <w:fldChar w:fldCharType="end"/>
      </w:r>
      <w:r w:rsidR="00802BDF">
        <w:t xml:space="preserve"> </w:t>
      </w:r>
      <w:r>
        <w:t>and</w:t>
      </w:r>
      <w:r w:rsidR="00802BDF">
        <w:t xml:space="preserve"> </w:t>
      </w:r>
      <w:r w:rsidR="00802BDF">
        <w:fldChar w:fldCharType="begin"/>
      </w:r>
      <w:r w:rsidR="00802BDF">
        <w:instrText xml:space="preserve"> REF _Ref412639326 \r \h </w:instrText>
      </w:r>
      <w:r w:rsidR="00802BDF">
        <w:fldChar w:fldCharType="separate"/>
      </w:r>
      <w:r w:rsidR="00B31483">
        <w:t>Figure 2.2</w:t>
      </w:r>
      <w:r w:rsidR="00802BDF">
        <w:fldChar w:fldCharType="end"/>
      </w:r>
      <w:r>
        <w:t>.</w:t>
      </w:r>
    </w:p>
    <w:p w14:paraId="2E32A78B" w14:textId="2EFB1559" w:rsidR="00A47694" w:rsidRDefault="00867BA9" w:rsidP="00A47694">
      <w:pPr>
        <w:pStyle w:val="BodyText"/>
      </w:pPr>
      <w:r>
        <w:t xml:space="preserve">Whilst the figures presented </w:t>
      </w:r>
      <w:r w:rsidR="00A47694">
        <w:t>are expected to be subject to</w:t>
      </w:r>
      <w:r>
        <w:t xml:space="preserve"> (potentially significant)</w:t>
      </w:r>
      <w:r w:rsidR="00A47694">
        <w:t xml:space="preserve"> revision, they </w:t>
      </w:r>
      <w:r>
        <w:t>clearly demonstrate</w:t>
      </w:r>
      <w:r w:rsidR="00A47694">
        <w:t xml:space="preserve"> that the vast majority of funding need is for </w:t>
      </w:r>
      <w:r w:rsidR="00F6589E">
        <w:t xml:space="preserve">recurrent </w:t>
      </w:r>
      <w:r w:rsidR="00A47694">
        <w:t xml:space="preserve">habitat management  </w:t>
      </w:r>
      <w:r>
        <w:t>actions</w:t>
      </w:r>
      <w:r w:rsidR="00F6589E">
        <w:t xml:space="preserve">, representing </w:t>
      </w:r>
      <w:r>
        <w:t>at least 80%</w:t>
      </w:r>
      <w:r w:rsidR="00F6589E">
        <w:t xml:space="preserve"> of the estimated total.  Moreover, the majority of these costs (over 70%) relate to </w:t>
      </w:r>
      <w:r w:rsidR="00A47694">
        <w:t>Natura 2000 sites in agricultural areas.</w:t>
      </w:r>
      <w:r w:rsidR="00F6589E">
        <w:t xml:space="preserve">  This suggests that – while a range of funding sources may be applied to the network – those applicable to ongoing management and monitoring actions – especially on farmland (e.g.</w:t>
      </w:r>
      <w:r w:rsidR="002A3EF5">
        <w:t xml:space="preserve"> the European Agricultural Fund for Rural Development</w:t>
      </w:r>
      <w:r w:rsidR="00F6589E" w:rsidRPr="00C44C56">
        <w:t>)</w:t>
      </w:r>
      <w:r w:rsidR="00F6589E">
        <w:t xml:space="preserve"> are especially relevant.</w:t>
      </w:r>
    </w:p>
    <w:p w14:paraId="36ADB2C8" w14:textId="55506C23" w:rsidR="00A47694" w:rsidRDefault="00A47694" w:rsidP="00A47694">
      <w:pPr>
        <w:pStyle w:val="Table"/>
      </w:pPr>
      <w:bookmarkStart w:id="128" w:name="_Toc407942717"/>
      <w:bookmarkStart w:id="129" w:name="_Toc408094123"/>
      <w:bookmarkStart w:id="130" w:name="_Toc408851107"/>
      <w:bookmarkStart w:id="131" w:name="_Ref412561081"/>
      <w:r>
        <w:t>Funding needs by broad management action</w:t>
      </w:r>
      <w:bookmarkEnd w:id="128"/>
      <w:bookmarkEnd w:id="129"/>
      <w:bookmarkEnd w:id="130"/>
      <w:r w:rsidR="00683BEC">
        <w:t xml:space="preserve"> as identified by </w:t>
      </w:r>
      <w:r w:rsidR="00DB7DA5">
        <w:t xml:space="preserve">UK </w:t>
      </w:r>
      <w:r w:rsidR="00683BEC">
        <w:t>PAF 2013</w:t>
      </w:r>
      <w:bookmarkEnd w:id="131"/>
    </w:p>
    <w:tbl>
      <w:tblPr>
        <w:tblW w:w="8600" w:type="dxa"/>
        <w:tblInd w:w="850" w:type="dxa"/>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Layout w:type="fixed"/>
        <w:tblCellMar>
          <w:top w:w="57" w:type="dxa"/>
          <w:left w:w="0" w:type="dxa"/>
          <w:bottom w:w="28" w:type="dxa"/>
          <w:right w:w="0" w:type="dxa"/>
        </w:tblCellMar>
        <w:tblLook w:val="04A0" w:firstRow="1" w:lastRow="0" w:firstColumn="1" w:lastColumn="0" w:noHBand="0" w:noVBand="1"/>
      </w:tblPr>
      <w:tblGrid>
        <w:gridCol w:w="4392"/>
        <w:gridCol w:w="2268"/>
        <w:gridCol w:w="1940"/>
      </w:tblGrid>
      <w:tr w:rsidR="00284965" w14:paraId="1BE997C3" w14:textId="16DCA94D" w:rsidTr="00EF0EA1">
        <w:trPr>
          <w:cantSplit/>
        </w:trPr>
        <w:tc>
          <w:tcPr>
            <w:tcW w:w="4392" w:type="dxa"/>
            <w:tcBorders>
              <w:top w:val="single" w:sz="2" w:space="0" w:color="0067AB"/>
              <w:left w:val="single" w:sz="2" w:space="0" w:color="0067AB"/>
              <w:bottom w:val="single" w:sz="2" w:space="0" w:color="0067AB"/>
              <w:right w:val="single" w:sz="2" w:space="0" w:color="0067AB"/>
            </w:tcBorders>
          </w:tcPr>
          <w:p w14:paraId="40B079F3" w14:textId="77777777" w:rsidR="00284965" w:rsidRDefault="00284965">
            <w:pPr>
              <w:pStyle w:val="TableHeading"/>
            </w:pPr>
          </w:p>
        </w:tc>
        <w:tc>
          <w:tcPr>
            <w:tcW w:w="2268" w:type="dxa"/>
            <w:tcBorders>
              <w:top w:val="single" w:sz="2" w:space="0" w:color="0067AB"/>
              <w:left w:val="single" w:sz="2" w:space="0" w:color="0067AB"/>
              <w:bottom w:val="single" w:sz="2" w:space="0" w:color="0067AB"/>
              <w:right w:val="single" w:sz="2" w:space="0" w:color="FFFFFF"/>
            </w:tcBorders>
            <w:shd w:val="solid" w:color="0067AB" w:fill="0067AB"/>
          </w:tcPr>
          <w:p w14:paraId="4D432A35" w14:textId="77777777" w:rsidR="00284965" w:rsidRDefault="00284965">
            <w:pPr>
              <w:pStyle w:val="TableHeadingWhite"/>
            </w:pPr>
          </w:p>
        </w:tc>
        <w:tc>
          <w:tcPr>
            <w:tcW w:w="1940" w:type="dxa"/>
            <w:tcBorders>
              <w:top w:val="single" w:sz="2" w:space="0" w:color="0067AB"/>
              <w:left w:val="single" w:sz="2" w:space="0" w:color="FFFFFF"/>
              <w:bottom w:val="single" w:sz="2" w:space="0" w:color="0067AB"/>
              <w:right w:val="single" w:sz="2" w:space="0" w:color="0067AB"/>
            </w:tcBorders>
            <w:shd w:val="solid" w:color="0067AB" w:fill="0067AB"/>
          </w:tcPr>
          <w:p w14:paraId="2A57B99A" w14:textId="3AA1FE2B" w:rsidR="00284965" w:rsidRDefault="00284965" w:rsidP="00EF0EA1">
            <w:pPr>
              <w:pStyle w:val="TableHeadingWhite"/>
              <w:jc w:val="center"/>
            </w:pPr>
            <w:r>
              <w:t>Costs</w:t>
            </w:r>
          </w:p>
        </w:tc>
      </w:tr>
      <w:tr w:rsidR="00EF0EA1" w14:paraId="46CFE974" w14:textId="77777777" w:rsidTr="00EF0EA1">
        <w:tc>
          <w:tcPr>
            <w:tcW w:w="4392" w:type="dxa"/>
            <w:tcBorders>
              <w:top w:val="single" w:sz="2" w:space="0" w:color="0067AB"/>
              <w:left w:val="single" w:sz="2" w:space="0" w:color="0067AB"/>
              <w:bottom w:val="single" w:sz="2" w:space="0" w:color="0067AB"/>
              <w:right w:val="single" w:sz="2" w:space="0" w:color="0067AB"/>
            </w:tcBorders>
            <w:shd w:val="clear" w:color="auto" w:fill="F2F2F2" w:themeFill="background1" w:themeFillShade="F2"/>
          </w:tcPr>
          <w:p w14:paraId="7525FC9A" w14:textId="1E12F0A3" w:rsidR="00EF0EA1" w:rsidRPr="00EF0EA1" w:rsidRDefault="00EF0EA1">
            <w:pPr>
              <w:pStyle w:val="TableTextNoSpace"/>
              <w:rPr>
                <w:b/>
              </w:rPr>
            </w:pPr>
            <w:r w:rsidRPr="00EF0EA1">
              <w:rPr>
                <w:b/>
              </w:rPr>
              <w:t>One-off costs</w:t>
            </w:r>
          </w:p>
        </w:tc>
        <w:tc>
          <w:tcPr>
            <w:tcW w:w="2268" w:type="dxa"/>
            <w:tcBorders>
              <w:top w:val="single" w:sz="2" w:space="0" w:color="0067AB"/>
              <w:left w:val="single" w:sz="2" w:space="0" w:color="0067AB"/>
              <w:bottom w:val="single" w:sz="2" w:space="0" w:color="0067AB"/>
              <w:right w:val="single" w:sz="2" w:space="0" w:color="0067AB"/>
            </w:tcBorders>
            <w:shd w:val="clear" w:color="auto" w:fill="F2F2F2" w:themeFill="background1" w:themeFillShade="F2"/>
          </w:tcPr>
          <w:p w14:paraId="4D589F8C" w14:textId="77777777" w:rsidR="00EF0EA1" w:rsidRDefault="00EF0EA1">
            <w:pPr>
              <w:pStyle w:val="TableTextNoSpace"/>
            </w:pPr>
          </w:p>
        </w:tc>
        <w:tc>
          <w:tcPr>
            <w:tcW w:w="1940" w:type="dxa"/>
            <w:tcBorders>
              <w:top w:val="single" w:sz="2" w:space="0" w:color="0067AB"/>
              <w:left w:val="single" w:sz="2" w:space="0" w:color="0067AB"/>
              <w:bottom w:val="single" w:sz="2" w:space="0" w:color="0067AB"/>
              <w:right w:val="single" w:sz="2" w:space="0" w:color="0067AB"/>
            </w:tcBorders>
            <w:shd w:val="clear" w:color="auto" w:fill="F2F2F2" w:themeFill="background1" w:themeFillShade="F2"/>
          </w:tcPr>
          <w:p w14:paraId="5BEDA496" w14:textId="77777777" w:rsidR="00EF0EA1" w:rsidRDefault="00EF0EA1" w:rsidP="00EF0EA1">
            <w:pPr>
              <w:pStyle w:val="TableTextNoSpace"/>
              <w:jc w:val="center"/>
            </w:pPr>
          </w:p>
        </w:tc>
      </w:tr>
      <w:tr w:rsidR="00284965" w14:paraId="45F16211" w14:textId="02781F7E" w:rsidTr="00EF0EA1">
        <w:tc>
          <w:tcPr>
            <w:tcW w:w="4392" w:type="dxa"/>
            <w:tcBorders>
              <w:top w:val="single" w:sz="2" w:space="0" w:color="0067AB"/>
              <w:left w:val="single" w:sz="2" w:space="0" w:color="0067AB"/>
              <w:bottom w:val="single" w:sz="2" w:space="0" w:color="0067AB"/>
              <w:right w:val="single" w:sz="2" w:space="0" w:color="0067AB"/>
            </w:tcBorders>
            <w:hideMark/>
          </w:tcPr>
          <w:p w14:paraId="6B6FDB65" w14:textId="77777777" w:rsidR="00284965" w:rsidRDefault="00284965">
            <w:pPr>
              <w:pStyle w:val="TableTextNoSpace"/>
            </w:pPr>
            <w:r>
              <w:t>Management planning</w:t>
            </w:r>
          </w:p>
        </w:tc>
        <w:tc>
          <w:tcPr>
            <w:tcW w:w="2268" w:type="dxa"/>
            <w:tcBorders>
              <w:top w:val="single" w:sz="2" w:space="0" w:color="0067AB"/>
              <w:left w:val="single" w:sz="2" w:space="0" w:color="0067AB"/>
              <w:bottom w:val="single" w:sz="2" w:space="0" w:color="0067AB"/>
              <w:right w:val="single" w:sz="2" w:space="0" w:color="0067AB"/>
            </w:tcBorders>
            <w:hideMark/>
          </w:tcPr>
          <w:p w14:paraId="3D409D70" w14:textId="77777777" w:rsidR="00284965" w:rsidRDefault="00284965">
            <w:pPr>
              <w:pStyle w:val="TableTextNoSpace"/>
            </w:pPr>
            <w:r>
              <w:t>One-off</w:t>
            </w:r>
          </w:p>
        </w:tc>
        <w:tc>
          <w:tcPr>
            <w:tcW w:w="1940" w:type="dxa"/>
            <w:tcBorders>
              <w:top w:val="single" w:sz="2" w:space="0" w:color="0067AB"/>
              <w:left w:val="single" w:sz="2" w:space="0" w:color="0067AB"/>
              <w:bottom w:val="single" w:sz="2" w:space="0" w:color="0067AB"/>
              <w:right w:val="single" w:sz="2" w:space="0" w:color="0067AB"/>
            </w:tcBorders>
          </w:tcPr>
          <w:p w14:paraId="555CD061" w14:textId="2B70D7A1" w:rsidR="00284965" w:rsidRDefault="00284965" w:rsidP="00EF0EA1">
            <w:pPr>
              <w:pStyle w:val="TableTextNoSpace"/>
              <w:jc w:val="center"/>
            </w:pPr>
            <w:r>
              <w:t>£2.8m</w:t>
            </w:r>
          </w:p>
        </w:tc>
      </w:tr>
      <w:tr w:rsidR="00284965" w14:paraId="365EF2A5" w14:textId="64B30E80" w:rsidTr="00EF0EA1">
        <w:tc>
          <w:tcPr>
            <w:tcW w:w="4392" w:type="dxa"/>
            <w:tcBorders>
              <w:top w:val="single" w:sz="2" w:space="0" w:color="0067AB"/>
              <w:left w:val="single" w:sz="2" w:space="0" w:color="0067AB"/>
              <w:bottom w:val="single" w:sz="2" w:space="0" w:color="0067AB"/>
              <w:right w:val="single" w:sz="2" w:space="0" w:color="0067AB"/>
            </w:tcBorders>
            <w:hideMark/>
          </w:tcPr>
          <w:p w14:paraId="584BFB12" w14:textId="1FB53891" w:rsidR="00284965" w:rsidRDefault="00284965">
            <w:pPr>
              <w:pStyle w:val="TableTextNoSpace"/>
            </w:pPr>
            <w:r>
              <w:t>Land</w:t>
            </w:r>
            <w:r w:rsidR="002A3EF5">
              <w:t xml:space="preserve"> purchase</w:t>
            </w:r>
            <w:r>
              <w:t xml:space="preserve"> costs</w:t>
            </w:r>
          </w:p>
        </w:tc>
        <w:tc>
          <w:tcPr>
            <w:tcW w:w="2268" w:type="dxa"/>
            <w:tcBorders>
              <w:top w:val="single" w:sz="2" w:space="0" w:color="0067AB"/>
              <w:left w:val="single" w:sz="2" w:space="0" w:color="0067AB"/>
              <w:bottom w:val="single" w:sz="2" w:space="0" w:color="0067AB"/>
              <w:right w:val="single" w:sz="2" w:space="0" w:color="0067AB"/>
            </w:tcBorders>
            <w:hideMark/>
          </w:tcPr>
          <w:p w14:paraId="75EBB3A8" w14:textId="77777777" w:rsidR="00284965" w:rsidRDefault="00284965">
            <w:pPr>
              <w:pStyle w:val="TableTextNoSpace"/>
            </w:pPr>
            <w:r>
              <w:t>One-off</w:t>
            </w:r>
          </w:p>
        </w:tc>
        <w:tc>
          <w:tcPr>
            <w:tcW w:w="1940" w:type="dxa"/>
            <w:tcBorders>
              <w:top w:val="single" w:sz="2" w:space="0" w:color="0067AB"/>
              <w:left w:val="single" w:sz="2" w:space="0" w:color="0067AB"/>
              <w:bottom w:val="single" w:sz="2" w:space="0" w:color="0067AB"/>
              <w:right w:val="single" w:sz="2" w:space="0" w:color="0067AB"/>
            </w:tcBorders>
          </w:tcPr>
          <w:p w14:paraId="44403F9B" w14:textId="73A4C4CD" w:rsidR="00284965" w:rsidRDefault="00284965" w:rsidP="00EF0EA1">
            <w:pPr>
              <w:pStyle w:val="TableTextNoSpace"/>
              <w:jc w:val="center"/>
            </w:pPr>
            <w:r>
              <w:t>£0m</w:t>
            </w:r>
          </w:p>
        </w:tc>
      </w:tr>
      <w:tr w:rsidR="00284965" w14:paraId="4AF6E1AB" w14:textId="6FD507DB" w:rsidTr="00EF0EA1">
        <w:tc>
          <w:tcPr>
            <w:tcW w:w="4392" w:type="dxa"/>
            <w:tcBorders>
              <w:top w:val="single" w:sz="2" w:space="0" w:color="0067AB"/>
              <w:left w:val="single" w:sz="2" w:space="0" w:color="0067AB"/>
              <w:bottom w:val="single" w:sz="2" w:space="0" w:color="0067AB"/>
              <w:right w:val="single" w:sz="2" w:space="0" w:color="0067AB"/>
            </w:tcBorders>
            <w:hideMark/>
          </w:tcPr>
          <w:p w14:paraId="738F78AF" w14:textId="77777777" w:rsidR="00284965" w:rsidRDefault="00284965">
            <w:pPr>
              <w:pStyle w:val="TableTextNoSpace"/>
            </w:pPr>
            <w:r>
              <w:t>Infrastructure costs</w:t>
            </w:r>
          </w:p>
        </w:tc>
        <w:tc>
          <w:tcPr>
            <w:tcW w:w="2268" w:type="dxa"/>
            <w:tcBorders>
              <w:top w:val="single" w:sz="2" w:space="0" w:color="0067AB"/>
              <w:left w:val="single" w:sz="2" w:space="0" w:color="0067AB"/>
              <w:bottom w:val="single" w:sz="2" w:space="0" w:color="0067AB"/>
              <w:right w:val="single" w:sz="2" w:space="0" w:color="0067AB"/>
            </w:tcBorders>
            <w:hideMark/>
          </w:tcPr>
          <w:p w14:paraId="6215BC1F" w14:textId="77777777" w:rsidR="00284965" w:rsidRDefault="00284965">
            <w:pPr>
              <w:pStyle w:val="TableTextNoSpace"/>
            </w:pPr>
            <w:r>
              <w:t>One-off</w:t>
            </w:r>
          </w:p>
        </w:tc>
        <w:tc>
          <w:tcPr>
            <w:tcW w:w="1940" w:type="dxa"/>
            <w:tcBorders>
              <w:top w:val="single" w:sz="2" w:space="0" w:color="0067AB"/>
              <w:left w:val="single" w:sz="2" w:space="0" w:color="0067AB"/>
              <w:bottom w:val="single" w:sz="2" w:space="0" w:color="0067AB"/>
              <w:right w:val="single" w:sz="2" w:space="0" w:color="0067AB"/>
            </w:tcBorders>
          </w:tcPr>
          <w:p w14:paraId="5A9B41A3" w14:textId="7512EEEE" w:rsidR="00284965" w:rsidRDefault="00284965" w:rsidP="00EF0EA1">
            <w:pPr>
              <w:pStyle w:val="TableTextNoSpace"/>
              <w:jc w:val="center"/>
            </w:pPr>
            <w:r>
              <w:t>£0.3m</w:t>
            </w:r>
          </w:p>
        </w:tc>
      </w:tr>
      <w:tr w:rsidR="00EF0EA1" w14:paraId="7A62920D" w14:textId="77777777" w:rsidTr="00EF0EA1">
        <w:tc>
          <w:tcPr>
            <w:tcW w:w="4392" w:type="dxa"/>
            <w:tcBorders>
              <w:top w:val="single" w:sz="2" w:space="0" w:color="0067AB"/>
              <w:left w:val="single" w:sz="2" w:space="0" w:color="0067AB"/>
              <w:bottom w:val="single" w:sz="2" w:space="0" w:color="0067AB"/>
              <w:right w:val="single" w:sz="2" w:space="0" w:color="0067AB"/>
            </w:tcBorders>
            <w:shd w:val="clear" w:color="auto" w:fill="F2F2F2" w:themeFill="background1" w:themeFillShade="F2"/>
          </w:tcPr>
          <w:p w14:paraId="1D1394E2" w14:textId="00B4E053" w:rsidR="00EF0EA1" w:rsidRPr="00EF0EA1" w:rsidRDefault="00EF0EA1">
            <w:pPr>
              <w:pStyle w:val="TableTextNoSpace"/>
              <w:rPr>
                <w:b/>
              </w:rPr>
            </w:pPr>
            <w:r>
              <w:rPr>
                <w:b/>
              </w:rPr>
              <w:t>Recurrent costs</w:t>
            </w:r>
          </w:p>
        </w:tc>
        <w:tc>
          <w:tcPr>
            <w:tcW w:w="2268" w:type="dxa"/>
            <w:tcBorders>
              <w:top w:val="single" w:sz="2" w:space="0" w:color="0067AB"/>
              <w:left w:val="single" w:sz="2" w:space="0" w:color="0067AB"/>
              <w:bottom w:val="single" w:sz="2" w:space="0" w:color="0067AB"/>
              <w:right w:val="single" w:sz="2" w:space="0" w:color="0067AB"/>
            </w:tcBorders>
            <w:shd w:val="clear" w:color="auto" w:fill="F2F2F2" w:themeFill="background1" w:themeFillShade="F2"/>
          </w:tcPr>
          <w:p w14:paraId="13435F65" w14:textId="77777777" w:rsidR="00EF0EA1" w:rsidRDefault="00EF0EA1">
            <w:pPr>
              <w:pStyle w:val="TableTextNoSpace"/>
            </w:pPr>
          </w:p>
        </w:tc>
        <w:tc>
          <w:tcPr>
            <w:tcW w:w="1940" w:type="dxa"/>
            <w:tcBorders>
              <w:top w:val="single" w:sz="2" w:space="0" w:color="0067AB"/>
              <w:left w:val="single" w:sz="2" w:space="0" w:color="0067AB"/>
              <w:bottom w:val="single" w:sz="2" w:space="0" w:color="0067AB"/>
              <w:right w:val="single" w:sz="2" w:space="0" w:color="0067AB"/>
            </w:tcBorders>
            <w:shd w:val="clear" w:color="auto" w:fill="F2F2F2" w:themeFill="background1" w:themeFillShade="F2"/>
          </w:tcPr>
          <w:p w14:paraId="575531C1" w14:textId="77777777" w:rsidR="00EF0EA1" w:rsidRDefault="00EF0EA1" w:rsidP="00EF0EA1">
            <w:pPr>
              <w:pStyle w:val="TableTextNoSpace"/>
              <w:jc w:val="center"/>
            </w:pPr>
          </w:p>
        </w:tc>
      </w:tr>
      <w:tr w:rsidR="00EF0EA1" w14:paraId="2991FD6D" w14:textId="77777777" w:rsidTr="00EF0EA1">
        <w:tc>
          <w:tcPr>
            <w:tcW w:w="4392" w:type="dxa"/>
            <w:tcBorders>
              <w:top w:val="single" w:sz="2" w:space="0" w:color="0067AB"/>
              <w:left w:val="single" w:sz="2" w:space="0" w:color="0067AB"/>
              <w:bottom w:val="single" w:sz="2" w:space="0" w:color="0067AB"/>
              <w:right w:val="single" w:sz="2" w:space="0" w:color="0067AB"/>
            </w:tcBorders>
          </w:tcPr>
          <w:p w14:paraId="0A6BA609" w14:textId="3435509A" w:rsidR="00EF0EA1" w:rsidRDefault="00EF0EA1">
            <w:pPr>
              <w:pStyle w:val="TableTextNoSpace"/>
            </w:pPr>
            <w:r>
              <w:t>Management planning</w:t>
            </w:r>
          </w:p>
        </w:tc>
        <w:tc>
          <w:tcPr>
            <w:tcW w:w="2268" w:type="dxa"/>
            <w:tcBorders>
              <w:top w:val="single" w:sz="2" w:space="0" w:color="0067AB"/>
              <w:left w:val="single" w:sz="2" w:space="0" w:color="0067AB"/>
              <w:bottom w:val="single" w:sz="2" w:space="0" w:color="0067AB"/>
              <w:right w:val="single" w:sz="2" w:space="0" w:color="0067AB"/>
            </w:tcBorders>
          </w:tcPr>
          <w:p w14:paraId="5ECD6815" w14:textId="47B53788" w:rsidR="00EF0EA1" w:rsidRDefault="00EF0EA1">
            <w:pPr>
              <w:pStyle w:val="TableTextNoSpace"/>
            </w:pPr>
            <w:r>
              <w:t>Ongoing</w:t>
            </w:r>
          </w:p>
        </w:tc>
        <w:tc>
          <w:tcPr>
            <w:tcW w:w="1940" w:type="dxa"/>
            <w:tcBorders>
              <w:top w:val="single" w:sz="2" w:space="0" w:color="0067AB"/>
              <w:left w:val="single" w:sz="2" w:space="0" w:color="0067AB"/>
              <w:bottom w:val="single" w:sz="2" w:space="0" w:color="0067AB"/>
              <w:right w:val="single" w:sz="2" w:space="0" w:color="0067AB"/>
            </w:tcBorders>
          </w:tcPr>
          <w:p w14:paraId="7D867060" w14:textId="1FB05E5D" w:rsidR="00EF0EA1" w:rsidRDefault="00EF0EA1" w:rsidP="00EF0EA1">
            <w:pPr>
              <w:pStyle w:val="TableTextNoSpace"/>
              <w:jc w:val="center"/>
            </w:pPr>
            <w:r>
              <w:t>£0.0m/yr</w:t>
            </w:r>
          </w:p>
        </w:tc>
      </w:tr>
      <w:tr w:rsidR="00EF0EA1" w14:paraId="39BDB27B" w14:textId="1131E568" w:rsidTr="00EF0EA1">
        <w:tc>
          <w:tcPr>
            <w:tcW w:w="4392" w:type="dxa"/>
            <w:tcBorders>
              <w:top w:val="single" w:sz="2" w:space="0" w:color="0067AB"/>
              <w:left w:val="single" w:sz="2" w:space="0" w:color="0067AB"/>
              <w:bottom w:val="single" w:sz="2" w:space="0" w:color="0067AB"/>
              <w:right w:val="single" w:sz="2" w:space="0" w:color="0067AB"/>
            </w:tcBorders>
            <w:hideMark/>
          </w:tcPr>
          <w:p w14:paraId="7C3C48CA" w14:textId="77777777" w:rsidR="00EF0EA1" w:rsidRDefault="00EF0EA1">
            <w:pPr>
              <w:pStyle w:val="TableTextNoSpace"/>
            </w:pPr>
            <w:r>
              <w:t>Habitat management &amp; monitoring</w:t>
            </w:r>
          </w:p>
        </w:tc>
        <w:tc>
          <w:tcPr>
            <w:tcW w:w="2268" w:type="dxa"/>
            <w:tcBorders>
              <w:top w:val="single" w:sz="2" w:space="0" w:color="0067AB"/>
              <w:left w:val="single" w:sz="2" w:space="0" w:color="0067AB"/>
              <w:bottom w:val="single" w:sz="2" w:space="0" w:color="0067AB"/>
              <w:right w:val="single" w:sz="2" w:space="0" w:color="0067AB"/>
            </w:tcBorders>
            <w:hideMark/>
          </w:tcPr>
          <w:p w14:paraId="2FC16E43" w14:textId="77777777" w:rsidR="00EF0EA1" w:rsidRDefault="00EF0EA1">
            <w:pPr>
              <w:pStyle w:val="TableTextNoSpace"/>
            </w:pPr>
            <w:r>
              <w:t>Ongoing</w:t>
            </w:r>
          </w:p>
        </w:tc>
        <w:tc>
          <w:tcPr>
            <w:tcW w:w="1940" w:type="dxa"/>
            <w:tcBorders>
              <w:top w:val="single" w:sz="2" w:space="0" w:color="0067AB"/>
              <w:left w:val="single" w:sz="2" w:space="0" w:color="0067AB"/>
              <w:bottom w:val="single" w:sz="2" w:space="0" w:color="0067AB"/>
              <w:right w:val="single" w:sz="2" w:space="0" w:color="0067AB"/>
            </w:tcBorders>
          </w:tcPr>
          <w:p w14:paraId="423A7C6E" w14:textId="09E8FF81" w:rsidR="00EF0EA1" w:rsidRDefault="00EF0EA1" w:rsidP="00EF0EA1">
            <w:pPr>
              <w:pStyle w:val="TableTextNoSpace"/>
              <w:jc w:val="center"/>
            </w:pPr>
            <w:r>
              <w:t>£13.8m/yr</w:t>
            </w:r>
          </w:p>
        </w:tc>
      </w:tr>
    </w:tbl>
    <w:p w14:paraId="08016CA4" w14:textId="77777777" w:rsidR="00867BA9" w:rsidRDefault="00867BA9">
      <w:pPr>
        <w:pStyle w:val="Figure"/>
        <w:numPr>
          <w:ilvl w:val="0"/>
          <w:numId w:val="0"/>
        </w:numPr>
      </w:pPr>
    </w:p>
    <w:p w14:paraId="5592A87A" w14:textId="26CA82F4" w:rsidR="00A141D7" w:rsidRDefault="00A141D7" w:rsidP="00A47694">
      <w:pPr>
        <w:pStyle w:val="BodyText"/>
      </w:pPr>
      <w:r>
        <w:t>A detailed breakdown of expected costs is not available for Wales</w:t>
      </w:r>
      <w:r w:rsidR="00DD2D76">
        <w:t xml:space="preserve"> until the final publication of the PIPs and update of the PAF at the end of 2015</w:t>
      </w:r>
      <w:r>
        <w:t>.  However, EU level data (IEEP, 2013) suggest that the largest components of recurrent costs are:</w:t>
      </w:r>
    </w:p>
    <w:p w14:paraId="593FA13D" w14:textId="25E7B1F3" w:rsidR="00A141D7" w:rsidRDefault="00A141D7" w:rsidP="00F83B12">
      <w:pPr>
        <w:pStyle w:val="BodyText"/>
        <w:numPr>
          <w:ilvl w:val="0"/>
          <w:numId w:val="47"/>
        </w:numPr>
      </w:pPr>
      <w:r>
        <w:t>Implementation of management schemes and agreements;</w:t>
      </w:r>
    </w:p>
    <w:p w14:paraId="7D61A444" w14:textId="2AAEC8B2" w:rsidR="00A141D7" w:rsidRDefault="00A141D7" w:rsidP="00F83B12">
      <w:pPr>
        <w:pStyle w:val="BodyText"/>
        <w:numPr>
          <w:ilvl w:val="0"/>
          <w:numId w:val="47"/>
        </w:numPr>
      </w:pPr>
      <w:r>
        <w:t>Running costs of management bodies;</w:t>
      </w:r>
    </w:p>
    <w:p w14:paraId="44A28AAC" w14:textId="16D08FC0" w:rsidR="00A141D7" w:rsidRDefault="00A141D7" w:rsidP="00F83B12">
      <w:pPr>
        <w:pStyle w:val="BodyText"/>
        <w:numPr>
          <w:ilvl w:val="0"/>
          <w:numId w:val="47"/>
        </w:numPr>
      </w:pPr>
      <w:r>
        <w:t>Direct conservation action to maintain and improve habitats; and</w:t>
      </w:r>
    </w:p>
    <w:p w14:paraId="0E5610D6" w14:textId="5A278075" w:rsidR="00A141D7" w:rsidRDefault="00A141D7" w:rsidP="00F83B12">
      <w:pPr>
        <w:pStyle w:val="BodyText"/>
        <w:numPr>
          <w:ilvl w:val="0"/>
          <w:numId w:val="47"/>
        </w:numPr>
      </w:pPr>
      <w:r>
        <w:t>Risk management (including prevention and control of fires and flooding).</w:t>
      </w:r>
    </w:p>
    <w:p w14:paraId="31BB7F1C" w14:textId="0F18B074" w:rsidR="00EF0EA1" w:rsidRDefault="00EF0EA1" w:rsidP="005D1936">
      <w:pPr>
        <w:pStyle w:val="BodyText"/>
      </w:pPr>
      <w:r>
        <w:t>Figure 2.2 shows that approximately 70% of the recurrent costs for Wales Natura 2000 sites is for sites with agricultural land-uses. A similar proportion of one-</w:t>
      </w:r>
      <w:r w:rsidR="00337949">
        <w:t xml:space="preserve">off </w:t>
      </w:r>
      <w:r>
        <w:t>costs also fall on sites with agricultural land-uses.</w:t>
      </w:r>
    </w:p>
    <w:p w14:paraId="5D745166" w14:textId="48CE21ED" w:rsidR="00EF0EA1" w:rsidRDefault="00C21EFF" w:rsidP="00EF0EA1">
      <w:pPr>
        <w:pStyle w:val="Figure"/>
      </w:pPr>
      <w:bookmarkStart w:id="132" w:name="_Toc407942730"/>
      <w:bookmarkStart w:id="133" w:name="_Toc408094136"/>
      <w:bookmarkStart w:id="134" w:name="_Toc408851120"/>
      <w:bookmarkStart w:id="135" w:name="_Ref412639326"/>
      <w:r>
        <w:t>Wales a</w:t>
      </w:r>
      <w:r w:rsidR="00EF0EA1">
        <w:t>nnual management costs (£million) by land-use type</w:t>
      </w:r>
      <w:bookmarkEnd w:id="132"/>
      <w:bookmarkEnd w:id="133"/>
      <w:bookmarkEnd w:id="134"/>
      <w:bookmarkEnd w:id="135"/>
    </w:p>
    <w:p w14:paraId="356FFA04" w14:textId="79256F4A" w:rsidR="00EF0EA1" w:rsidRDefault="00C21EFF" w:rsidP="005D1936">
      <w:pPr>
        <w:pStyle w:val="BodyText"/>
        <w:rPr>
          <w:noProof/>
          <w:lang w:eastAsia="en-GB"/>
        </w:rPr>
      </w:pPr>
      <w:r>
        <w:rPr>
          <w:noProof/>
          <w:lang w:eastAsia="en-GB"/>
        </w:rPr>
        <w:drawing>
          <wp:inline distT="0" distB="0" distL="0" distR="0" wp14:anchorId="2C2B68E3" wp14:editId="1863A1D0">
            <wp:extent cx="5495925" cy="3209925"/>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7BD8BBE8" w14:textId="3A1F7137" w:rsidR="00C21EFF" w:rsidRPr="00C21EFF" w:rsidRDefault="00C21EFF" w:rsidP="00C21EFF">
      <w:pPr>
        <w:pStyle w:val="BodyText"/>
        <w:jc w:val="right"/>
        <w:rPr>
          <w:i/>
        </w:rPr>
      </w:pPr>
      <w:r w:rsidRPr="00C21EFF">
        <w:rPr>
          <w:i/>
        </w:rPr>
        <w:t xml:space="preserve">Source: </w:t>
      </w:r>
      <w:r w:rsidR="00DB7DA5">
        <w:rPr>
          <w:i/>
        </w:rPr>
        <w:t xml:space="preserve">UK </w:t>
      </w:r>
      <w:r w:rsidRPr="00C21EFF">
        <w:rPr>
          <w:i/>
        </w:rPr>
        <w:t>PAF</w:t>
      </w:r>
      <w:r w:rsidR="00DB7DA5">
        <w:rPr>
          <w:i/>
        </w:rPr>
        <w:t xml:space="preserve"> 2013</w:t>
      </w:r>
    </w:p>
    <w:p w14:paraId="5592CCB8" w14:textId="292B132B" w:rsidR="007D322C" w:rsidRDefault="00CA1444" w:rsidP="00D6673C">
      <w:pPr>
        <w:pStyle w:val="Heading1"/>
      </w:pPr>
      <w:bookmarkStart w:id="136" w:name="_Toc408850987"/>
      <w:bookmarkStart w:id="137" w:name="_Toc421880663"/>
      <w:r>
        <w:t>Mapping Funding Sources to Management Actions and M</w:t>
      </w:r>
      <w:r w:rsidR="009074FE">
        <w:t>anagement M</w:t>
      </w:r>
      <w:r>
        <w:t>echanisms</w:t>
      </w:r>
      <w:bookmarkEnd w:id="136"/>
      <w:bookmarkEnd w:id="137"/>
    </w:p>
    <w:p w14:paraId="0C0FDD2A" w14:textId="1B1C19D1" w:rsidR="00F728AC" w:rsidRDefault="00F728AC" w:rsidP="00F728AC">
      <w:pPr>
        <w:pStyle w:val="Heading2"/>
      </w:pPr>
      <w:bookmarkStart w:id="138" w:name="_Toc407617990"/>
      <w:bookmarkStart w:id="139" w:name="_Toc408093993"/>
      <w:bookmarkStart w:id="140" w:name="_Toc408850988"/>
      <w:bookmarkStart w:id="141" w:name="_Toc421880664"/>
      <w:r>
        <w:t>Introduction</w:t>
      </w:r>
      <w:bookmarkEnd w:id="138"/>
      <w:bookmarkEnd w:id="139"/>
      <w:bookmarkEnd w:id="140"/>
      <w:bookmarkEnd w:id="141"/>
    </w:p>
    <w:p w14:paraId="2A2646DF" w14:textId="67C546CB" w:rsidR="008E5479" w:rsidRDefault="00273C30">
      <w:pPr>
        <w:pStyle w:val="BodyText"/>
        <w:rPr>
          <w:szCs w:val="20"/>
        </w:rPr>
      </w:pPr>
      <w:r>
        <w:t>Funding for the Natura 2000 network can be provided through a variety of different types of instruments and whilst the f</w:t>
      </w:r>
      <w:r w:rsidR="008E5479">
        <w:t xml:space="preserve">unding options are diverse </w:t>
      </w:r>
      <w:r>
        <w:t>they are also</w:t>
      </w:r>
      <w:r w:rsidR="008E5479">
        <w:t xml:space="preserve"> highly fragmented, creating gaps and discontinuities. </w:t>
      </w:r>
      <w:r>
        <w:t xml:space="preserve">Overall, the total level of funding directly available is </w:t>
      </w:r>
      <w:r w:rsidR="008E5479">
        <w:rPr>
          <w:szCs w:val="20"/>
        </w:rPr>
        <w:t>insufficient and there are barriers</w:t>
      </w:r>
      <w:r>
        <w:rPr>
          <w:szCs w:val="20"/>
        </w:rPr>
        <w:t xml:space="preserve"> and limitations</w:t>
      </w:r>
      <w:r w:rsidR="008E5479">
        <w:rPr>
          <w:szCs w:val="20"/>
        </w:rPr>
        <w:t xml:space="preserve"> to accessing what is available. </w:t>
      </w:r>
    </w:p>
    <w:p w14:paraId="2F078DC9" w14:textId="384EC575" w:rsidR="00C54989" w:rsidRDefault="00C54989" w:rsidP="00C54989">
      <w:pPr>
        <w:pStyle w:val="BodyText"/>
      </w:pPr>
      <w:r>
        <w:t xml:space="preserve">This section provides a summary of the main types of funding sources that are available </w:t>
      </w:r>
      <w:r w:rsidR="001938F8">
        <w:t xml:space="preserve">and </w:t>
      </w:r>
      <w:r w:rsidR="00153642">
        <w:t>examines how</w:t>
      </w:r>
      <w:r w:rsidR="001938F8">
        <w:t xml:space="preserve"> they are relevant for </w:t>
      </w:r>
      <w:r>
        <w:t>financing Natura 2000 management needs. It provides:</w:t>
      </w:r>
    </w:p>
    <w:p w14:paraId="4FD72D96" w14:textId="2BD57DDF" w:rsidR="00C54989" w:rsidRDefault="00C54989" w:rsidP="00C54989">
      <w:pPr>
        <w:pStyle w:val="BTBullet1Last"/>
      </w:pPr>
      <w:r>
        <w:t>An introduction to the main funding types</w:t>
      </w:r>
      <w:r w:rsidR="00DB7DA5">
        <w:t>.</w:t>
      </w:r>
    </w:p>
    <w:p w14:paraId="0CFCBDF8" w14:textId="794FC5FF" w:rsidR="00C54989" w:rsidRDefault="00C54989" w:rsidP="00C54989">
      <w:pPr>
        <w:pStyle w:val="BTBullet1Last"/>
      </w:pPr>
      <w:r>
        <w:t>A summary of the scope of applicability of different funding sources through a cross-check of the management actions that can be funded.</w:t>
      </w:r>
    </w:p>
    <w:p w14:paraId="490F0541" w14:textId="116ED50B" w:rsidR="00CA563B" w:rsidRDefault="00CA563B" w:rsidP="00C54989">
      <w:pPr>
        <w:pStyle w:val="BTBullet1Last"/>
      </w:pPr>
      <w:r>
        <w:t>A summary of the scope of applicability of different funding sources as they relate to management mechanisms.</w:t>
      </w:r>
    </w:p>
    <w:p w14:paraId="13FE8391" w14:textId="0E8EE9B1" w:rsidR="00C54989" w:rsidRDefault="00C54989" w:rsidP="00C54989">
      <w:pPr>
        <w:pStyle w:val="BodyText"/>
      </w:pPr>
      <w:r>
        <w:t xml:space="preserve">This synthesis section draws on </w:t>
      </w:r>
      <w:r w:rsidR="00CA563B">
        <w:t xml:space="preserve">more </w:t>
      </w:r>
      <w:r>
        <w:t xml:space="preserve">detailed reviews for each funding source presented in </w:t>
      </w:r>
      <w:r w:rsidR="00CA563B">
        <w:t>the Annexes as well as the Excel spreadsheet outputs which detail the funding source options by management mechanism</w:t>
      </w:r>
      <w:r w:rsidR="00C37D44">
        <w:t>.</w:t>
      </w:r>
      <w:r>
        <w:t xml:space="preserve"> </w:t>
      </w:r>
    </w:p>
    <w:p w14:paraId="416D18AA" w14:textId="2609FFFC" w:rsidR="008E5479" w:rsidRDefault="008E5479" w:rsidP="00356A2B">
      <w:pPr>
        <w:pStyle w:val="Heading3"/>
      </w:pPr>
      <w:r>
        <w:t>Bibliography of funding sources</w:t>
      </w:r>
    </w:p>
    <w:p w14:paraId="129D627A" w14:textId="40F9E75B" w:rsidR="00772C3C" w:rsidRDefault="008E5479" w:rsidP="00F7193C">
      <w:pPr>
        <w:pStyle w:val="BodyText"/>
      </w:pPr>
      <w:r>
        <w:t>Annex A provides a bibliography of funding sources that can act as</w:t>
      </w:r>
      <w:r w:rsidR="00153642">
        <w:t xml:space="preserve"> a</w:t>
      </w:r>
      <w:r>
        <w:t xml:space="preserve"> resource for prospective funding applicants for Natura 2000 related projects. By providing sources of information relating to funding rather than information on individual funds it is intended that it remains relevant as funding streams change over time. In general, r</w:t>
      </w:r>
      <w:r w:rsidR="00772C3C">
        <w:t xml:space="preserve">eferences to funding opportunities are maintained by public sector organisations or charitable associations with some form of public support, although a handful of private sector resources are also available. </w:t>
      </w:r>
    </w:p>
    <w:p w14:paraId="7D430252" w14:textId="6D51C16D" w:rsidR="001C5593" w:rsidRDefault="001949F2" w:rsidP="004D6397">
      <w:pPr>
        <w:pStyle w:val="Heading2"/>
      </w:pPr>
      <w:bookmarkStart w:id="142" w:name="_Toc407609308"/>
      <w:bookmarkStart w:id="143" w:name="_Toc407617991"/>
      <w:bookmarkStart w:id="144" w:name="_Toc407942793"/>
      <w:bookmarkStart w:id="145" w:name="_Toc407942843"/>
      <w:bookmarkStart w:id="146" w:name="_Toc407969522"/>
      <w:bookmarkStart w:id="147" w:name="_Toc408031441"/>
      <w:bookmarkStart w:id="148" w:name="_Toc408032361"/>
      <w:bookmarkStart w:id="149" w:name="_Toc408032410"/>
      <w:bookmarkStart w:id="150" w:name="_Toc408037278"/>
      <w:bookmarkStart w:id="151" w:name="_Toc407609309"/>
      <w:bookmarkStart w:id="152" w:name="_Toc407617992"/>
      <w:bookmarkStart w:id="153" w:name="_Toc407942794"/>
      <w:bookmarkStart w:id="154" w:name="_Toc407942844"/>
      <w:bookmarkStart w:id="155" w:name="_Toc407969523"/>
      <w:bookmarkStart w:id="156" w:name="_Toc408031442"/>
      <w:bookmarkStart w:id="157" w:name="_Toc408032362"/>
      <w:bookmarkStart w:id="158" w:name="_Toc408032411"/>
      <w:bookmarkStart w:id="159" w:name="_Toc408037279"/>
      <w:bookmarkStart w:id="160" w:name="_Toc407609310"/>
      <w:bookmarkStart w:id="161" w:name="_Toc407617993"/>
      <w:bookmarkStart w:id="162" w:name="_Toc407942795"/>
      <w:bookmarkStart w:id="163" w:name="_Toc407942845"/>
      <w:bookmarkStart w:id="164" w:name="_Toc407969524"/>
      <w:bookmarkStart w:id="165" w:name="_Toc408031443"/>
      <w:bookmarkStart w:id="166" w:name="_Toc408032363"/>
      <w:bookmarkStart w:id="167" w:name="_Toc408032412"/>
      <w:bookmarkStart w:id="168" w:name="_Toc408037280"/>
      <w:bookmarkStart w:id="169" w:name="_Toc407609311"/>
      <w:bookmarkStart w:id="170" w:name="_Toc407617994"/>
      <w:bookmarkStart w:id="171" w:name="_Toc407942796"/>
      <w:bookmarkStart w:id="172" w:name="_Toc407942846"/>
      <w:bookmarkStart w:id="173" w:name="_Toc407969525"/>
      <w:bookmarkStart w:id="174" w:name="_Toc408031444"/>
      <w:bookmarkStart w:id="175" w:name="_Toc408032364"/>
      <w:bookmarkStart w:id="176" w:name="_Toc408032413"/>
      <w:bookmarkStart w:id="177" w:name="_Toc408037281"/>
      <w:bookmarkStart w:id="178" w:name="_Toc407609312"/>
      <w:bookmarkStart w:id="179" w:name="_Toc407617995"/>
      <w:bookmarkStart w:id="180" w:name="_Toc407942797"/>
      <w:bookmarkStart w:id="181" w:name="_Toc407942847"/>
      <w:bookmarkStart w:id="182" w:name="_Toc407969526"/>
      <w:bookmarkStart w:id="183" w:name="_Toc408031445"/>
      <w:bookmarkStart w:id="184" w:name="_Toc408032365"/>
      <w:bookmarkStart w:id="185" w:name="_Toc408032414"/>
      <w:bookmarkStart w:id="186" w:name="_Toc408037282"/>
      <w:bookmarkStart w:id="187" w:name="_Toc407609313"/>
      <w:bookmarkStart w:id="188" w:name="_Toc407617996"/>
      <w:bookmarkStart w:id="189" w:name="_Toc407942798"/>
      <w:bookmarkStart w:id="190" w:name="_Toc407942848"/>
      <w:bookmarkStart w:id="191" w:name="_Toc407969527"/>
      <w:bookmarkStart w:id="192" w:name="_Toc408031446"/>
      <w:bookmarkStart w:id="193" w:name="_Toc408032366"/>
      <w:bookmarkStart w:id="194" w:name="_Toc408032415"/>
      <w:bookmarkStart w:id="195" w:name="_Toc408037283"/>
      <w:bookmarkStart w:id="196" w:name="_Toc407617997"/>
      <w:bookmarkStart w:id="197" w:name="_Toc408093994"/>
      <w:bookmarkStart w:id="198" w:name="_Toc408850989"/>
      <w:bookmarkStart w:id="199" w:name="_Toc421880665"/>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t>Types</w:t>
      </w:r>
      <w:r w:rsidR="001C5593">
        <w:t xml:space="preserve"> of funding</w:t>
      </w:r>
      <w:r>
        <w:t xml:space="preserve"> source</w:t>
      </w:r>
      <w:bookmarkEnd w:id="196"/>
      <w:bookmarkEnd w:id="197"/>
      <w:bookmarkEnd w:id="198"/>
      <w:bookmarkEnd w:id="199"/>
    </w:p>
    <w:p w14:paraId="7E6E9578" w14:textId="428826AD" w:rsidR="001C5593" w:rsidRDefault="001C5593" w:rsidP="00F728AC">
      <w:pPr>
        <w:pStyle w:val="BodyText"/>
      </w:pPr>
      <w:r>
        <w:t xml:space="preserve">We have categorised the available funding sources by </w:t>
      </w:r>
      <w:r w:rsidR="00976B21">
        <w:t>f</w:t>
      </w:r>
      <w:r w:rsidR="00C37D44">
        <w:t>ive</w:t>
      </w:r>
      <w:r w:rsidR="00976B21">
        <w:t xml:space="preserve"> </w:t>
      </w:r>
      <w:r>
        <w:t>main types:</w:t>
      </w:r>
    </w:p>
    <w:p w14:paraId="7CDFB3EF" w14:textId="02869918" w:rsidR="00976B21" w:rsidRDefault="00533DF6" w:rsidP="00F7193C">
      <w:pPr>
        <w:pStyle w:val="BTBullet1Last"/>
      </w:pPr>
      <w:r>
        <w:t>Public funding</w:t>
      </w:r>
      <w:r w:rsidR="00C37D44">
        <w:t>;</w:t>
      </w:r>
    </w:p>
    <w:p w14:paraId="2D06C7D8" w14:textId="66BF8C36" w:rsidR="00976B21" w:rsidRDefault="00976B21" w:rsidP="00F7193C">
      <w:pPr>
        <w:pStyle w:val="BTBullet1Last"/>
      </w:pPr>
      <w:r>
        <w:t>EU funding</w:t>
      </w:r>
      <w:r w:rsidR="00C37D44">
        <w:t>;</w:t>
      </w:r>
    </w:p>
    <w:p w14:paraId="4A93AD1A" w14:textId="7E895764" w:rsidR="00934B65" w:rsidRDefault="00934B65" w:rsidP="00934B65">
      <w:pPr>
        <w:pStyle w:val="BTBullet1Last"/>
      </w:pPr>
      <w:r>
        <w:t>Other sector plans</w:t>
      </w:r>
      <w:r w:rsidR="00CA563B">
        <w:t xml:space="preserve">, </w:t>
      </w:r>
      <w:r>
        <w:t>strategies</w:t>
      </w:r>
      <w:r w:rsidR="00CA563B">
        <w:t xml:space="preserve"> and public funds</w:t>
      </w:r>
      <w:r>
        <w:t>;</w:t>
      </w:r>
    </w:p>
    <w:p w14:paraId="1D3CB2CF" w14:textId="21C41FBD" w:rsidR="00F7193C" w:rsidRDefault="00F7193C" w:rsidP="00F7193C">
      <w:pPr>
        <w:pStyle w:val="BTBullet1Last"/>
      </w:pPr>
      <w:r>
        <w:t>Private</w:t>
      </w:r>
      <w:r w:rsidR="00934B65">
        <w:t xml:space="preserve">, </w:t>
      </w:r>
      <w:r w:rsidR="00B101FF">
        <w:t xml:space="preserve">Lottery and </w:t>
      </w:r>
      <w:r w:rsidR="00934B65">
        <w:t xml:space="preserve">voluntary sector </w:t>
      </w:r>
      <w:r>
        <w:t>funds</w:t>
      </w:r>
      <w:r w:rsidR="00B101FF">
        <w:t>;</w:t>
      </w:r>
    </w:p>
    <w:p w14:paraId="3BD1D5A8" w14:textId="7C024A2E" w:rsidR="00976B21" w:rsidRDefault="00976B21" w:rsidP="00F7193C">
      <w:pPr>
        <w:pStyle w:val="BTBullet1Last"/>
      </w:pPr>
      <w:r>
        <w:t>Alternative funding approaches</w:t>
      </w:r>
      <w:r w:rsidR="00B101FF">
        <w:t>.</w:t>
      </w:r>
    </w:p>
    <w:p w14:paraId="37ED5F72" w14:textId="61171B74" w:rsidR="00F7193C" w:rsidRDefault="00533DF6" w:rsidP="00F7193C">
      <w:pPr>
        <w:pStyle w:val="Heading3"/>
      </w:pPr>
      <w:r>
        <w:t xml:space="preserve">Public funding </w:t>
      </w:r>
    </w:p>
    <w:p w14:paraId="38713631" w14:textId="23CF41AC" w:rsidR="00533DF6" w:rsidRDefault="00533DF6" w:rsidP="00F7193C">
      <w:pPr>
        <w:pStyle w:val="BodyText"/>
      </w:pPr>
      <w:r>
        <w:t>Public funding for Natura 2000 is principally available through three sources: the Welsh Government (e.g. grant schemes, which may be administered by NRW), NRW and Local Authorities. In addition, National Parks have funds available which may be put towards Natura 2000.</w:t>
      </w:r>
    </w:p>
    <w:p w14:paraId="57E92CB7" w14:textId="34A261E7" w:rsidR="00F7193C" w:rsidRDefault="00F7193C" w:rsidP="00F7193C">
      <w:pPr>
        <w:pStyle w:val="BodyText"/>
      </w:pPr>
      <w:r>
        <w:t xml:space="preserve">NRW funding is the </w:t>
      </w:r>
      <w:r w:rsidR="00C37D44">
        <w:t xml:space="preserve">most direct and dedicated </w:t>
      </w:r>
      <w:r>
        <w:t xml:space="preserve">source of funding support to the Natura 2000 network in Wales, </w:t>
      </w:r>
      <w:r w:rsidR="00C37D44">
        <w:t>reflecting</w:t>
      </w:r>
      <w:r>
        <w:t xml:space="preserve"> NRW’s statutory responsibility for the network, and is in principle applicable to all management actions. </w:t>
      </w:r>
      <w:r w:rsidR="00C37D44">
        <w:t xml:space="preserve">Indeed, analysis at the EU level highlights the importance of dedicated conservation funds because of their versatility in financing a wide range of actions required, some of which, especially core administrative and managerial </w:t>
      </w:r>
      <w:r w:rsidR="00B101FF">
        <w:t>activities</w:t>
      </w:r>
      <w:r w:rsidR="00C37D44">
        <w:t xml:space="preserve">, have few alternative funding sources. </w:t>
      </w:r>
      <w:r>
        <w:t>Whilst the</w:t>
      </w:r>
      <w:r w:rsidR="00DD2D76">
        <w:t xml:space="preserve"> </w:t>
      </w:r>
      <w:r>
        <w:t xml:space="preserve">NRW </w:t>
      </w:r>
      <w:r w:rsidR="00DD2D76">
        <w:t xml:space="preserve">operating </w:t>
      </w:r>
      <w:r>
        <w:t xml:space="preserve">budget is </w:t>
      </w:r>
      <w:r w:rsidR="00C37D44">
        <w:t>significant</w:t>
      </w:r>
      <w:r>
        <w:t xml:space="preserve"> in comparison to estimated funding requirements for Natura 2000, </w:t>
      </w:r>
      <w:r w:rsidR="00DD2D76">
        <w:t xml:space="preserve">these requirements compete with funding needs for </w:t>
      </w:r>
      <w:r w:rsidR="00C37D44">
        <w:t>other natural resource management priorities</w:t>
      </w:r>
      <w:r w:rsidR="00DD2D76">
        <w:t xml:space="preserve">. In the absence of a dedicated fund for Natura 2000 activities, even targeted budgets like Section 15 agreements compete with </w:t>
      </w:r>
      <w:r w:rsidR="00DC3231">
        <w:t xml:space="preserve">other </w:t>
      </w:r>
      <w:r w:rsidR="00DD2D76">
        <w:t>management needs</w:t>
      </w:r>
      <w:r w:rsidR="00DC3231">
        <w:t xml:space="preserve"> such as those relating to the </w:t>
      </w:r>
      <w:r w:rsidR="00DD2D76">
        <w:t xml:space="preserve">Welsh network of Sites of Special Scientific Interest (SSSIs). Ongoing </w:t>
      </w:r>
      <w:r>
        <w:t>budget cuts and issues surrounding the timing and length of funding</w:t>
      </w:r>
      <w:r w:rsidR="00DD2D76">
        <w:t xml:space="preserve"> also</w:t>
      </w:r>
      <w:r>
        <w:t xml:space="preserve"> create barriers to investment in some important management actions.</w:t>
      </w:r>
      <w:r w:rsidR="00DD2D76">
        <w:t xml:space="preserve"> </w:t>
      </w:r>
    </w:p>
    <w:p w14:paraId="439BABA0" w14:textId="31D1E695" w:rsidR="00467097" w:rsidRPr="00F7193C" w:rsidRDefault="00467097" w:rsidP="00513487">
      <w:pPr>
        <w:pStyle w:val="BodyText"/>
      </w:pPr>
      <w:r>
        <w:t>There have recently (as of April 2015) been major changes to the way that the Welsh Government Directorate for Environment and Sustainable Development allocates grant funding to organisations and projects – including the introduction of three competitive funding streams: core funding, local authority funding and project funding. It is envisaged that this will allow organisations to bid for grants to support them in preparing and submitting LIFE applications, as two of the key priorities of the new funding approach are: (i) increasing ecosystem resilience and delivery of Wales’ commitments on biodiversity</w:t>
      </w:r>
      <w:r w:rsidR="00513487">
        <w:t>; and (ii) increasing the capacity of the environment sector, including evidence collection to support the development of ecosystem services.</w:t>
      </w:r>
    </w:p>
    <w:p w14:paraId="149608FE" w14:textId="09EED84A" w:rsidR="00976B21" w:rsidRDefault="00A47694" w:rsidP="00F7193C">
      <w:pPr>
        <w:pStyle w:val="Heading3"/>
      </w:pPr>
      <w:r>
        <w:t>EU funding</w:t>
      </w:r>
    </w:p>
    <w:p w14:paraId="21B958E9" w14:textId="4136174D" w:rsidR="001C5593" w:rsidRDefault="00C02885" w:rsidP="00F7193C">
      <w:pPr>
        <w:pStyle w:val="BodyText"/>
      </w:pPr>
      <w:r>
        <w:t xml:space="preserve">A </w:t>
      </w:r>
      <w:r w:rsidR="00643A19">
        <w:t>number of different EU funding instruments are re</w:t>
      </w:r>
      <w:r w:rsidR="000D47D5">
        <w:t xml:space="preserve">levant for funding Natura 2000. </w:t>
      </w:r>
      <w:r w:rsidR="00643A19">
        <w:t xml:space="preserve">However it </w:t>
      </w:r>
      <w:r w:rsidR="000D47D5">
        <w:t>should be</w:t>
      </w:r>
      <w:r w:rsidR="00643A19">
        <w:t xml:space="preserve"> noted that only LIFE provides dedicated support to biodiversity and Natura 2000</w:t>
      </w:r>
      <w:r>
        <w:t>, and has a limited budget</w:t>
      </w:r>
      <w:r w:rsidR="00643A19">
        <w:t xml:space="preserve">. All other </w:t>
      </w:r>
      <w:r w:rsidR="000D47D5">
        <w:t xml:space="preserve">EU funds target other EU goals - </w:t>
      </w:r>
      <w:r w:rsidR="00643A19">
        <w:t>rural, regional, infrastructural, social and scientific development</w:t>
      </w:r>
      <w:r w:rsidR="000D47D5">
        <w:t xml:space="preserve"> -</w:t>
      </w:r>
      <w:r w:rsidR="00643A19">
        <w:t xml:space="preserve"> </w:t>
      </w:r>
      <w:r w:rsidR="00CD7719">
        <w:t>but</w:t>
      </w:r>
      <w:r w:rsidR="00643A19">
        <w:t xml:space="preserve"> can be made available for Natura 2000 by integrating Natura 2000 objectives into these broader goals. This integrated approach is the basis for EU funding for Natura 2000 in the current EU 2014-20</w:t>
      </w:r>
      <w:r w:rsidR="001116D3">
        <w:t>2</w:t>
      </w:r>
      <w:r w:rsidR="00643A19">
        <w:t xml:space="preserve">0 funding period. </w:t>
      </w:r>
      <w:r w:rsidR="000D47D5">
        <w:t>It</w:t>
      </w:r>
      <w:r w:rsidR="00643A19">
        <w:t xml:space="preserve"> means that </w:t>
      </w:r>
      <w:r w:rsidR="00976B21">
        <w:t>the availability of funding for Natura 2000 is dependent on compliance with the objectives and rules of e</w:t>
      </w:r>
      <w:r>
        <w:t>ach</w:t>
      </w:r>
      <w:r w:rsidR="00976B21">
        <w:t xml:space="preserve"> funding instrument.</w:t>
      </w:r>
      <w:r>
        <w:t xml:space="preserve">  Nevertheless, the scale of these instruments means that they have the potential to provide substantial levels of funding, especially those such as EAFRD whose objectives and eligibility criteria </w:t>
      </w:r>
      <w:r w:rsidR="00CD7719">
        <w:t>align</w:t>
      </w:r>
      <w:r>
        <w:t xml:space="preserve"> most with the </w:t>
      </w:r>
      <w:r w:rsidR="00337949">
        <w:t xml:space="preserve">management </w:t>
      </w:r>
      <w:r>
        <w:t>needs of Natura 2000.</w:t>
      </w:r>
    </w:p>
    <w:p w14:paraId="47854849" w14:textId="59CF74E9" w:rsidR="00C02885" w:rsidRDefault="00C02885" w:rsidP="00C02885">
      <w:pPr>
        <w:pStyle w:val="Heading3"/>
      </w:pPr>
      <w:r w:rsidRPr="00E775D6">
        <w:t>Other sector plans</w:t>
      </w:r>
      <w:r w:rsidR="00CA563B">
        <w:t>, strategies and public funds</w:t>
      </w:r>
      <w:r>
        <w:t xml:space="preserve"> </w:t>
      </w:r>
    </w:p>
    <w:p w14:paraId="5F32E5C5" w14:textId="3FEDE140" w:rsidR="00C02885" w:rsidRDefault="00C02885" w:rsidP="00C02885">
      <w:pPr>
        <w:pStyle w:val="BodyText"/>
      </w:pPr>
      <w:r>
        <w:t>Natura 2000 may potentially also benefit from other pub</w:t>
      </w:r>
      <w:r w:rsidR="00934B65">
        <w:t>lic sector budgets, where the needs of the network align with other policy objectives</w:t>
      </w:r>
      <w:r w:rsidR="00C21EFF">
        <w:t>,</w:t>
      </w:r>
      <w:r w:rsidR="006E505F">
        <w:t xml:space="preserve"> such as </w:t>
      </w:r>
      <w:r w:rsidR="00C21EFF">
        <w:t>flood and coastal erosion risk management</w:t>
      </w:r>
      <w:r w:rsidR="00934B65">
        <w:t>. T</w:t>
      </w:r>
      <w:r>
        <w:t>his may present additional funding opportunities, or opportunities for cost-savings by embedding expenditure across other sector programmes.</w:t>
      </w:r>
    </w:p>
    <w:p w14:paraId="3E292D72" w14:textId="55D770FD" w:rsidR="00F7193C" w:rsidRDefault="00F7193C" w:rsidP="00F7193C">
      <w:pPr>
        <w:pStyle w:val="Heading3"/>
      </w:pPr>
      <w:r>
        <w:t>Private</w:t>
      </w:r>
      <w:r w:rsidR="00B101FF">
        <w:t>,</w:t>
      </w:r>
      <w:r w:rsidR="00934B65">
        <w:t xml:space="preserve"> Lottery</w:t>
      </w:r>
      <w:r w:rsidR="00C02885">
        <w:t xml:space="preserve"> and voluntary sector</w:t>
      </w:r>
      <w:r>
        <w:t xml:space="preserve"> funds</w:t>
      </w:r>
    </w:p>
    <w:p w14:paraId="4CC14601" w14:textId="773849AB" w:rsidR="00F7193C" w:rsidRPr="00F7193C" w:rsidRDefault="00CA563B" w:rsidP="00F7193C">
      <w:pPr>
        <w:pStyle w:val="BodyText"/>
      </w:pPr>
      <w:r>
        <w:t>These are funds</w:t>
      </w:r>
      <w:r w:rsidR="0097200E">
        <w:t xml:space="preserve"> made available by organisations including business</w:t>
      </w:r>
      <w:r w:rsidR="00C02885">
        <w:t>es</w:t>
      </w:r>
      <w:r w:rsidR="0097200E">
        <w:t xml:space="preserve"> and charitable trusts – </w:t>
      </w:r>
      <w:r w:rsidR="00C02885">
        <w:t xml:space="preserve">either directly through </w:t>
      </w:r>
      <w:r w:rsidR="0097200E">
        <w:t>grants</w:t>
      </w:r>
      <w:r w:rsidR="00C02885">
        <w:t>,</w:t>
      </w:r>
      <w:r w:rsidR="0097200E">
        <w:t xml:space="preserve"> sponsorship </w:t>
      </w:r>
      <w:r w:rsidR="00C02885">
        <w:t xml:space="preserve">or direct management activities, or through other mechanisms such as </w:t>
      </w:r>
      <w:r w:rsidR="0097200E">
        <w:t xml:space="preserve">tax incentives e.g. </w:t>
      </w:r>
      <w:r w:rsidR="006E505F">
        <w:t xml:space="preserve">Landfill Communities Fund. </w:t>
      </w:r>
      <w:r w:rsidR="00C21EFF">
        <w:t>In addition, many areas are</w:t>
      </w:r>
      <w:r w:rsidR="006E505F">
        <w:t xml:space="preserve"> managed directly by conservation NGOs, using a combination of their public sector grants and management agreements with their own funds. </w:t>
      </w:r>
    </w:p>
    <w:p w14:paraId="4CA4A74E" w14:textId="1EBE61F6" w:rsidR="00976B21" w:rsidRDefault="001C5593" w:rsidP="00F7193C">
      <w:pPr>
        <w:pStyle w:val="Heading3"/>
      </w:pPr>
      <w:r w:rsidRPr="00E775D6">
        <w:t>Alternative funding approaches</w:t>
      </w:r>
    </w:p>
    <w:p w14:paraId="0AEF7152" w14:textId="08AE4693" w:rsidR="0005425D" w:rsidRDefault="00976B21" w:rsidP="0005425D">
      <w:pPr>
        <w:pStyle w:val="BodyText"/>
      </w:pPr>
      <w:r>
        <w:t>A</w:t>
      </w:r>
      <w:r w:rsidR="00E775D6">
        <w:t>lternative funding sources are those which are more emerging or unproven, or focus on areas with a more indirect link to Natura 2000 management (such as skills, training and monitoring infrastructure).</w:t>
      </w:r>
      <w:r w:rsidR="00B101FF">
        <w:t xml:space="preserve"> </w:t>
      </w:r>
      <w:r w:rsidR="0005425D">
        <w:t>A number of these seek to capture private sector funding by capitalising on the ecosystem service benefits that Natura 2000 sites provide to individuals and organisations through new funding mechanisms and market creation.</w:t>
      </w:r>
    </w:p>
    <w:p w14:paraId="1EDB07DF" w14:textId="77777777" w:rsidR="0005425D" w:rsidRDefault="0005425D" w:rsidP="0005425D">
      <w:pPr>
        <w:pStyle w:val="BodyText"/>
      </w:pPr>
      <w:r>
        <w:t xml:space="preserve">By developing alternative funding sources, or by utilising approaches that remove the funding need by encouraging direct private sector management actions, the financial burden on the public sector is reduced, allowing core public funds to be directed to other areas of funding need. Further, where these approaches are market-based, they affect the real economy and can thereby encourage and support </w:t>
      </w:r>
      <w:r>
        <w:rPr>
          <w:i/>
          <w:iCs/>
        </w:rPr>
        <w:t xml:space="preserve">'Green Growth', </w:t>
      </w:r>
      <w:r>
        <w:t>which offers considerable opportunities to for employment generation, notably in rural areas.</w:t>
      </w:r>
    </w:p>
    <w:p w14:paraId="53C9A883" w14:textId="77777777" w:rsidR="0005425D" w:rsidRDefault="0005425D" w:rsidP="0005425D">
      <w:pPr>
        <w:pStyle w:val="BodyText"/>
      </w:pPr>
      <w:r>
        <w:t>Theme 2 of The Environment Bill White Paper ‘</w:t>
      </w:r>
      <w:r>
        <w:rPr>
          <w:i/>
          <w:iCs/>
        </w:rPr>
        <w:t xml:space="preserve">Towards the Sustainable Management of Wales’ Natural Resources' (2014), </w:t>
      </w:r>
      <w:r>
        <w:t>considers proposals to ensure NRW has the right legislative tools, including stimulating the use of market mechanisms for ecosystem services and experimental power for Natural Resources Wales to test innovative approaches.</w:t>
      </w:r>
    </w:p>
    <w:p w14:paraId="7A7B2565" w14:textId="1F47D15E" w:rsidR="001C5593" w:rsidRDefault="000174C7" w:rsidP="000174C7">
      <w:pPr>
        <w:pStyle w:val="BodyText"/>
      </w:pPr>
      <w:r>
        <w:fldChar w:fldCharType="begin"/>
      </w:r>
      <w:r>
        <w:instrText xml:space="preserve"> REF _Ref406162361 \r \h </w:instrText>
      </w:r>
      <w:r>
        <w:fldChar w:fldCharType="separate"/>
      </w:r>
      <w:r w:rsidR="00B31483">
        <w:t>Table 3.1</w:t>
      </w:r>
      <w:r>
        <w:fldChar w:fldCharType="end"/>
      </w:r>
      <w:r w:rsidR="00EF3D18">
        <w:t xml:space="preserve"> identifies the main funding types and </w:t>
      </w:r>
      <w:r w:rsidR="001C5593">
        <w:t>the discrete funding</w:t>
      </w:r>
      <w:r w:rsidR="00EF3D18">
        <w:t xml:space="preserve"> sources / groups of funding sources reviewed.</w:t>
      </w:r>
    </w:p>
    <w:p w14:paraId="1A71D499" w14:textId="77777777" w:rsidR="00EF3D18" w:rsidRDefault="00EF3D18" w:rsidP="00B31483">
      <w:pPr>
        <w:pStyle w:val="Table"/>
      </w:pPr>
      <w:bookmarkStart w:id="200" w:name="_Ref406162361"/>
      <w:bookmarkStart w:id="201" w:name="_Toc407942719"/>
      <w:bookmarkStart w:id="202" w:name="_Toc408094125"/>
      <w:bookmarkStart w:id="203" w:name="_Toc408851108"/>
      <w:r>
        <w:t>Funding Sources</w:t>
      </w:r>
      <w:bookmarkEnd w:id="200"/>
      <w:bookmarkEnd w:id="201"/>
      <w:bookmarkEnd w:id="202"/>
      <w:bookmarkEnd w:id="203"/>
    </w:p>
    <w:tbl>
      <w:tblPr>
        <w:tblW w:w="8220" w:type="dxa"/>
        <w:tblInd w:w="850" w:type="dxa"/>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Layout w:type="fixed"/>
        <w:tblCellMar>
          <w:top w:w="57" w:type="dxa"/>
          <w:left w:w="0" w:type="dxa"/>
          <w:bottom w:w="28" w:type="dxa"/>
          <w:right w:w="0" w:type="dxa"/>
        </w:tblCellMar>
        <w:tblLook w:val="0000" w:firstRow="0" w:lastRow="0" w:firstColumn="0" w:lastColumn="0" w:noHBand="0" w:noVBand="0"/>
      </w:tblPr>
      <w:tblGrid>
        <w:gridCol w:w="707"/>
        <w:gridCol w:w="3118"/>
        <w:gridCol w:w="4395"/>
      </w:tblGrid>
      <w:tr w:rsidR="00EF3D18" w14:paraId="59D1F196" w14:textId="77777777" w:rsidTr="00B101FF">
        <w:trPr>
          <w:cantSplit/>
          <w:tblHeader/>
        </w:trPr>
        <w:tc>
          <w:tcPr>
            <w:tcW w:w="707" w:type="dxa"/>
            <w:shd w:val="clear" w:color="auto" w:fill="auto"/>
          </w:tcPr>
          <w:p w14:paraId="4828B02D" w14:textId="3BA17387" w:rsidR="00EF3D18" w:rsidRDefault="00EF3D18" w:rsidP="00B31483">
            <w:pPr>
              <w:pStyle w:val="TableHeading"/>
              <w:keepNext/>
            </w:pPr>
            <w:r>
              <w:t>Types</w:t>
            </w:r>
          </w:p>
        </w:tc>
        <w:tc>
          <w:tcPr>
            <w:tcW w:w="3118" w:type="dxa"/>
            <w:tcBorders>
              <w:right w:val="single" w:sz="2" w:space="0" w:color="FFFFFF"/>
            </w:tcBorders>
            <w:shd w:val="solid" w:color="0067AB" w:fill="0067AB"/>
          </w:tcPr>
          <w:p w14:paraId="5BFB7B26" w14:textId="3BD9D969" w:rsidR="00EF3D18" w:rsidRDefault="00EF3D18" w:rsidP="00B31483">
            <w:pPr>
              <w:pStyle w:val="TableHeadingWhite"/>
              <w:keepNext/>
            </w:pPr>
            <w:r>
              <w:t>Source</w:t>
            </w:r>
          </w:p>
        </w:tc>
        <w:tc>
          <w:tcPr>
            <w:tcW w:w="4395" w:type="dxa"/>
            <w:tcBorders>
              <w:left w:val="single" w:sz="2" w:space="0" w:color="FFFFFF"/>
            </w:tcBorders>
            <w:shd w:val="solid" w:color="0067AB" w:fill="0067AB"/>
          </w:tcPr>
          <w:p w14:paraId="59B0419C" w14:textId="2F76630B" w:rsidR="00EF3D18" w:rsidRDefault="00EF3D18" w:rsidP="00B31483">
            <w:pPr>
              <w:pStyle w:val="TableHeadingWhite"/>
              <w:keepNext/>
            </w:pPr>
            <w:r>
              <w:t>Detail/example</w:t>
            </w:r>
          </w:p>
        </w:tc>
      </w:tr>
      <w:tr w:rsidR="007122F8" w14:paraId="1DE25F8F" w14:textId="77777777" w:rsidTr="004C5446">
        <w:tc>
          <w:tcPr>
            <w:tcW w:w="707" w:type="dxa"/>
            <w:vMerge w:val="restart"/>
            <w:shd w:val="clear" w:color="auto" w:fill="auto"/>
            <w:textDirection w:val="btLr"/>
            <w:vAlign w:val="center"/>
          </w:tcPr>
          <w:p w14:paraId="4A45E2B5" w14:textId="384AAC5A" w:rsidR="007122F8" w:rsidRDefault="007122F8" w:rsidP="00B31483">
            <w:pPr>
              <w:pStyle w:val="TableTextNoSpace"/>
              <w:keepNext/>
              <w:jc w:val="center"/>
              <w:rPr>
                <w:b/>
              </w:rPr>
            </w:pPr>
            <w:r>
              <w:rPr>
                <w:b/>
              </w:rPr>
              <w:t>Public funding</w:t>
            </w:r>
          </w:p>
        </w:tc>
        <w:tc>
          <w:tcPr>
            <w:tcW w:w="3118" w:type="dxa"/>
            <w:shd w:val="clear" w:color="auto" w:fill="auto"/>
          </w:tcPr>
          <w:p w14:paraId="7617073B" w14:textId="5D005553" w:rsidR="007122F8" w:rsidRDefault="007122F8" w:rsidP="00B31483">
            <w:pPr>
              <w:pStyle w:val="TableTextNoSpace"/>
              <w:keepNext/>
            </w:pPr>
            <w:r>
              <w:t>NRW core funding</w:t>
            </w:r>
            <w:r w:rsidR="00CB376C">
              <w:t xml:space="preserve"> and grants </w:t>
            </w:r>
          </w:p>
        </w:tc>
        <w:tc>
          <w:tcPr>
            <w:tcW w:w="4395" w:type="dxa"/>
            <w:shd w:val="clear" w:color="auto" w:fill="auto"/>
          </w:tcPr>
          <w:p w14:paraId="5D519CA8" w14:textId="04F6B93B" w:rsidR="007122F8" w:rsidRDefault="007122F8" w:rsidP="00B31483">
            <w:pPr>
              <w:pStyle w:val="TableTextNoSpace"/>
              <w:keepNext/>
            </w:pPr>
            <w:r>
              <w:t>Including funds for land use agreements, acquisition and direct management. These funds also cover over environmental assets, such as the National Nature Reserves and the Forest Estate.</w:t>
            </w:r>
          </w:p>
          <w:p w14:paraId="62454AC9" w14:textId="77777777" w:rsidR="007122F8" w:rsidRDefault="007122F8" w:rsidP="00B31483">
            <w:pPr>
              <w:pStyle w:val="TableTextNoSpace"/>
              <w:keepNext/>
            </w:pPr>
            <w:r>
              <w:t>Core funding is defined on an annual basis for NRW, which creates difficulties for initiating collaborative projects. A 3-year Partnership Working Fund model has been proposed to address this barrier.</w:t>
            </w:r>
          </w:p>
          <w:p w14:paraId="6C7D4C3B" w14:textId="652F2737" w:rsidR="00CB376C" w:rsidRDefault="00CB376C" w:rsidP="00B31483">
            <w:pPr>
              <w:pStyle w:val="TableTextNoSpace"/>
              <w:keepNext/>
            </w:pPr>
            <w:r>
              <w:t>NRW also offers grants to a range of partners- local authorities, environmental organisations and voluntary bodies-to support delivery of projects that benefit both people and nature. Grants are usually offered at 50% of overall project costs.</w:t>
            </w:r>
          </w:p>
        </w:tc>
      </w:tr>
      <w:tr w:rsidR="007122F8" w14:paraId="106A205F" w14:textId="77777777" w:rsidTr="004C5446">
        <w:tc>
          <w:tcPr>
            <w:tcW w:w="707" w:type="dxa"/>
            <w:vMerge/>
            <w:shd w:val="clear" w:color="auto" w:fill="auto"/>
            <w:textDirection w:val="btLr"/>
            <w:vAlign w:val="center"/>
          </w:tcPr>
          <w:p w14:paraId="74ADE34B" w14:textId="77777777" w:rsidR="007122F8" w:rsidRDefault="007122F8" w:rsidP="004C5446">
            <w:pPr>
              <w:pStyle w:val="TableTextNoSpace"/>
              <w:jc w:val="center"/>
              <w:rPr>
                <w:b/>
              </w:rPr>
            </w:pPr>
          </w:p>
        </w:tc>
        <w:tc>
          <w:tcPr>
            <w:tcW w:w="3118" w:type="dxa"/>
            <w:shd w:val="clear" w:color="auto" w:fill="auto"/>
          </w:tcPr>
          <w:p w14:paraId="4DF59CEC" w14:textId="652065D6" w:rsidR="007122F8" w:rsidRPr="00E76020" w:rsidRDefault="007122F8" w:rsidP="00F7193C">
            <w:pPr>
              <w:pStyle w:val="TableTextNoSpace"/>
            </w:pPr>
            <w:r w:rsidRPr="00E76020">
              <w:t xml:space="preserve">Welsh Government  </w:t>
            </w:r>
          </w:p>
        </w:tc>
        <w:tc>
          <w:tcPr>
            <w:tcW w:w="4395" w:type="dxa"/>
            <w:shd w:val="clear" w:color="auto" w:fill="auto"/>
          </w:tcPr>
          <w:p w14:paraId="6291DA21" w14:textId="599D44B0" w:rsidR="007122F8" w:rsidRPr="00E76020" w:rsidRDefault="00172697" w:rsidP="00F7193C">
            <w:pPr>
              <w:pStyle w:val="TableTextNoSpace"/>
            </w:pPr>
            <w:r w:rsidRPr="00E76020">
              <w:t>The Welsh Government has in recent years operated a range of grant schemes. The most recent of these, the Nature Fund, was administered by NRW and has a key relevance to Natura 2000.</w:t>
            </w:r>
            <w:r w:rsidR="006C331E" w:rsidRPr="00E76020">
              <w:t xml:space="preserve"> Other grant schemes include Splash Grants, which focus on improving public access to rivers, lakes and coastal waters for recreation and education. </w:t>
            </w:r>
          </w:p>
        </w:tc>
      </w:tr>
      <w:tr w:rsidR="007122F8" w14:paraId="5A736D6F" w14:textId="77777777" w:rsidTr="004C5446">
        <w:tc>
          <w:tcPr>
            <w:tcW w:w="707" w:type="dxa"/>
            <w:vMerge/>
            <w:shd w:val="clear" w:color="auto" w:fill="auto"/>
            <w:textDirection w:val="btLr"/>
            <w:vAlign w:val="center"/>
          </w:tcPr>
          <w:p w14:paraId="506E729A" w14:textId="77777777" w:rsidR="007122F8" w:rsidRDefault="007122F8" w:rsidP="004C5446">
            <w:pPr>
              <w:pStyle w:val="TableTextNoSpace"/>
              <w:jc w:val="center"/>
              <w:rPr>
                <w:b/>
              </w:rPr>
            </w:pPr>
          </w:p>
        </w:tc>
        <w:tc>
          <w:tcPr>
            <w:tcW w:w="3118" w:type="dxa"/>
            <w:shd w:val="clear" w:color="auto" w:fill="auto"/>
          </w:tcPr>
          <w:p w14:paraId="382F6024" w14:textId="26EFBD8D" w:rsidR="007122F8" w:rsidRPr="00E76020" w:rsidRDefault="007122F8" w:rsidP="00F7193C">
            <w:pPr>
              <w:pStyle w:val="TableTextNoSpace"/>
            </w:pPr>
            <w:r w:rsidRPr="00E76020">
              <w:t>National Parks</w:t>
            </w:r>
          </w:p>
        </w:tc>
        <w:tc>
          <w:tcPr>
            <w:tcW w:w="4395" w:type="dxa"/>
            <w:shd w:val="clear" w:color="auto" w:fill="auto"/>
          </w:tcPr>
          <w:p w14:paraId="0C880D50" w14:textId="25DA4A96" w:rsidR="007122F8" w:rsidRPr="00E76020" w:rsidRDefault="000E62A1" w:rsidP="002F10BB">
            <w:pPr>
              <w:pStyle w:val="TableTextNoSpace"/>
            </w:pPr>
            <w:r w:rsidRPr="00E76020">
              <w:t xml:space="preserve">The three Welsh national parks, which cover around 20% of the total land area of Wales, have funds available to meet ongoing management which are used to manage Natura 2000 in some cases. These funds represent a mix of central government and </w:t>
            </w:r>
            <w:r w:rsidR="002F10BB">
              <w:t>local</w:t>
            </w:r>
            <w:r w:rsidRPr="00E76020">
              <w:t xml:space="preserve"> authority</w:t>
            </w:r>
            <w:r w:rsidR="002F10BB">
              <w:t xml:space="preserve"> grant</w:t>
            </w:r>
            <w:r w:rsidRPr="00E76020">
              <w:t xml:space="preserve"> </w:t>
            </w:r>
            <w:r w:rsidR="00172697" w:rsidRPr="00E76020">
              <w:t xml:space="preserve">funding. </w:t>
            </w:r>
            <w:r w:rsidR="002F10BB">
              <w:t>The ambition for the national parks in Wales is that they have resilient ecosystems and are rich in biodiversity – Natura 2000 is integrated into these goals through grants.</w:t>
            </w:r>
          </w:p>
        </w:tc>
      </w:tr>
      <w:tr w:rsidR="007122F8" w14:paraId="68DA6363" w14:textId="77777777" w:rsidTr="004C5446">
        <w:tc>
          <w:tcPr>
            <w:tcW w:w="707" w:type="dxa"/>
            <w:vMerge/>
            <w:shd w:val="clear" w:color="auto" w:fill="auto"/>
            <w:textDirection w:val="btLr"/>
            <w:vAlign w:val="center"/>
          </w:tcPr>
          <w:p w14:paraId="5355BDC1" w14:textId="66C8D522" w:rsidR="007122F8" w:rsidRDefault="007122F8" w:rsidP="004C5446">
            <w:pPr>
              <w:pStyle w:val="TableTextNoSpace"/>
              <w:jc w:val="center"/>
              <w:rPr>
                <w:b/>
              </w:rPr>
            </w:pPr>
          </w:p>
        </w:tc>
        <w:tc>
          <w:tcPr>
            <w:tcW w:w="3118" w:type="dxa"/>
            <w:shd w:val="clear" w:color="auto" w:fill="auto"/>
          </w:tcPr>
          <w:p w14:paraId="1B5D710E" w14:textId="564798E5" w:rsidR="007122F8" w:rsidRPr="00E76020" w:rsidRDefault="007122F8" w:rsidP="00F7193C">
            <w:pPr>
              <w:pStyle w:val="TableTextNoSpace"/>
            </w:pPr>
            <w:r w:rsidRPr="00E76020">
              <w:t xml:space="preserve">Local Authorities </w:t>
            </w:r>
          </w:p>
        </w:tc>
        <w:tc>
          <w:tcPr>
            <w:tcW w:w="4395" w:type="dxa"/>
            <w:shd w:val="clear" w:color="auto" w:fill="auto"/>
          </w:tcPr>
          <w:p w14:paraId="6AC6D4B0" w14:textId="198E6263" w:rsidR="007122F8" w:rsidRPr="00E76020" w:rsidRDefault="00520B54" w:rsidP="00F7193C">
            <w:pPr>
              <w:pStyle w:val="TableTextNoSpace"/>
            </w:pPr>
            <w:r w:rsidRPr="00E76020">
              <w:t xml:space="preserve">Local authorities can contribute to Natura 2000 management in a range of ways. Many are funding habitat creation/restoration as part of coastal squeeze compensation under the National Habitat Restoration Programme, for example. Others are using development compensation to fund management of SACs and Natura 2000 sites, for example using Section 106 Agreements of Local Development Plan funds. </w:t>
            </w:r>
          </w:p>
        </w:tc>
      </w:tr>
      <w:tr w:rsidR="00F7193C" w14:paraId="12D80C98" w14:textId="77777777" w:rsidTr="00F7193C">
        <w:tc>
          <w:tcPr>
            <w:tcW w:w="707" w:type="dxa"/>
            <w:vMerge w:val="restart"/>
            <w:shd w:val="clear" w:color="auto" w:fill="auto"/>
            <w:textDirection w:val="btLr"/>
          </w:tcPr>
          <w:p w14:paraId="506821C3" w14:textId="27BC6811" w:rsidR="00F7193C" w:rsidRPr="00AA1AA4" w:rsidRDefault="00F7193C" w:rsidP="000C6C9E">
            <w:pPr>
              <w:jc w:val="center"/>
            </w:pPr>
            <w:r>
              <w:rPr>
                <w:b/>
              </w:rPr>
              <w:t xml:space="preserve">EU </w:t>
            </w:r>
            <w:r w:rsidRPr="001C5593">
              <w:rPr>
                <w:b/>
              </w:rPr>
              <w:t xml:space="preserve">Funding </w:t>
            </w:r>
          </w:p>
        </w:tc>
        <w:tc>
          <w:tcPr>
            <w:tcW w:w="3118" w:type="dxa"/>
            <w:shd w:val="clear" w:color="auto" w:fill="auto"/>
          </w:tcPr>
          <w:p w14:paraId="58959B5D" w14:textId="03C5FD1C" w:rsidR="00F7193C" w:rsidRDefault="009C6D71" w:rsidP="009C6D71">
            <w:pPr>
              <w:pStyle w:val="TableTextNoSpace"/>
              <w:jc w:val="left"/>
            </w:pPr>
            <w:r>
              <w:t>European Agricultural Fund for Rural Development(</w:t>
            </w:r>
            <w:r w:rsidR="00F7193C">
              <w:t>EAFRD</w:t>
            </w:r>
            <w:r>
              <w:t>))</w:t>
            </w:r>
          </w:p>
        </w:tc>
        <w:tc>
          <w:tcPr>
            <w:tcW w:w="4395" w:type="dxa"/>
            <w:shd w:val="clear" w:color="auto" w:fill="auto"/>
          </w:tcPr>
          <w:p w14:paraId="7E761387" w14:textId="51041518" w:rsidR="00F7193C" w:rsidRDefault="00F7193C" w:rsidP="00C21EFF">
            <w:pPr>
              <w:pStyle w:val="BTBullet2"/>
              <w:numPr>
                <w:ilvl w:val="0"/>
                <w:numId w:val="0"/>
              </w:numPr>
              <w:ind w:left="57" w:right="57"/>
            </w:pPr>
            <w:r>
              <w:t xml:space="preserve">EAFRD funding is administered through Rural Development Programmes (RDPs) and primarily supports agri-environment measures, as well as </w:t>
            </w:r>
            <w:r w:rsidR="00934B65">
              <w:t xml:space="preserve">farm investments, expenditures to support the </w:t>
            </w:r>
            <w:r>
              <w:t>rural economy</w:t>
            </w:r>
            <w:r w:rsidR="00934B65">
              <w:t xml:space="preserve"> and community led rural development (LEADER) programmes.</w:t>
            </w:r>
            <w:r w:rsidR="00646129">
              <w:t xml:space="preserve"> The EAFRD also provides funding for the range of Glastir agri-environment schemes. </w:t>
            </w:r>
          </w:p>
        </w:tc>
      </w:tr>
      <w:tr w:rsidR="00F7193C" w14:paraId="0B800750" w14:textId="77777777" w:rsidTr="002B10CB">
        <w:tc>
          <w:tcPr>
            <w:tcW w:w="707" w:type="dxa"/>
            <w:vMerge/>
            <w:shd w:val="clear" w:color="auto" w:fill="auto"/>
          </w:tcPr>
          <w:p w14:paraId="52F51BF9" w14:textId="77777777" w:rsidR="00F7193C" w:rsidRDefault="00F7193C" w:rsidP="00F7193C">
            <w:pPr>
              <w:pStyle w:val="TableTextNoSpace"/>
              <w:jc w:val="center"/>
            </w:pPr>
          </w:p>
        </w:tc>
        <w:tc>
          <w:tcPr>
            <w:tcW w:w="3118" w:type="dxa"/>
            <w:shd w:val="clear" w:color="auto" w:fill="auto"/>
          </w:tcPr>
          <w:p w14:paraId="203EF3FA" w14:textId="6F227BA4" w:rsidR="00F7193C" w:rsidRPr="00EE77C4" w:rsidRDefault="00F7193C" w:rsidP="00D94488">
            <w:pPr>
              <w:pStyle w:val="TableTextNoSpace"/>
            </w:pPr>
            <w:r w:rsidRPr="00EE77C4">
              <w:rPr>
                <w:lang w:val="en"/>
              </w:rPr>
              <w:t xml:space="preserve">European Agricultural Guarantee Fund (EAGF) </w:t>
            </w:r>
            <w:r w:rsidR="00D94488" w:rsidRPr="00EE77C4">
              <w:t>Common Agricultural Policy (CAP)</w:t>
            </w:r>
            <w:r w:rsidRPr="00EE77C4">
              <w:t xml:space="preserve"> </w:t>
            </w:r>
            <w:r w:rsidR="009C6D71" w:rsidRPr="00EE77C4">
              <w:t>(</w:t>
            </w:r>
            <w:r w:rsidR="00D94488" w:rsidRPr="00EE77C4">
              <w:t>Direct Payment to Farmers</w:t>
            </w:r>
            <w:r w:rsidR="00E76020" w:rsidRPr="00EE77C4">
              <w:t>,</w:t>
            </w:r>
            <w:r w:rsidR="00D94488" w:rsidRPr="00EE77C4">
              <w:t xml:space="preserve"> replaces </w:t>
            </w:r>
            <w:r w:rsidR="009C6D71" w:rsidRPr="00EE77C4">
              <w:t>Single Farm Payment)</w:t>
            </w:r>
          </w:p>
        </w:tc>
        <w:tc>
          <w:tcPr>
            <w:tcW w:w="4395" w:type="dxa"/>
            <w:shd w:val="clear" w:color="auto" w:fill="auto"/>
          </w:tcPr>
          <w:p w14:paraId="2A229377" w14:textId="6CDA9167" w:rsidR="00F7193C" w:rsidRPr="00EE77C4" w:rsidRDefault="00F7193C" w:rsidP="000C6C9E">
            <w:pPr>
              <w:pStyle w:val="BTBullet2"/>
              <w:numPr>
                <w:ilvl w:val="0"/>
                <w:numId w:val="0"/>
              </w:numPr>
              <w:ind w:left="57" w:right="57"/>
            </w:pPr>
            <w:r w:rsidRPr="00EE77C4">
              <w:t>This is the main source of support for farmers’ incomes</w:t>
            </w:r>
            <w:r w:rsidR="00934B65" w:rsidRPr="00EE77C4">
              <w:t xml:space="preserve">. Payments are subject to basic environmental conditions (cross compliance), and </w:t>
            </w:r>
            <w:r w:rsidRPr="00EE77C4">
              <w:t>recent reforms have included a ‘greening’ element which incentivises limited conservation management activities</w:t>
            </w:r>
            <w:r w:rsidR="00934B65" w:rsidRPr="00EE77C4">
              <w:t>.</w:t>
            </w:r>
          </w:p>
        </w:tc>
      </w:tr>
      <w:tr w:rsidR="00F7193C" w14:paraId="7A3458F9" w14:textId="77777777" w:rsidTr="002B10CB">
        <w:tc>
          <w:tcPr>
            <w:tcW w:w="707" w:type="dxa"/>
            <w:vMerge/>
            <w:shd w:val="clear" w:color="auto" w:fill="auto"/>
          </w:tcPr>
          <w:p w14:paraId="6E41D5B3" w14:textId="77777777" w:rsidR="00F7193C" w:rsidRDefault="00F7193C" w:rsidP="00F7193C">
            <w:pPr>
              <w:pStyle w:val="TableTextNoSpace"/>
              <w:jc w:val="center"/>
            </w:pPr>
          </w:p>
        </w:tc>
        <w:tc>
          <w:tcPr>
            <w:tcW w:w="3118" w:type="dxa"/>
            <w:shd w:val="clear" w:color="auto" w:fill="auto"/>
          </w:tcPr>
          <w:p w14:paraId="6EB01F19" w14:textId="28D7B9E1" w:rsidR="00F7193C" w:rsidRDefault="009C6D71" w:rsidP="00F7193C">
            <w:pPr>
              <w:pStyle w:val="TableTextNoSpace"/>
            </w:pPr>
            <w:r>
              <w:t>European Maritime and Fisheries Fund (</w:t>
            </w:r>
            <w:r w:rsidR="00F7193C">
              <w:t>EMFF</w:t>
            </w:r>
            <w:r>
              <w:t>)</w:t>
            </w:r>
          </w:p>
        </w:tc>
        <w:tc>
          <w:tcPr>
            <w:tcW w:w="4395" w:type="dxa"/>
            <w:shd w:val="clear" w:color="auto" w:fill="auto"/>
          </w:tcPr>
          <w:p w14:paraId="75A5F1A6" w14:textId="73CC95AF" w:rsidR="00F7193C" w:rsidRDefault="00F7193C" w:rsidP="00934B65">
            <w:pPr>
              <w:pStyle w:val="BTBullet2"/>
              <w:numPr>
                <w:ilvl w:val="0"/>
                <w:numId w:val="0"/>
              </w:numPr>
              <w:ind w:left="57" w:right="57"/>
            </w:pPr>
            <w:r>
              <w:t xml:space="preserve">The EMFF is the main source of support for fisheries </w:t>
            </w:r>
            <w:r w:rsidR="00934B65">
              <w:t>development</w:t>
            </w:r>
            <w:r>
              <w:t>, but also supports the diversification of practices and adoption of more sustainable practices. The fund also supports research activities</w:t>
            </w:r>
            <w:r w:rsidR="00934B65">
              <w:t xml:space="preserve">, which may be relevant to marine </w:t>
            </w:r>
            <w:r>
              <w:t xml:space="preserve">Natura 2000 sites </w:t>
            </w:r>
            <w:r w:rsidR="00934B65">
              <w:t xml:space="preserve">for which evidence gaps </w:t>
            </w:r>
            <w:r>
              <w:t>are often substantial</w:t>
            </w:r>
            <w:r w:rsidR="00934B65">
              <w:t>.</w:t>
            </w:r>
            <w:r>
              <w:t xml:space="preserve"> </w:t>
            </w:r>
          </w:p>
        </w:tc>
      </w:tr>
      <w:tr w:rsidR="00F7193C" w14:paraId="27BCD8F9" w14:textId="77777777" w:rsidTr="002B10CB">
        <w:tc>
          <w:tcPr>
            <w:tcW w:w="707" w:type="dxa"/>
            <w:vMerge/>
            <w:shd w:val="clear" w:color="auto" w:fill="auto"/>
          </w:tcPr>
          <w:p w14:paraId="35DB809B" w14:textId="77777777" w:rsidR="00F7193C" w:rsidRDefault="00F7193C" w:rsidP="00F7193C">
            <w:pPr>
              <w:pStyle w:val="TableTextNoSpace"/>
              <w:jc w:val="center"/>
            </w:pPr>
          </w:p>
        </w:tc>
        <w:tc>
          <w:tcPr>
            <w:tcW w:w="3118" w:type="dxa"/>
            <w:shd w:val="clear" w:color="auto" w:fill="auto"/>
          </w:tcPr>
          <w:p w14:paraId="40E187A3" w14:textId="3D55B24C" w:rsidR="00F7193C" w:rsidRDefault="009C6D71" w:rsidP="00F7193C">
            <w:pPr>
              <w:pStyle w:val="TableTextNoSpace"/>
            </w:pPr>
            <w:r>
              <w:t>European Regional Development Fund (</w:t>
            </w:r>
            <w:r w:rsidR="00F7193C">
              <w:t>ERDF</w:t>
            </w:r>
            <w:r>
              <w:t>)</w:t>
            </w:r>
          </w:p>
        </w:tc>
        <w:tc>
          <w:tcPr>
            <w:tcW w:w="4395" w:type="dxa"/>
            <w:shd w:val="clear" w:color="auto" w:fill="auto"/>
          </w:tcPr>
          <w:p w14:paraId="271D3D13" w14:textId="0A9741E7" w:rsidR="00F7193C" w:rsidRDefault="00F7193C" w:rsidP="00C21EFF">
            <w:pPr>
              <w:pStyle w:val="BTBullet2"/>
              <w:numPr>
                <w:ilvl w:val="0"/>
                <w:numId w:val="0"/>
              </w:numPr>
              <w:ind w:left="57" w:right="57"/>
            </w:pPr>
            <w:r>
              <w:t xml:space="preserve">The ERDF focuses on </w:t>
            </w:r>
            <w:r w:rsidR="00934B65">
              <w:t xml:space="preserve">capital investment in </w:t>
            </w:r>
            <w:r>
              <w:t>infrastructure and economic development</w:t>
            </w:r>
            <w:r w:rsidR="00934B65">
              <w:t xml:space="preserve"> projects.</w:t>
            </w:r>
            <w:r>
              <w:t xml:space="preserve"> </w:t>
            </w:r>
          </w:p>
        </w:tc>
      </w:tr>
      <w:tr w:rsidR="00F7193C" w14:paraId="157BBC6C" w14:textId="77777777" w:rsidTr="002B10CB">
        <w:tc>
          <w:tcPr>
            <w:tcW w:w="707" w:type="dxa"/>
            <w:vMerge/>
            <w:shd w:val="clear" w:color="auto" w:fill="auto"/>
          </w:tcPr>
          <w:p w14:paraId="4C910137" w14:textId="77777777" w:rsidR="00F7193C" w:rsidRDefault="00F7193C" w:rsidP="00F7193C">
            <w:pPr>
              <w:pStyle w:val="TableTextNoSpace"/>
              <w:jc w:val="center"/>
            </w:pPr>
          </w:p>
        </w:tc>
        <w:tc>
          <w:tcPr>
            <w:tcW w:w="3118" w:type="dxa"/>
            <w:shd w:val="clear" w:color="auto" w:fill="auto"/>
          </w:tcPr>
          <w:p w14:paraId="71E88A8C" w14:textId="61B17714" w:rsidR="00F7193C" w:rsidRDefault="00F7193C" w:rsidP="00F7193C">
            <w:pPr>
              <w:pStyle w:val="TableTextNoSpace"/>
            </w:pPr>
            <w:r>
              <w:t xml:space="preserve">ERDF Ireland-Wales Territorial Cooperation </w:t>
            </w:r>
            <w:r w:rsidR="00F47BD4">
              <w:t xml:space="preserve">(INTERREG </w:t>
            </w:r>
            <w:r w:rsidR="009C6D71">
              <w:t>4A)</w:t>
            </w:r>
          </w:p>
        </w:tc>
        <w:tc>
          <w:tcPr>
            <w:tcW w:w="4395" w:type="dxa"/>
            <w:shd w:val="clear" w:color="auto" w:fill="auto"/>
          </w:tcPr>
          <w:p w14:paraId="01181F77" w14:textId="67C800F9" w:rsidR="00F7193C" w:rsidRDefault="00F7193C" w:rsidP="00934B65">
            <w:pPr>
              <w:pStyle w:val="BTBullet2"/>
              <w:numPr>
                <w:ilvl w:val="0"/>
                <w:numId w:val="0"/>
              </w:numPr>
              <w:ind w:left="57" w:right="57"/>
            </w:pPr>
            <w:r>
              <w:t xml:space="preserve">This is a </w:t>
            </w:r>
            <w:r w:rsidRPr="00EB2218">
              <w:t xml:space="preserve">€100m programme of support to collaborative </w:t>
            </w:r>
            <w:r>
              <w:t xml:space="preserve">  </w:t>
            </w:r>
            <w:r w:rsidRPr="00EB2218">
              <w:t>projects between Ireland and Wales, with a major focus on conservation, livelihoods and tourism in the Irish Sea</w:t>
            </w:r>
            <w:r w:rsidR="00934B65">
              <w:t>.</w:t>
            </w:r>
          </w:p>
        </w:tc>
      </w:tr>
      <w:tr w:rsidR="00F7193C" w14:paraId="57F9D7D6" w14:textId="77777777" w:rsidTr="002B10CB">
        <w:tc>
          <w:tcPr>
            <w:tcW w:w="707" w:type="dxa"/>
            <w:vMerge/>
            <w:shd w:val="clear" w:color="auto" w:fill="auto"/>
          </w:tcPr>
          <w:p w14:paraId="3F6E062A" w14:textId="77777777" w:rsidR="00F7193C" w:rsidRDefault="00F7193C" w:rsidP="00F7193C">
            <w:pPr>
              <w:pStyle w:val="TableTextNoSpace"/>
              <w:jc w:val="center"/>
            </w:pPr>
          </w:p>
        </w:tc>
        <w:tc>
          <w:tcPr>
            <w:tcW w:w="3118" w:type="dxa"/>
            <w:shd w:val="clear" w:color="auto" w:fill="auto"/>
          </w:tcPr>
          <w:p w14:paraId="7AEF405D" w14:textId="7F6C4FBA" w:rsidR="00F7193C" w:rsidRDefault="009C6D71" w:rsidP="00F7193C">
            <w:pPr>
              <w:pStyle w:val="TableTextNoSpace"/>
            </w:pPr>
            <w:r>
              <w:t>European Social Fund (</w:t>
            </w:r>
            <w:r w:rsidR="00F7193C">
              <w:t>ESF</w:t>
            </w:r>
            <w:r>
              <w:t>)</w:t>
            </w:r>
          </w:p>
        </w:tc>
        <w:tc>
          <w:tcPr>
            <w:tcW w:w="4395" w:type="dxa"/>
            <w:shd w:val="clear" w:color="auto" w:fill="auto"/>
          </w:tcPr>
          <w:p w14:paraId="47851816" w14:textId="7EDA4A49" w:rsidR="00F7193C" w:rsidRDefault="00F7193C" w:rsidP="00934B65">
            <w:pPr>
              <w:pStyle w:val="BTBullet2"/>
              <w:numPr>
                <w:ilvl w:val="0"/>
                <w:numId w:val="0"/>
              </w:numPr>
              <w:ind w:left="57" w:right="57"/>
            </w:pPr>
            <w:r>
              <w:t xml:space="preserve">The ESF focuses on </w:t>
            </w:r>
            <w:r w:rsidR="00934B65">
              <w:t xml:space="preserve">investment in human resources, </w:t>
            </w:r>
            <w:r>
              <w:t xml:space="preserve">skills and employment. </w:t>
            </w:r>
          </w:p>
        </w:tc>
      </w:tr>
      <w:tr w:rsidR="00F7193C" w14:paraId="189039B2" w14:textId="77777777" w:rsidTr="002B10CB">
        <w:tc>
          <w:tcPr>
            <w:tcW w:w="707" w:type="dxa"/>
            <w:vMerge/>
            <w:shd w:val="clear" w:color="auto" w:fill="auto"/>
          </w:tcPr>
          <w:p w14:paraId="162A0346" w14:textId="77777777" w:rsidR="00F7193C" w:rsidRDefault="00F7193C" w:rsidP="00F7193C">
            <w:pPr>
              <w:pStyle w:val="TableTextNoSpace"/>
              <w:jc w:val="center"/>
            </w:pPr>
          </w:p>
        </w:tc>
        <w:tc>
          <w:tcPr>
            <w:tcW w:w="3118" w:type="dxa"/>
            <w:shd w:val="clear" w:color="auto" w:fill="auto"/>
          </w:tcPr>
          <w:p w14:paraId="64CC55D7" w14:textId="35422E8E" w:rsidR="00F7193C" w:rsidRDefault="00F7193C" w:rsidP="00F7193C">
            <w:pPr>
              <w:pStyle w:val="TableTextNoSpace"/>
            </w:pPr>
            <w:r>
              <w:t xml:space="preserve">Horizon 2020 </w:t>
            </w:r>
          </w:p>
        </w:tc>
        <w:tc>
          <w:tcPr>
            <w:tcW w:w="4395" w:type="dxa"/>
            <w:shd w:val="clear" w:color="auto" w:fill="auto"/>
          </w:tcPr>
          <w:p w14:paraId="0E0608E7" w14:textId="7A807DEE" w:rsidR="00F7193C" w:rsidRDefault="00F7193C" w:rsidP="00C21EFF">
            <w:pPr>
              <w:pStyle w:val="BTBullet2"/>
              <w:numPr>
                <w:ilvl w:val="0"/>
                <w:numId w:val="0"/>
              </w:numPr>
              <w:ind w:left="57" w:right="57"/>
            </w:pPr>
            <w:r>
              <w:t xml:space="preserve">Horizon 2020 is the EU Research and Innovation grant framework, and </w:t>
            </w:r>
            <w:r w:rsidR="00382388">
              <w:t xml:space="preserve">co-funds investments in research, innovation and research infrastructure, including activities designed to address societal challenges such as sustainable agriculture, natural resource use and climate change. </w:t>
            </w:r>
          </w:p>
        </w:tc>
      </w:tr>
      <w:tr w:rsidR="00F7193C" w14:paraId="5BF82349" w14:textId="77777777" w:rsidTr="002B10CB">
        <w:tc>
          <w:tcPr>
            <w:tcW w:w="707" w:type="dxa"/>
            <w:vMerge/>
            <w:shd w:val="clear" w:color="auto" w:fill="auto"/>
          </w:tcPr>
          <w:p w14:paraId="609F331B" w14:textId="77777777" w:rsidR="00F7193C" w:rsidRDefault="00F7193C" w:rsidP="00F7193C">
            <w:pPr>
              <w:pStyle w:val="TableTextNoSpace"/>
              <w:jc w:val="center"/>
            </w:pPr>
          </w:p>
        </w:tc>
        <w:tc>
          <w:tcPr>
            <w:tcW w:w="3118" w:type="dxa"/>
            <w:shd w:val="clear" w:color="auto" w:fill="auto"/>
          </w:tcPr>
          <w:p w14:paraId="56788C1E" w14:textId="18E6A1A3" w:rsidR="00F7193C" w:rsidRDefault="00F7193C" w:rsidP="00F7193C">
            <w:pPr>
              <w:pStyle w:val="TableTextNoSpace"/>
            </w:pPr>
            <w:r>
              <w:t xml:space="preserve">LIFE </w:t>
            </w:r>
          </w:p>
        </w:tc>
        <w:tc>
          <w:tcPr>
            <w:tcW w:w="4395" w:type="dxa"/>
            <w:shd w:val="clear" w:color="auto" w:fill="auto"/>
          </w:tcPr>
          <w:p w14:paraId="69A437A8" w14:textId="62D397D8" w:rsidR="00F7193C" w:rsidRDefault="00F7193C" w:rsidP="00F7193C">
            <w:pPr>
              <w:pStyle w:val="BTBullet2"/>
              <w:numPr>
                <w:ilvl w:val="0"/>
                <w:numId w:val="0"/>
              </w:numPr>
              <w:ind w:left="57" w:right="57"/>
            </w:pPr>
            <w:r>
              <w:t xml:space="preserve">LIFE is the primary source of EU support for conservation, and funds a range of species and habitat-level projects as well as wider integrated programmes. </w:t>
            </w:r>
          </w:p>
        </w:tc>
      </w:tr>
      <w:tr w:rsidR="006C331E" w14:paraId="115AD000" w14:textId="77777777" w:rsidTr="004C5446">
        <w:tc>
          <w:tcPr>
            <w:tcW w:w="707" w:type="dxa"/>
            <w:vMerge w:val="restart"/>
            <w:shd w:val="clear" w:color="auto" w:fill="auto"/>
            <w:textDirection w:val="btLr"/>
            <w:vAlign w:val="center"/>
          </w:tcPr>
          <w:p w14:paraId="4FA4F8E1" w14:textId="6D28277B" w:rsidR="006C331E" w:rsidRDefault="006C331E" w:rsidP="000C6C9E">
            <w:pPr>
              <w:pStyle w:val="TableTextNoSpace"/>
              <w:jc w:val="center"/>
              <w:rPr>
                <w:b/>
              </w:rPr>
            </w:pPr>
            <w:r>
              <w:rPr>
                <w:b/>
              </w:rPr>
              <w:t>Private, Lottery and voluntary sector funds</w:t>
            </w:r>
          </w:p>
        </w:tc>
        <w:tc>
          <w:tcPr>
            <w:tcW w:w="3118" w:type="dxa"/>
            <w:shd w:val="clear" w:color="auto" w:fill="auto"/>
          </w:tcPr>
          <w:p w14:paraId="06ECB3F5" w14:textId="039D8627" w:rsidR="006C331E" w:rsidRDefault="006C331E" w:rsidP="00F7193C">
            <w:pPr>
              <w:pStyle w:val="TableTextNoSpace"/>
            </w:pPr>
            <w:r>
              <w:t>Business sponsorship</w:t>
            </w:r>
          </w:p>
        </w:tc>
        <w:tc>
          <w:tcPr>
            <w:tcW w:w="4395" w:type="dxa"/>
            <w:shd w:val="clear" w:color="auto" w:fill="auto"/>
          </w:tcPr>
          <w:p w14:paraId="41C0827D" w14:textId="2E6C158A" w:rsidR="006C331E" w:rsidRDefault="006C331E" w:rsidP="00382388">
            <w:pPr>
              <w:pStyle w:val="TableTextNoSpace"/>
            </w:pPr>
            <w:r>
              <w:t>Sponsorship linked to corporate social responsibility (CSR) and operational areas of interest.</w:t>
            </w:r>
          </w:p>
        </w:tc>
      </w:tr>
      <w:tr w:rsidR="006C331E" w14:paraId="59353F1D" w14:textId="77777777" w:rsidTr="004C5446">
        <w:tc>
          <w:tcPr>
            <w:tcW w:w="707" w:type="dxa"/>
            <w:vMerge/>
            <w:shd w:val="clear" w:color="auto" w:fill="auto"/>
            <w:textDirection w:val="btLr"/>
            <w:vAlign w:val="center"/>
          </w:tcPr>
          <w:p w14:paraId="725B4011" w14:textId="77777777" w:rsidR="006C331E" w:rsidRDefault="006C331E" w:rsidP="000C6C9E">
            <w:pPr>
              <w:pStyle w:val="TableTextNoSpace"/>
              <w:jc w:val="center"/>
              <w:rPr>
                <w:b/>
              </w:rPr>
            </w:pPr>
          </w:p>
        </w:tc>
        <w:tc>
          <w:tcPr>
            <w:tcW w:w="3118" w:type="dxa"/>
            <w:shd w:val="clear" w:color="auto" w:fill="auto"/>
          </w:tcPr>
          <w:p w14:paraId="31B5CFC0" w14:textId="648B0BA5" w:rsidR="006C331E" w:rsidRDefault="006C331E" w:rsidP="00082CFB">
            <w:pPr>
              <w:pStyle w:val="TableTextNoSpace"/>
              <w:jc w:val="left"/>
            </w:pPr>
            <w:r>
              <w:t xml:space="preserve">Charitable, lottery and trust funds focusing on biodiversity conservation and landscape management </w:t>
            </w:r>
          </w:p>
        </w:tc>
        <w:tc>
          <w:tcPr>
            <w:tcW w:w="4395" w:type="dxa"/>
            <w:shd w:val="clear" w:color="auto" w:fill="auto"/>
          </w:tcPr>
          <w:p w14:paraId="3988D589" w14:textId="77777777" w:rsidR="006C331E" w:rsidRDefault="006C331E" w:rsidP="00382388">
            <w:pPr>
              <w:pStyle w:val="TableTextNoSpace"/>
            </w:pPr>
            <w:r>
              <w:t>A range of competitive funds are available to support conservation management at a landscape scale, including:</w:t>
            </w:r>
          </w:p>
          <w:p w14:paraId="75F4F104" w14:textId="77777777" w:rsidR="006C331E" w:rsidRDefault="006C331E" w:rsidP="00082CFB">
            <w:pPr>
              <w:pStyle w:val="TableBullet"/>
              <w:spacing w:before="0" w:after="0"/>
              <w:ind w:left="341" w:hanging="284"/>
            </w:pPr>
            <w:r>
              <w:t>Esmée Fairbairn Foundation</w:t>
            </w:r>
          </w:p>
          <w:p w14:paraId="60983B51" w14:textId="77777777" w:rsidR="006C331E" w:rsidRDefault="006C331E" w:rsidP="00082CFB">
            <w:pPr>
              <w:pStyle w:val="Bullet1"/>
            </w:pPr>
            <w:r>
              <w:t xml:space="preserve">Heritage Lottery Fund </w:t>
            </w:r>
          </w:p>
          <w:p w14:paraId="07EA3C32" w14:textId="77777777" w:rsidR="006C331E" w:rsidRDefault="006C331E" w:rsidP="00082CFB">
            <w:pPr>
              <w:pStyle w:val="Bullet1"/>
            </w:pPr>
            <w:r>
              <w:t xml:space="preserve">Sustainable Development Fund </w:t>
            </w:r>
          </w:p>
          <w:p w14:paraId="26EFD118" w14:textId="2980857A" w:rsidR="006C331E" w:rsidRDefault="006C331E" w:rsidP="00082CFB">
            <w:pPr>
              <w:pStyle w:val="Bullet1"/>
            </w:pPr>
            <w:r>
              <w:t xml:space="preserve">Waterloo Foundation (marine) </w:t>
            </w:r>
          </w:p>
        </w:tc>
      </w:tr>
      <w:tr w:rsidR="006C331E" w14:paraId="02B1591D" w14:textId="77777777" w:rsidTr="00F7193C">
        <w:tc>
          <w:tcPr>
            <w:tcW w:w="707" w:type="dxa"/>
            <w:vMerge/>
            <w:shd w:val="clear" w:color="auto" w:fill="auto"/>
            <w:textDirection w:val="btLr"/>
          </w:tcPr>
          <w:p w14:paraId="15060125" w14:textId="52278FEA" w:rsidR="006C331E" w:rsidRDefault="006C331E" w:rsidP="00F7193C">
            <w:pPr>
              <w:pStyle w:val="TableTextNoSpace"/>
              <w:jc w:val="center"/>
              <w:rPr>
                <w:b/>
              </w:rPr>
            </w:pPr>
          </w:p>
        </w:tc>
        <w:tc>
          <w:tcPr>
            <w:tcW w:w="3118" w:type="dxa"/>
            <w:shd w:val="clear" w:color="auto" w:fill="auto"/>
          </w:tcPr>
          <w:p w14:paraId="2266A2F6" w14:textId="7E00964E" w:rsidR="006C331E" w:rsidRDefault="006C331E" w:rsidP="00082CFB">
            <w:pPr>
              <w:pStyle w:val="TableTextNoSpace"/>
              <w:jc w:val="left"/>
            </w:pPr>
            <w:r>
              <w:t>Charitable, lottery and trust funds focusing on skills/trainin</w:t>
            </w:r>
            <w:r w:rsidR="00DC3231">
              <w:t>g and</w:t>
            </w:r>
            <w:r>
              <w:t xml:space="preserve"> community </w:t>
            </w:r>
          </w:p>
        </w:tc>
        <w:tc>
          <w:tcPr>
            <w:tcW w:w="4395" w:type="dxa"/>
            <w:shd w:val="clear" w:color="auto" w:fill="auto"/>
          </w:tcPr>
          <w:p w14:paraId="7ABC5964" w14:textId="77777777" w:rsidR="006C331E" w:rsidRDefault="006C331E" w:rsidP="00F7193C">
            <w:pPr>
              <w:pStyle w:val="BTBullet2"/>
              <w:numPr>
                <w:ilvl w:val="0"/>
                <w:numId w:val="0"/>
              </w:numPr>
            </w:pPr>
            <w:r>
              <w:t xml:space="preserve"> A range of funds are available to support local</w:t>
            </w:r>
          </w:p>
          <w:p w14:paraId="26BE3A14" w14:textId="77777777" w:rsidR="006C331E" w:rsidRDefault="006C331E" w:rsidP="00F7193C">
            <w:pPr>
              <w:pStyle w:val="BTBullet2"/>
              <w:numPr>
                <w:ilvl w:val="0"/>
                <w:numId w:val="0"/>
              </w:numPr>
            </w:pPr>
            <w:r>
              <w:t xml:space="preserve"> business and skills in the rural economy, which</w:t>
            </w:r>
          </w:p>
          <w:p w14:paraId="6AC6E8B4" w14:textId="77777777" w:rsidR="006C331E" w:rsidRDefault="006C331E" w:rsidP="00F7193C">
            <w:pPr>
              <w:pStyle w:val="BTBullet2"/>
              <w:numPr>
                <w:ilvl w:val="0"/>
                <w:numId w:val="0"/>
              </w:numPr>
            </w:pPr>
            <w:r>
              <w:t xml:space="preserve"> may have a strong link to diversification of </w:t>
            </w:r>
          </w:p>
          <w:p w14:paraId="6BDA409E" w14:textId="77777777" w:rsidR="006C331E" w:rsidRDefault="006C331E" w:rsidP="00F7193C">
            <w:pPr>
              <w:pStyle w:val="BTBullet2"/>
              <w:numPr>
                <w:ilvl w:val="0"/>
                <w:numId w:val="0"/>
              </w:numPr>
            </w:pPr>
            <w:r>
              <w:t xml:space="preserve"> Natura 2000 funding: </w:t>
            </w:r>
          </w:p>
          <w:p w14:paraId="2EEDD7B9" w14:textId="77777777" w:rsidR="006C331E" w:rsidRDefault="006C331E" w:rsidP="00F7193C">
            <w:pPr>
              <w:pStyle w:val="TableBullet"/>
            </w:pPr>
            <w:r>
              <w:t xml:space="preserve">The Prince’s Countryside Fund </w:t>
            </w:r>
          </w:p>
          <w:p w14:paraId="7579A474" w14:textId="77777777" w:rsidR="006C331E" w:rsidRDefault="006C331E" w:rsidP="00F7193C">
            <w:pPr>
              <w:pStyle w:val="TableBullet"/>
            </w:pPr>
            <w:r>
              <w:t>Welsh Council for Voluntary Action</w:t>
            </w:r>
          </w:p>
          <w:p w14:paraId="56A6E495" w14:textId="77777777" w:rsidR="006C331E" w:rsidRDefault="006C331E" w:rsidP="00F7193C">
            <w:pPr>
              <w:pStyle w:val="TableBullet"/>
            </w:pPr>
            <w:r>
              <w:t xml:space="preserve">The Fund for Wales </w:t>
            </w:r>
          </w:p>
          <w:p w14:paraId="5B9C1E70" w14:textId="77777777" w:rsidR="006C331E" w:rsidRDefault="006C331E" w:rsidP="00F7193C">
            <w:pPr>
              <w:pStyle w:val="TableBullet"/>
            </w:pPr>
            <w:r>
              <w:t xml:space="preserve">Big Lottery Fund </w:t>
            </w:r>
          </w:p>
          <w:p w14:paraId="614AC9ED" w14:textId="77777777" w:rsidR="006C331E" w:rsidRDefault="006C331E" w:rsidP="00C21EFF">
            <w:pPr>
              <w:pStyle w:val="TableBullet"/>
            </w:pPr>
            <w:r>
              <w:t xml:space="preserve">Leverhulme Trust </w:t>
            </w:r>
          </w:p>
          <w:p w14:paraId="56868BE3" w14:textId="2AFEA7A8" w:rsidR="006C331E" w:rsidRDefault="006C331E" w:rsidP="008649B6">
            <w:pPr>
              <w:pStyle w:val="TableBullet"/>
            </w:pPr>
            <w:r w:rsidRPr="008649B6">
              <w:t>Nineveh Charitable Trust</w:t>
            </w:r>
          </w:p>
        </w:tc>
      </w:tr>
      <w:tr w:rsidR="00E6024C" w14:paraId="27D789B5" w14:textId="77777777" w:rsidTr="002B10CB">
        <w:tc>
          <w:tcPr>
            <w:tcW w:w="707" w:type="dxa"/>
            <w:vMerge/>
            <w:shd w:val="clear" w:color="auto" w:fill="auto"/>
          </w:tcPr>
          <w:p w14:paraId="6CA262FC" w14:textId="77777777" w:rsidR="00E6024C" w:rsidRDefault="00E6024C" w:rsidP="00E6024C">
            <w:pPr>
              <w:pStyle w:val="TableTextNoSpace"/>
              <w:jc w:val="center"/>
            </w:pPr>
          </w:p>
        </w:tc>
        <w:tc>
          <w:tcPr>
            <w:tcW w:w="3118" w:type="dxa"/>
            <w:shd w:val="clear" w:color="auto" w:fill="auto"/>
          </w:tcPr>
          <w:p w14:paraId="2CBC4F37" w14:textId="5F85D33A" w:rsidR="00E6024C" w:rsidRPr="00E6024C" w:rsidRDefault="00E6024C" w:rsidP="00E6024C">
            <w:pPr>
              <w:pStyle w:val="TableTextNoSpace"/>
            </w:pPr>
            <w:r w:rsidRPr="00E6024C">
              <w:t xml:space="preserve">Protective landowners’ direct funds  </w:t>
            </w:r>
          </w:p>
        </w:tc>
        <w:tc>
          <w:tcPr>
            <w:tcW w:w="4395" w:type="dxa"/>
            <w:shd w:val="clear" w:color="auto" w:fill="auto"/>
          </w:tcPr>
          <w:p w14:paraId="2C054252" w14:textId="77777777" w:rsidR="00E6024C" w:rsidRPr="00E6024C" w:rsidRDefault="00E6024C" w:rsidP="00E6024C">
            <w:pPr>
              <w:pStyle w:val="TableTextNoSpace"/>
            </w:pPr>
            <w:r w:rsidRPr="00E6024C">
              <w:t xml:space="preserve">A range of organisations provide direct support to conservation management through their nature reserves and sites. Relevant organisations include: </w:t>
            </w:r>
          </w:p>
          <w:p w14:paraId="60CE0CFE" w14:textId="77777777" w:rsidR="00E6024C" w:rsidRPr="00E6024C" w:rsidRDefault="00E6024C" w:rsidP="00E6024C">
            <w:pPr>
              <w:pStyle w:val="TableBullet"/>
            </w:pPr>
            <w:r w:rsidRPr="00E6024C">
              <w:t>PONT (Pori Natur a Threftadaeth)</w:t>
            </w:r>
          </w:p>
          <w:p w14:paraId="5BD557DE" w14:textId="77777777" w:rsidR="00E6024C" w:rsidRPr="00E6024C" w:rsidRDefault="00E6024C" w:rsidP="00E6024C">
            <w:pPr>
              <w:pStyle w:val="TableBullet"/>
            </w:pPr>
            <w:r w:rsidRPr="00E6024C">
              <w:t xml:space="preserve">RSPB Cymru </w:t>
            </w:r>
          </w:p>
          <w:p w14:paraId="2298D98F" w14:textId="77777777" w:rsidR="00E6024C" w:rsidRPr="00E6024C" w:rsidRDefault="00E6024C" w:rsidP="00E6024C">
            <w:pPr>
              <w:pStyle w:val="TableBullet"/>
            </w:pPr>
            <w:r w:rsidRPr="00E6024C">
              <w:t xml:space="preserve">Wildlife Trusts </w:t>
            </w:r>
          </w:p>
          <w:p w14:paraId="4F37B996" w14:textId="5CDF0ABB" w:rsidR="00E6024C" w:rsidRPr="00E6024C" w:rsidRDefault="00E6024C" w:rsidP="00E6024C">
            <w:pPr>
              <w:pStyle w:val="TableBullet"/>
            </w:pPr>
            <w:r w:rsidRPr="00E6024C">
              <w:t xml:space="preserve">National Trust </w:t>
            </w:r>
          </w:p>
        </w:tc>
      </w:tr>
      <w:tr w:rsidR="006C331E" w14:paraId="1B2DFB16" w14:textId="77777777" w:rsidTr="002B10CB">
        <w:tc>
          <w:tcPr>
            <w:tcW w:w="707" w:type="dxa"/>
            <w:vMerge/>
            <w:shd w:val="clear" w:color="auto" w:fill="auto"/>
          </w:tcPr>
          <w:p w14:paraId="3A92CE6B" w14:textId="77777777" w:rsidR="006C331E" w:rsidRDefault="006C331E" w:rsidP="00F7193C">
            <w:pPr>
              <w:pStyle w:val="TableTextNoSpace"/>
              <w:jc w:val="center"/>
            </w:pPr>
          </w:p>
        </w:tc>
        <w:tc>
          <w:tcPr>
            <w:tcW w:w="3118" w:type="dxa"/>
            <w:shd w:val="clear" w:color="auto" w:fill="auto"/>
          </w:tcPr>
          <w:p w14:paraId="64FADE69" w14:textId="4F638A0C" w:rsidR="006C331E" w:rsidRDefault="006C331E" w:rsidP="00F7193C">
            <w:pPr>
              <w:pStyle w:val="TableTextNoSpace"/>
            </w:pPr>
            <w:r>
              <w:t>Landfill Communities Fund (LCF) financed conservation funds</w:t>
            </w:r>
          </w:p>
          <w:p w14:paraId="2D05B7D0" w14:textId="77777777" w:rsidR="006C331E" w:rsidRDefault="006C331E" w:rsidP="00F7193C">
            <w:pPr>
              <w:pStyle w:val="TableTextNoSpace"/>
            </w:pPr>
          </w:p>
        </w:tc>
        <w:tc>
          <w:tcPr>
            <w:tcW w:w="4395" w:type="dxa"/>
            <w:shd w:val="clear" w:color="auto" w:fill="auto"/>
          </w:tcPr>
          <w:p w14:paraId="68E16BCF" w14:textId="5121AA0F" w:rsidR="006C331E" w:rsidRDefault="006C331E" w:rsidP="00082CFB">
            <w:pPr>
              <w:pStyle w:val="BTBullet2"/>
              <w:numPr>
                <w:ilvl w:val="0"/>
                <w:numId w:val="0"/>
              </w:numPr>
              <w:ind w:left="57" w:right="57"/>
            </w:pPr>
            <w:r>
              <w:t>Recognised Environmental Bodies are able to allocate landfill tax funds towards biod</w:t>
            </w:r>
            <w:r w:rsidR="00082CFB">
              <w:t>iversity and conservation works. Examples of such bodies include</w:t>
            </w:r>
            <w:r>
              <w:t>:</w:t>
            </w:r>
          </w:p>
          <w:p w14:paraId="2AF1DCAF" w14:textId="77777777" w:rsidR="006C331E" w:rsidRDefault="006C331E" w:rsidP="00F7193C">
            <w:pPr>
              <w:pStyle w:val="TableBullet"/>
            </w:pPr>
            <w:r>
              <w:t xml:space="preserve">WREN Biodiversity Action Fund </w:t>
            </w:r>
          </w:p>
          <w:p w14:paraId="1BAC026A" w14:textId="77777777" w:rsidR="006C331E" w:rsidRDefault="006C331E" w:rsidP="00F7193C">
            <w:pPr>
              <w:pStyle w:val="TableBullet"/>
            </w:pPr>
            <w:r>
              <w:t>Biffa Award</w:t>
            </w:r>
          </w:p>
          <w:p w14:paraId="30E55202" w14:textId="77777777" w:rsidR="006C331E" w:rsidRDefault="006C331E" w:rsidP="00F7193C">
            <w:pPr>
              <w:pStyle w:val="TableBullet"/>
            </w:pPr>
            <w:r>
              <w:t xml:space="preserve">CWM Community and Environmental Fund </w:t>
            </w:r>
          </w:p>
          <w:p w14:paraId="4F697157" w14:textId="50726F38" w:rsidR="006C331E" w:rsidRDefault="006C331E" w:rsidP="00082CFB">
            <w:pPr>
              <w:pStyle w:val="TableBullet"/>
            </w:pPr>
            <w:r>
              <w:t xml:space="preserve">Veolia Environmental Trust </w:t>
            </w:r>
          </w:p>
        </w:tc>
      </w:tr>
      <w:tr w:rsidR="006C331E" w14:paraId="6DC93795" w14:textId="77777777" w:rsidTr="002B10CB">
        <w:tc>
          <w:tcPr>
            <w:tcW w:w="707" w:type="dxa"/>
            <w:vMerge/>
            <w:shd w:val="clear" w:color="auto" w:fill="auto"/>
          </w:tcPr>
          <w:p w14:paraId="53CD46AD" w14:textId="77777777" w:rsidR="006C331E" w:rsidRDefault="006C331E" w:rsidP="00F7193C">
            <w:pPr>
              <w:pStyle w:val="TableTextNoSpace"/>
              <w:jc w:val="center"/>
            </w:pPr>
          </w:p>
        </w:tc>
        <w:tc>
          <w:tcPr>
            <w:tcW w:w="3118" w:type="dxa"/>
            <w:shd w:val="clear" w:color="auto" w:fill="auto"/>
          </w:tcPr>
          <w:p w14:paraId="051D2EFF" w14:textId="7C3B2170" w:rsidR="006C331E" w:rsidRPr="00162E98" w:rsidRDefault="006C331E" w:rsidP="00F7193C">
            <w:pPr>
              <w:pStyle w:val="TableTextNoSpace"/>
            </w:pPr>
            <w:r w:rsidRPr="00162E98">
              <w:t xml:space="preserve">Aggregates Levy Sustainability Fund for Wales </w:t>
            </w:r>
          </w:p>
        </w:tc>
        <w:tc>
          <w:tcPr>
            <w:tcW w:w="4395" w:type="dxa"/>
            <w:shd w:val="clear" w:color="auto" w:fill="auto"/>
          </w:tcPr>
          <w:p w14:paraId="4BA0AAE7" w14:textId="43C24D6D" w:rsidR="006C331E" w:rsidRPr="00162E98" w:rsidRDefault="006C331E" w:rsidP="00082CFB">
            <w:pPr>
              <w:pStyle w:val="BTBullet2"/>
              <w:numPr>
                <w:ilvl w:val="0"/>
                <w:numId w:val="0"/>
              </w:numPr>
              <w:ind w:left="57" w:right="57"/>
              <w:jc w:val="left"/>
            </w:pPr>
            <w:r w:rsidRPr="00162E98">
              <w:t xml:space="preserve">Part of the funds raised through this levy include       a Sustainability Fund to address the environmental costs associated with aggregate extraction. These funds have been widely applied in recent years to marine aggregate extraction in particular.  </w:t>
            </w:r>
          </w:p>
        </w:tc>
      </w:tr>
      <w:tr w:rsidR="00C21EFF" w14:paraId="6CCCCE6B" w14:textId="77777777" w:rsidTr="004C5446">
        <w:tc>
          <w:tcPr>
            <w:tcW w:w="707" w:type="dxa"/>
            <w:vMerge w:val="restart"/>
            <w:shd w:val="clear" w:color="auto" w:fill="auto"/>
            <w:textDirection w:val="btLr"/>
            <w:vAlign w:val="center"/>
          </w:tcPr>
          <w:p w14:paraId="61DBC1CC" w14:textId="6BA7E70D" w:rsidR="00C21EFF" w:rsidRDefault="00C21EFF" w:rsidP="00C21EFF">
            <w:pPr>
              <w:pStyle w:val="TableTextNoSpace"/>
              <w:ind w:left="113"/>
              <w:jc w:val="center"/>
              <w:rPr>
                <w:b/>
              </w:rPr>
            </w:pPr>
            <w:r>
              <w:rPr>
                <w:b/>
              </w:rPr>
              <w:t>Other sector plans, strategies and public funds</w:t>
            </w:r>
          </w:p>
        </w:tc>
        <w:tc>
          <w:tcPr>
            <w:tcW w:w="3118" w:type="dxa"/>
            <w:shd w:val="clear" w:color="auto" w:fill="auto"/>
          </w:tcPr>
          <w:p w14:paraId="27D8F14D" w14:textId="77777777" w:rsidR="00C21EFF" w:rsidRDefault="00C21EFF" w:rsidP="00C21EFF">
            <w:pPr>
              <w:pStyle w:val="TableTextNoSpace"/>
            </w:pPr>
            <w:r>
              <w:t xml:space="preserve">Major research programmes </w:t>
            </w:r>
          </w:p>
          <w:p w14:paraId="46A69157" w14:textId="77777777" w:rsidR="00C21EFF" w:rsidRDefault="00C21EFF" w:rsidP="00C21EFF">
            <w:pPr>
              <w:pStyle w:val="TableTextNoSpace"/>
            </w:pPr>
          </w:p>
        </w:tc>
        <w:tc>
          <w:tcPr>
            <w:tcW w:w="4395" w:type="dxa"/>
            <w:shd w:val="clear" w:color="auto" w:fill="auto"/>
          </w:tcPr>
          <w:p w14:paraId="5183C9AF" w14:textId="77777777" w:rsidR="00C21EFF" w:rsidRDefault="00C21EFF" w:rsidP="00C21EFF">
            <w:pPr>
              <w:pStyle w:val="BTBullet2"/>
              <w:numPr>
                <w:ilvl w:val="0"/>
                <w:numId w:val="0"/>
              </w:numPr>
            </w:pPr>
            <w:r>
              <w:t xml:space="preserve"> A range of large and small grants are available</w:t>
            </w:r>
          </w:p>
          <w:p w14:paraId="0B90830F" w14:textId="680B22F6" w:rsidR="00C21EFF" w:rsidRDefault="00C21EFF" w:rsidP="00C21EFF">
            <w:pPr>
              <w:pStyle w:val="BTBullet2"/>
              <w:numPr>
                <w:ilvl w:val="0"/>
                <w:numId w:val="0"/>
              </w:numPr>
            </w:pPr>
            <w:r>
              <w:t xml:space="preserve"> to undertake research from sources such as: </w:t>
            </w:r>
          </w:p>
          <w:p w14:paraId="1C633E57" w14:textId="5E0D52E0" w:rsidR="00203FC7" w:rsidRDefault="00C21EFF" w:rsidP="00203FC7">
            <w:pPr>
              <w:pStyle w:val="TableBullet"/>
            </w:pPr>
            <w:r>
              <w:t>UK Research Councils (</w:t>
            </w:r>
            <w:r w:rsidR="00B264BE">
              <w:t xml:space="preserve">e.g. </w:t>
            </w:r>
            <w:r w:rsidR="00453173">
              <w:t>Natural Environment Research Council</w:t>
            </w:r>
            <w:r w:rsidR="00203FC7">
              <w:t>, Economic and Social Research Council</w:t>
            </w:r>
            <w:r>
              <w:t>)</w:t>
            </w:r>
            <w:r w:rsidR="00203FC7">
              <w:t xml:space="preserve">. These are awarded to universities and research institutes but can fund projects, capital investments, </w:t>
            </w:r>
            <w:r w:rsidR="001807E1">
              <w:t xml:space="preserve">and researchers. </w:t>
            </w:r>
            <w:r>
              <w:t xml:space="preserve"> </w:t>
            </w:r>
          </w:p>
          <w:p w14:paraId="558EB96B" w14:textId="1385DED0" w:rsidR="00C21EFF" w:rsidRDefault="00C21EFF" w:rsidP="00082CFB">
            <w:pPr>
              <w:pStyle w:val="TableBullet"/>
            </w:pPr>
            <w:r>
              <w:t>Freshwater Biological Association Forest Research</w:t>
            </w:r>
          </w:p>
          <w:p w14:paraId="1CCF5459" w14:textId="2CB5B085" w:rsidR="001807E1" w:rsidRDefault="001807E1" w:rsidP="00082CFB">
            <w:pPr>
              <w:pStyle w:val="TableBullet"/>
            </w:pPr>
            <w:r>
              <w:t xml:space="preserve">UK Water Industry Research, which supports specific investigation and research needs for catchments. </w:t>
            </w:r>
          </w:p>
          <w:p w14:paraId="7F229576" w14:textId="5581E775" w:rsidR="001807E1" w:rsidRDefault="001807E1" w:rsidP="00082CFB">
            <w:pPr>
              <w:pStyle w:val="TableBullet"/>
              <w:numPr>
                <w:ilvl w:val="0"/>
                <w:numId w:val="0"/>
              </w:numPr>
              <w:ind w:left="57"/>
            </w:pPr>
            <w:r>
              <w:t xml:space="preserve">There are growing examples of collaboration between NRW, conservation groups and universities/colleges, to better link conservation management needs to skills and training available. One key example is the recent River Restoration NVQ developed with NRW input. </w:t>
            </w:r>
          </w:p>
        </w:tc>
      </w:tr>
      <w:tr w:rsidR="00C21EFF" w14:paraId="7BFFB230" w14:textId="77777777" w:rsidTr="004C5446">
        <w:tc>
          <w:tcPr>
            <w:tcW w:w="707" w:type="dxa"/>
            <w:vMerge/>
            <w:shd w:val="clear" w:color="auto" w:fill="auto"/>
            <w:textDirection w:val="btLr"/>
            <w:vAlign w:val="center"/>
          </w:tcPr>
          <w:p w14:paraId="70354D15" w14:textId="617D70D3" w:rsidR="00C21EFF" w:rsidRPr="00C21EFF" w:rsidRDefault="00C21EFF" w:rsidP="00C21EFF">
            <w:pPr>
              <w:pStyle w:val="TableTextNoSpace"/>
              <w:ind w:left="113"/>
              <w:jc w:val="center"/>
              <w:rPr>
                <w:b/>
              </w:rPr>
            </w:pPr>
          </w:p>
        </w:tc>
        <w:tc>
          <w:tcPr>
            <w:tcW w:w="3118" w:type="dxa"/>
            <w:shd w:val="clear" w:color="auto" w:fill="auto"/>
          </w:tcPr>
          <w:p w14:paraId="47DB06B4" w14:textId="09A39289" w:rsidR="00C21EFF" w:rsidRDefault="00C21EFF" w:rsidP="00C21EFF">
            <w:pPr>
              <w:pStyle w:val="TableTextNoSpace"/>
            </w:pPr>
            <w:r>
              <w:t>River Basin Management</w:t>
            </w:r>
          </w:p>
        </w:tc>
        <w:tc>
          <w:tcPr>
            <w:tcW w:w="4395" w:type="dxa"/>
            <w:shd w:val="clear" w:color="auto" w:fill="auto"/>
          </w:tcPr>
          <w:p w14:paraId="5C216101" w14:textId="49F6CCD6" w:rsidR="00C21EFF" w:rsidRDefault="00C21EFF" w:rsidP="00C21EFF">
            <w:pPr>
              <w:pStyle w:val="TableTextNoSpace"/>
            </w:pPr>
            <w:r>
              <w:t xml:space="preserve">Competitive grants are available for catchment management linked to Wales’ </w:t>
            </w:r>
            <w:r w:rsidR="009E3B55">
              <w:t>three</w:t>
            </w:r>
            <w:r>
              <w:t xml:space="preserve"> River Basin Districts:</w:t>
            </w:r>
          </w:p>
          <w:p w14:paraId="3D9212D4" w14:textId="75BDC9A1" w:rsidR="00C21EFF" w:rsidRDefault="00C21EFF" w:rsidP="00C21EFF">
            <w:pPr>
              <w:pStyle w:val="TableBullet"/>
            </w:pPr>
            <w:r>
              <w:t xml:space="preserve">Dwr Cymru Water Framework Directive Fund </w:t>
            </w:r>
          </w:p>
          <w:p w14:paraId="427E465C" w14:textId="1231AD7D" w:rsidR="00C21EFF" w:rsidRDefault="00C21EFF" w:rsidP="00C21EFF">
            <w:pPr>
              <w:pStyle w:val="TableBullet"/>
            </w:pPr>
            <w:r>
              <w:t xml:space="preserve">United Utilities Catchment Wise Funding </w:t>
            </w:r>
          </w:p>
          <w:p w14:paraId="7C8B5423" w14:textId="55A3D808" w:rsidR="00C21EFF" w:rsidRDefault="00C21EFF" w:rsidP="00C21EFF">
            <w:pPr>
              <w:pStyle w:val="TableBullet"/>
            </w:pPr>
            <w:r>
              <w:t xml:space="preserve">Sciencewise </w:t>
            </w:r>
          </w:p>
          <w:p w14:paraId="27E914A0" w14:textId="557422B0" w:rsidR="00C21EFF" w:rsidRDefault="00C21EFF" w:rsidP="00C21EFF">
            <w:pPr>
              <w:pStyle w:val="TableBullet"/>
            </w:pPr>
            <w:r>
              <w:t xml:space="preserve">Welsh Government WFD Fund </w:t>
            </w:r>
          </w:p>
          <w:p w14:paraId="52BC67D1" w14:textId="20E7A65A" w:rsidR="00C21EFF" w:rsidRDefault="00C21EFF" w:rsidP="00C21EFF">
            <w:pPr>
              <w:pStyle w:val="TableBullet"/>
            </w:pPr>
            <w:r>
              <w:t xml:space="preserve">Catchment Sensitive Farming Capital Grant Scheme </w:t>
            </w:r>
          </w:p>
          <w:p w14:paraId="389D0CC5" w14:textId="3C8B1CDE" w:rsidR="00C21EFF" w:rsidRDefault="00C21EFF" w:rsidP="00082CFB">
            <w:pPr>
              <w:pStyle w:val="TableBullet"/>
            </w:pPr>
            <w:r>
              <w:t>Glastir Efficiency Grants</w:t>
            </w:r>
            <w:r w:rsidR="00B264BE">
              <w:t xml:space="preserve"> </w:t>
            </w:r>
            <w:r>
              <w:t xml:space="preserve">- Priority Water Catchments </w:t>
            </w:r>
          </w:p>
        </w:tc>
      </w:tr>
      <w:tr w:rsidR="00C21EFF" w14:paraId="6082161B" w14:textId="77777777" w:rsidTr="0097200E">
        <w:tc>
          <w:tcPr>
            <w:tcW w:w="707" w:type="dxa"/>
            <w:vMerge/>
            <w:shd w:val="clear" w:color="auto" w:fill="auto"/>
          </w:tcPr>
          <w:p w14:paraId="1B63C65D" w14:textId="383ACAAE" w:rsidR="00C21EFF" w:rsidRDefault="00C21EFF" w:rsidP="00C21EFF">
            <w:pPr>
              <w:pStyle w:val="TableTextNoSpace"/>
              <w:jc w:val="center"/>
            </w:pPr>
          </w:p>
        </w:tc>
        <w:tc>
          <w:tcPr>
            <w:tcW w:w="3118" w:type="dxa"/>
            <w:shd w:val="clear" w:color="auto" w:fill="auto"/>
          </w:tcPr>
          <w:p w14:paraId="5DBD990D" w14:textId="60EF75A9" w:rsidR="00C21EFF" w:rsidRDefault="00C21EFF" w:rsidP="00C21EFF">
            <w:pPr>
              <w:pStyle w:val="TableTextNoSpace"/>
            </w:pPr>
            <w:r>
              <w:t xml:space="preserve">Marine planning  </w:t>
            </w:r>
          </w:p>
        </w:tc>
        <w:tc>
          <w:tcPr>
            <w:tcW w:w="4395" w:type="dxa"/>
            <w:shd w:val="clear" w:color="auto" w:fill="auto"/>
          </w:tcPr>
          <w:p w14:paraId="4298EF88" w14:textId="0029FE11" w:rsidR="00C21EFF" w:rsidRDefault="00C21EFF" w:rsidP="00C21EFF">
            <w:pPr>
              <w:pStyle w:val="TableBullet"/>
            </w:pPr>
            <w:r>
              <w:t xml:space="preserve">Sustainable Fisheries Fund </w:t>
            </w:r>
          </w:p>
          <w:p w14:paraId="3EC422C5" w14:textId="77777777" w:rsidR="00C21EFF" w:rsidRDefault="00C21EFF" w:rsidP="00C21EFF">
            <w:pPr>
              <w:pStyle w:val="TableBullet"/>
            </w:pPr>
            <w:r>
              <w:t xml:space="preserve">Sea Change Investment Fund </w:t>
            </w:r>
          </w:p>
          <w:p w14:paraId="4DA57B90" w14:textId="6DB861D9" w:rsidR="008649B6" w:rsidRDefault="008649B6" w:rsidP="00082CFB">
            <w:pPr>
              <w:pStyle w:val="TableBullet"/>
              <w:jc w:val="left"/>
            </w:pPr>
            <w:r>
              <w:t>Crown Estate/NRW joint management agreement and compensation for marine aggregate extraction</w:t>
            </w:r>
            <w:r w:rsidR="001807E1">
              <w:t xml:space="preserve">. The Crown Estate also provides a Marine Research Fund linked to marine aggregate extraction and conservation issues. </w:t>
            </w:r>
          </w:p>
        </w:tc>
      </w:tr>
      <w:tr w:rsidR="00C21EFF" w14:paraId="359C97B9" w14:textId="77777777" w:rsidTr="0097200E">
        <w:tc>
          <w:tcPr>
            <w:tcW w:w="707" w:type="dxa"/>
            <w:vMerge/>
            <w:shd w:val="clear" w:color="auto" w:fill="auto"/>
          </w:tcPr>
          <w:p w14:paraId="7996FEFE" w14:textId="77777777" w:rsidR="00C21EFF" w:rsidRDefault="00C21EFF" w:rsidP="00C21EFF">
            <w:pPr>
              <w:pStyle w:val="TableTextNoSpace"/>
              <w:jc w:val="center"/>
            </w:pPr>
          </w:p>
        </w:tc>
        <w:tc>
          <w:tcPr>
            <w:tcW w:w="3118" w:type="dxa"/>
            <w:shd w:val="clear" w:color="auto" w:fill="auto"/>
          </w:tcPr>
          <w:p w14:paraId="30C159C6" w14:textId="25ABA08D" w:rsidR="00C21EFF" w:rsidRDefault="00C21EFF" w:rsidP="00C21EFF">
            <w:pPr>
              <w:pStyle w:val="TableTextNoSpace"/>
            </w:pPr>
            <w:r>
              <w:t xml:space="preserve">Woodland management </w:t>
            </w:r>
          </w:p>
        </w:tc>
        <w:tc>
          <w:tcPr>
            <w:tcW w:w="4395" w:type="dxa"/>
            <w:shd w:val="clear" w:color="auto" w:fill="auto"/>
          </w:tcPr>
          <w:p w14:paraId="0DFC7700" w14:textId="0F4A7000" w:rsidR="00C21EFF" w:rsidRDefault="00C21EFF" w:rsidP="00C21EFF">
            <w:pPr>
              <w:pStyle w:val="TableBullet"/>
            </w:pPr>
            <w:r>
              <w:t>Glastir Woodland Creation/Management Schemes</w:t>
            </w:r>
          </w:p>
          <w:p w14:paraId="61C272AD" w14:textId="77777777" w:rsidR="00C21EFF" w:rsidRDefault="00C21EFF" w:rsidP="00C21EFF">
            <w:pPr>
              <w:pStyle w:val="TableBullet"/>
            </w:pPr>
            <w:r>
              <w:t xml:space="preserve">Woodland Trust Local Partnerships </w:t>
            </w:r>
          </w:p>
          <w:p w14:paraId="049DD261" w14:textId="67B4FF1B" w:rsidR="00C21EFF" w:rsidRDefault="00C21EFF" w:rsidP="00C21EFF">
            <w:pPr>
              <w:pStyle w:val="TableBullet"/>
            </w:pPr>
            <w:r>
              <w:t xml:space="preserve">Woodland Trust MOREWoods </w:t>
            </w:r>
          </w:p>
        </w:tc>
      </w:tr>
      <w:tr w:rsidR="00C21EFF" w14:paraId="1A50E3DD" w14:textId="77777777" w:rsidTr="0097200E">
        <w:tc>
          <w:tcPr>
            <w:tcW w:w="707" w:type="dxa"/>
            <w:vMerge/>
            <w:shd w:val="clear" w:color="auto" w:fill="auto"/>
          </w:tcPr>
          <w:p w14:paraId="53756ECB" w14:textId="7BB64ECE" w:rsidR="00C21EFF" w:rsidRDefault="00C21EFF" w:rsidP="00C21EFF">
            <w:pPr>
              <w:pStyle w:val="TableTextNoSpace"/>
              <w:jc w:val="center"/>
            </w:pPr>
          </w:p>
        </w:tc>
        <w:tc>
          <w:tcPr>
            <w:tcW w:w="3118" w:type="dxa"/>
            <w:shd w:val="clear" w:color="auto" w:fill="auto"/>
          </w:tcPr>
          <w:p w14:paraId="5B2852BD" w14:textId="3D3DCA60" w:rsidR="00C21EFF" w:rsidRDefault="00C21EFF" w:rsidP="00C21EFF">
            <w:pPr>
              <w:pStyle w:val="TableTextNoSpace"/>
            </w:pPr>
            <w:r>
              <w:t xml:space="preserve">Flood and coastal erosion risk management </w:t>
            </w:r>
          </w:p>
        </w:tc>
        <w:tc>
          <w:tcPr>
            <w:tcW w:w="4395" w:type="dxa"/>
            <w:shd w:val="clear" w:color="auto" w:fill="auto"/>
          </w:tcPr>
          <w:p w14:paraId="00BDBF7E" w14:textId="62BF9EC7" w:rsidR="00C21EFF" w:rsidRDefault="002F10BB" w:rsidP="00467097">
            <w:pPr>
              <w:pStyle w:val="TableBullet"/>
            </w:pPr>
            <w:r w:rsidRPr="002F10BB">
              <w:t>Welsh Governme</w:t>
            </w:r>
            <w:r>
              <w:t>nt Flood Risk Management Grants</w:t>
            </w:r>
            <w:r w:rsidR="00467097">
              <w:t xml:space="preserve"> and associated partnerships (</w:t>
            </w:r>
            <w:r w:rsidR="00467097" w:rsidRPr="00467097">
              <w:t>Flood and Coastal Defence Partnership /Habitat Creation Programme (Welsh Government, Local Authorities, Network Rail, M</w:t>
            </w:r>
            <w:r w:rsidR="00467097">
              <w:t>inistry of Defence, Dwr Cymru)</w:t>
            </w:r>
          </w:p>
          <w:p w14:paraId="6C3B15A7" w14:textId="12FFA03E" w:rsidR="00467097" w:rsidRDefault="00467097" w:rsidP="00467097">
            <w:pPr>
              <w:pStyle w:val="TableBullet"/>
            </w:pPr>
            <w:r>
              <w:t xml:space="preserve">Some prospect of additional funding from Welsh Government Innovative Finance Programme from 2018 – this may include habitat creation grants </w:t>
            </w:r>
          </w:p>
          <w:p w14:paraId="34FAF334" w14:textId="6929F73C" w:rsidR="00FB2C4F" w:rsidRDefault="00FB2C4F" w:rsidP="002F10BB">
            <w:pPr>
              <w:pStyle w:val="TableBullet"/>
              <w:numPr>
                <w:ilvl w:val="0"/>
                <w:numId w:val="0"/>
              </w:numPr>
              <w:ind w:left="57"/>
            </w:pPr>
          </w:p>
        </w:tc>
      </w:tr>
    </w:tbl>
    <w:p w14:paraId="69FA43D7" w14:textId="09A26677" w:rsidR="00203FC7" w:rsidRDefault="00203FC7" w:rsidP="00082CFB">
      <w:pPr>
        <w:pStyle w:val="Table"/>
      </w:pPr>
      <w:r>
        <w:t xml:space="preserve">Innovative and emerging funding sources </w:t>
      </w:r>
    </w:p>
    <w:tbl>
      <w:tblPr>
        <w:tblW w:w="8220" w:type="dxa"/>
        <w:tblInd w:w="850" w:type="dxa"/>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Layout w:type="fixed"/>
        <w:tblCellMar>
          <w:top w:w="57" w:type="dxa"/>
          <w:left w:w="0" w:type="dxa"/>
          <w:bottom w:w="28" w:type="dxa"/>
          <w:right w:w="0" w:type="dxa"/>
        </w:tblCellMar>
        <w:tblLook w:val="0000" w:firstRow="0" w:lastRow="0" w:firstColumn="0" w:lastColumn="0" w:noHBand="0" w:noVBand="0"/>
      </w:tblPr>
      <w:tblGrid>
        <w:gridCol w:w="3400"/>
        <w:gridCol w:w="11"/>
        <w:gridCol w:w="4809"/>
      </w:tblGrid>
      <w:tr w:rsidR="00082CFB" w14:paraId="27506AD7" w14:textId="77777777" w:rsidTr="00082CFB">
        <w:tc>
          <w:tcPr>
            <w:tcW w:w="3411" w:type="dxa"/>
            <w:gridSpan w:val="2"/>
            <w:shd w:val="clear" w:color="auto" w:fill="auto"/>
          </w:tcPr>
          <w:p w14:paraId="4B5E76EF" w14:textId="77777777" w:rsidR="00082CFB" w:rsidRDefault="00082CFB" w:rsidP="00C776EA">
            <w:pPr>
              <w:pStyle w:val="TableTextNoSpace"/>
            </w:pPr>
            <w:r>
              <w:t>Environmental bonds</w:t>
            </w:r>
          </w:p>
        </w:tc>
        <w:tc>
          <w:tcPr>
            <w:tcW w:w="4809" w:type="dxa"/>
            <w:shd w:val="clear" w:color="auto" w:fill="auto"/>
          </w:tcPr>
          <w:p w14:paraId="02057B1B" w14:textId="77777777" w:rsidR="00082CFB" w:rsidRDefault="00082CFB" w:rsidP="00C776EA">
            <w:pPr>
              <w:pStyle w:val="TableBullet"/>
              <w:numPr>
                <w:ilvl w:val="0"/>
                <w:numId w:val="0"/>
              </w:numPr>
              <w:ind w:left="57"/>
            </w:pPr>
            <w:r>
              <w:rPr>
                <w:rFonts w:cs="Arial"/>
                <w:szCs w:val="20"/>
              </w:rPr>
              <w:t>E</w:t>
            </w:r>
            <w:r w:rsidRPr="003678AA">
              <w:rPr>
                <w:rFonts w:cs="Arial"/>
                <w:szCs w:val="20"/>
              </w:rPr>
              <w:t xml:space="preserve">nvironmental bonds </w:t>
            </w:r>
            <w:r>
              <w:rPr>
                <w:rFonts w:cs="Arial"/>
                <w:szCs w:val="20"/>
              </w:rPr>
              <w:t xml:space="preserve">can be used to fund </w:t>
            </w:r>
            <w:r w:rsidRPr="003678AA">
              <w:rPr>
                <w:rFonts w:cs="Arial"/>
                <w:szCs w:val="20"/>
              </w:rPr>
              <w:t>protection and improvement of the natural environment</w:t>
            </w:r>
            <w:r>
              <w:rPr>
                <w:rFonts w:cs="Arial"/>
                <w:szCs w:val="20"/>
              </w:rPr>
              <w:t xml:space="preserve">. A major biomass energy project in North Wales (Eco Park) has been funded using bond issues, for example, and similar opportunities are available within the woodlands sector – for example, in Snowdonia. </w:t>
            </w:r>
          </w:p>
        </w:tc>
      </w:tr>
      <w:tr w:rsidR="00082CFB" w14:paraId="2ECF79FF" w14:textId="77777777" w:rsidTr="00082CFB">
        <w:tc>
          <w:tcPr>
            <w:tcW w:w="3411" w:type="dxa"/>
            <w:gridSpan w:val="2"/>
            <w:shd w:val="clear" w:color="auto" w:fill="auto"/>
          </w:tcPr>
          <w:p w14:paraId="531F7E24" w14:textId="77777777" w:rsidR="00082CFB" w:rsidRPr="004C5446" w:rsidRDefault="00082CFB" w:rsidP="00C776EA">
            <w:pPr>
              <w:pStyle w:val="TableTextNoSpace"/>
              <w:rPr>
                <w:rFonts w:cs="Arial"/>
                <w:szCs w:val="20"/>
              </w:rPr>
            </w:pPr>
            <w:r w:rsidRPr="004C5446">
              <w:rPr>
                <w:rFonts w:cs="Arial"/>
                <w:szCs w:val="20"/>
              </w:rPr>
              <w:t>Loan finance</w:t>
            </w:r>
          </w:p>
        </w:tc>
        <w:tc>
          <w:tcPr>
            <w:tcW w:w="4809" w:type="dxa"/>
            <w:shd w:val="clear" w:color="auto" w:fill="auto"/>
          </w:tcPr>
          <w:p w14:paraId="7A371938" w14:textId="77777777" w:rsidR="00082CFB" w:rsidRDefault="00082CFB" w:rsidP="00C776EA">
            <w:pPr>
              <w:pStyle w:val="TableBullet"/>
              <w:numPr>
                <w:ilvl w:val="0"/>
                <w:numId w:val="0"/>
              </w:numPr>
              <w:ind w:left="57"/>
            </w:pPr>
            <w:r>
              <w:t xml:space="preserve">Finance provided on commercial terms, often through dedicated funds which offer loans at preferential rates for particular activities. Finance Wales has in recent years provided loans to SMEs engaged in environmental activities, for example, and the Welsh Council for Voluntary Action has a micro-business loan fund. </w:t>
            </w:r>
          </w:p>
        </w:tc>
      </w:tr>
      <w:tr w:rsidR="00082CFB" w14:paraId="17A44672" w14:textId="77777777" w:rsidTr="00082CFB">
        <w:tc>
          <w:tcPr>
            <w:tcW w:w="3411" w:type="dxa"/>
            <w:gridSpan w:val="2"/>
            <w:shd w:val="clear" w:color="auto" w:fill="auto"/>
          </w:tcPr>
          <w:p w14:paraId="688800D4" w14:textId="77777777" w:rsidR="00082CFB" w:rsidRPr="004C5446" w:rsidRDefault="00082CFB" w:rsidP="00C776EA">
            <w:pPr>
              <w:pStyle w:val="TableTextNoSpace"/>
              <w:rPr>
                <w:rFonts w:cs="Arial"/>
                <w:szCs w:val="20"/>
              </w:rPr>
            </w:pPr>
            <w:r w:rsidRPr="004C5446">
              <w:rPr>
                <w:rFonts w:cs="Arial"/>
                <w:szCs w:val="20"/>
              </w:rPr>
              <w:t>Marketed products</w:t>
            </w:r>
          </w:p>
        </w:tc>
        <w:tc>
          <w:tcPr>
            <w:tcW w:w="4809" w:type="dxa"/>
            <w:shd w:val="clear" w:color="auto" w:fill="auto"/>
          </w:tcPr>
          <w:p w14:paraId="4494B303" w14:textId="77777777" w:rsidR="00082CFB" w:rsidRDefault="00082CFB" w:rsidP="00C776EA">
            <w:pPr>
              <w:pStyle w:val="TableBullet"/>
              <w:numPr>
                <w:ilvl w:val="0"/>
                <w:numId w:val="0"/>
              </w:numPr>
              <w:ind w:left="57"/>
            </w:pPr>
            <w:r>
              <w:t xml:space="preserve">Products produced on Natura 2000 sites. Most typically these may focus on premium-priced products (via certification and labelling) or finding markets for by-products generated on site. Many fisheries have attained Marine Stewardship Council (MSC) certification, and this produce is gaining an increasing share of sales with many retailers. </w:t>
            </w:r>
          </w:p>
        </w:tc>
      </w:tr>
      <w:tr w:rsidR="00082CFB" w14:paraId="31766AC0" w14:textId="77777777" w:rsidTr="00082CFB">
        <w:tc>
          <w:tcPr>
            <w:tcW w:w="3411" w:type="dxa"/>
            <w:gridSpan w:val="2"/>
            <w:shd w:val="clear" w:color="auto" w:fill="auto"/>
          </w:tcPr>
          <w:p w14:paraId="142F3A6A" w14:textId="77777777" w:rsidR="00082CFB" w:rsidRDefault="00082CFB" w:rsidP="00C776EA">
            <w:pPr>
              <w:pStyle w:val="TableTextNoSpace"/>
            </w:pPr>
            <w:r>
              <w:t xml:space="preserve">Visitor payback schemes </w:t>
            </w:r>
          </w:p>
        </w:tc>
        <w:tc>
          <w:tcPr>
            <w:tcW w:w="4809" w:type="dxa"/>
            <w:shd w:val="clear" w:color="auto" w:fill="auto"/>
          </w:tcPr>
          <w:p w14:paraId="72E0B46B" w14:textId="77777777" w:rsidR="00082CFB" w:rsidRDefault="00082CFB" w:rsidP="00C776EA">
            <w:pPr>
              <w:pStyle w:val="TableBullet"/>
              <w:numPr>
                <w:ilvl w:val="0"/>
                <w:numId w:val="0"/>
              </w:numPr>
              <w:ind w:left="57"/>
            </w:pPr>
            <w:r>
              <w:t xml:space="preserve">Visitor payback schemes offer a potential means to cover routine Natura 2000 costs that are currently met by operating budgets (e.g. access and facilities). The National Trust operates one scheme in the Brecon Beacon National Park, as does the Tourism Partnership North Wales, which requests that visitors to the area contribute a small amount to the cost of local environmental projects.  </w:t>
            </w:r>
          </w:p>
        </w:tc>
      </w:tr>
      <w:tr w:rsidR="00082CFB" w14:paraId="784E819F" w14:textId="77777777" w:rsidTr="00082CFB">
        <w:tc>
          <w:tcPr>
            <w:tcW w:w="3400" w:type="dxa"/>
            <w:shd w:val="clear" w:color="auto" w:fill="auto"/>
          </w:tcPr>
          <w:p w14:paraId="0BC5A111" w14:textId="77777777" w:rsidR="00082CFB" w:rsidRDefault="00082CFB" w:rsidP="00082CFB">
            <w:pPr>
              <w:pStyle w:val="TableTextNoSpace"/>
              <w:jc w:val="left"/>
            </w:pPr>
            <w:r>
              <w:t xml:space="preserve">Ecological compensation </w:t>
            </w:r>
          </w:p>
        </w:tc>
        <w:tc>
          <w:tcPr>
            <w:tcW w:w="4820" w:type="dxa"/>
            <w:gridSpan w:val="2"/>
            <w:shd w:val="clear" w:color="auto" w:fill="auto"/>
          </w:tcPr>
          <w:p w14:paraId="37C0BE3A" w14:textId="77777777" w:rsidR="00082CFB" w:rsidRDefault="00082CFB" w:rsidP="00787C16">
            <w:pPr>
              <w:pStyle w:val="TableBullet"/>
              <w:numPr>
                <w:ilvl w:val="0"/>
                <w:numId w:val="0"/>
              </w:numPr>
              <w:ind w:left="57"/>
            </w:pPr>
            <w:r>
              <w:t xml:space="preserve">Offsetting environmental impacts from development offers potential for targeted private sector funding directed towards conservation management. A range of pilot projects are being conducted to explore the potential of these funds (including projects with a specific SAC focus) but these funding sources remain relatively unproven with regard to conservation management at present. </w:t>
            </w:r>
          </w:p>
        </w:tc>
      </w:tr>
      <w:tr w:rsidR="00082CFB" w14:paraId="09C4E886" w14:textId="77777777" w:rsidTr="00082CFB">
        <w:tc>
          <w:tcPr>
            <w:tcW w:w="3400" w:type="dxa"/>
            <w:shd w:val="clear" w:color="auto" w:fill="auto"/>
          </w:tcPr>
          <w:p w14:paraId="2791F91A" w14:textId="77777777" w:rsidR="00082CFB" w:rsidRDefault="00082CFB" w:rsidP="00787C16">
            <w:pPr>
              <w:pStyle w:val="TableTextNoSpace"/>
            </w:pPr>
            <w:r>
              <w:t xml:space="preserve">Nutrient offsetting </w:t>
            </w:r>
          </w:p>
        </w:tc>
        <w:tc>
          <w:tcPr>
            <w:tcW w:w="4820" w:type="dxa"/>
            <w:gridSpan w:val="2"/>
            <w:shd w:val="clear" w:color="auto" w:fill="auto"/>
          </w:tcPr>
          <w:p w14:paraId="260E32F0" w14:textId="77777777" w:rsidR="00082CFB" w:rsidRDefault="00082CFB" w:rsidP="00787C16">
            <w:pPr>
              <w:pStyle w:val="TableBullet"/>
              <w:numPr>
                <w:ilvl w:val="0"/>
                <w:numId w:val="0"/>
              </w:numPr>
              <w:ind w:left="57"/>
            </w:pPr>
            <w:r>
              <w:t xml:space="preserve">A handful of small-scale initiatives are incentivising ecological restoration and ongoing management as a means to address water quality management issues. One pilot is being conducted in Pembrokeshire to assess the wider potential of such initiatives. </w:t>
            </w:r>
          </w:p>
        </w:tc>
      </w:tr>
      <w:tr w:rsidR="00082CFB" w14:paraId="0255445A" w14:textId="77777777" w:rsidTr="00082CFB">
        <w:tc>
          <w:tcPr>
            <w:tcW w:w="3400" w:type="dxa"/>
            <w:shd w:val="clear" w:color="auto" w:fill="auto"/>
          </w:tcPr>
          <w:p w14:paraId="761AA560" w14:textId="77777777" w:rsidR="00082CFB" w:rsidRDefault="00082CFB" w:rsidP="00787C16">
            <w:pPr>
              <w:pStyle w:val="TableTextNoSpace"/>
            </w:pPr>
            <w:r>
              <w:t>Payments for ecosystem services</w:t>
            </w:r>
          </w:p>
        </w:tc>
        <w:tc>
          <w:tcPr>
            <w:tcW w:w="4820" w:type="dxa"/>
            <w:gridSpan w:val="2"/>
            <w:shd w:val="clear" w:color="auto" w:fill="auto"/>
          </w:tcPr>
          <w:p w14:paraId="774738A7" w14:textId="5A4B7B8A" w:rsidR="00082CFB" w:rsidRDefault="00082CFB" w:rsidP="00787C16">
            <w:pPr>
              <w:pStyle w:val="TableBullet"/>
              <w:numPr>
                <w:ilvl w:val="0"/>
                <w:numId w:val="0"/>
              </w:numPr>
              <w:ind w:left="57"/>
            </w:pPr>
            <w:r w:rsidRPr="00691C0D">
              <w:rPr>
                <w:szCs w:val="20"/>
              </w:rPr>
              <w:t>A PES scheme can be used to encourage the protection and enhancement of ecosystem services through a voluntary transaction between the provider of the service and a beneficiary</w:t>
            </w:r>
            <w:r>
              <w:rPr>
                <w:szCs w:val="20"/>
              </w:rPr>
              <w:t>.</w:t>
            </w:r>
          </w:p>
        </w:tc>
      </w:tr>
    </w:tbl>
    <w:p w14:paraId="4566554F" w14:textId="0AF812EA" w:rsidR="00746522" w:rsidRDefault="00746522" w:rsidP="00340E3A">
      <w:pPr>
        <w:pStyle w:val="BodyText"/>
      </w:pPr>
    </w:p>
    <w:p w14:paraId="037E34DC" w14:textId="2DF1C397" w:rsidR="007A75BE" w:rsidRDefault="007A75BE" w:rsidP="007A75BE">
      <w:pPr>
        <w:pStyle w:val="Heading2"/>
      </w:pPr>
      <w:bookmarkStart w:id="204" w:name="_Toc407617998"/>
      <w:bookmarkStart w:id="205" w:name="_Toc408093995"/>
      <w:bookmarkStart w:id="206" w:name="_Toc408850990"/>
      <w:bookmarkStart w:id="207" w:name="_Toc405964054"/>
      <w:bookmarkStart w:id="208" w:name="_Toc421880666"/>
      <w:r>
        <w:t>F</w:t>
      </w:r>
      <w:r w:rsidR="0093108A">
        <w:t>unding sources for</w:t>
      </w:r>
      <w:r>
        <w:t xml:space="preserve"> management actions</w:t>
      </w:r>
      <w:bookmarkEnd w:id="204"/>
      <w:bookmarkEnd w:id="205"/>
      <w:bookmarkEnd w:id="206"/>
      <w:bookmarkEnd w:id="208"/>
    </w:p>
    <w:p w14:paraId="3A033AE6" w14:textId="77694482" w:rsidR="002725DD" w:rsidRDefault="007A75BE" w:rsidP="00135F62">
      <w:pPr>
        <w:pStyle w:val="BodyText"/>
      </w:pPr>
      <w:r>
        <w:t xml:space="preserve">Different funding sources are suited to different management actions. </w:t>
      </w:r>
      <w:r w:rsidR="002725DD">
        <w:t xml:space="preserve">As discussed in Section 2, understanding which funding sources are potentially useful </w:t>
      </w:r>
      <w:r w:rsidR="00FC1E29">
        <w:t>for which</w:t>
      </w:r>
      <w:r w:rsidR="002725DD">
        <w:t xml:space="preserve"> management actions is a critical step in addressing the Natura 2000 funding need.</w:t>
      </w:r>
    </w:p>
    <w:p w14:paraId="71707D27" w14:textId="20D61F84" w:rsidR="007A75BE" w:rsidRDefault="002725DD" w:rsidP="00135F62">
      <w:pPr>
        <w:pStyle w:val="BodyText"/>
      </w:pPr>
      <w:r>
        <w:t xml:space="preserve">This section therefore presents </w:t>
      </w:r>
      <w:r w:rsidR="00CA563B">
        <w:t>a review</w:t>
      </w:r>
      <w:r>
        <w:t xml:space="preserve"> of funding sources against the </w:t>
      </w:r>
      <w:r w:rsidR="00FC1E29">
        <w:t>management</w:t>
      </w:r>
      <w:r>
        <w:t xml:space="preserve"> action types</w:t>
      </w:r>
      <w:r w:rsidR="00FC1E29">
        <w:t xml:space="preserve"> (utilising the long list of management actions detailed in Section 2)</w:t>
      </w:r>
      <w:r w:rsidR="008D15DC">
        <w:t>, drawing on detailed review of available programme documents, strategies and other available information</w:t>
      </w:r>
      <w:r w:rsidR="00FC1E29">
        <w:t>.</w:t>
      </w:r>
      <w:r w:rsidR="007A75BE">
        <w:t xml:space="preserve"> A coherent, aggregate view of the management actions that require funding will be set out in the finalised PAF and this table can therefore act as a starting point for identifying potentially relevant funding sources.</w:t>
      </w:r>
    </w:p>
    <w:p w14:paraId="02A76085" w14:textId="6E910B59" w:rsidR="00B26E50" w:rsidRDefault="00082CFB" w:rsidP="00135F62">
      <w:pPr>
        <w:pStyle w:val="BodyText"/>
      </w:pPr>
      <w:r>
        <w:fldChar w:fldCharType="begin"/>
      </w:r>
      <w:r>
        <w:instrText xml:space="preserve"> REF _Ref412639882 \r \h </w:instrText>
      </w:r>
      <w:r>
        <w:fldChar w:fldCharType="separate"/>
      </w:r>
      <w:r w:rsidR="00B31483">
        <w:t>Table 3.3</w:t>
      </w:r>
      <w:r>
        <w:fldChar w:fldCharType="end"/>
      </w:r>
      <w:r>
        <w:t xml:space="preserve"> </w:t>
      </w:r>
      <w:r w:rsidR="00B26E50">
        <w:t xml:space="preserve">provides an overview of the potential for funding sources to fund management actions. It demonstrates that there are multiple potential funding sources </w:t>
      </w:r>
      <w:r w:rsidR="005E48D0">
        <w:t>available</w:t>
      </w:r>
      <w:r w:rsidR="00B26E50">
        <w:t xml:space="preserve"> for each management action. However in reality the applicability of each funding source will depend on the characteristics of the individual management action being undertaken i.e. where it is</w:t>
      </w:r>
      <w:r w:rsidR="005E48D0">
        <w:t>, what issue it</w:t>
      </w:r>
      <w:r w:rsidR="00153642">
        <w:t xml:space="preserve"> i</w:t>
      </w:r>
      <w:r w:rsidR="005E48D0">
        <w:t xml:space="preserve">s addressing, who </w:t>
      </w:r>
      <w:r w:rsidR="00153642">
        <w:t>it affects</w:t>
      </w:r>
      <w:r w:rsidR="005E48D0">
        <w:t xml:space="preserve"> and what its broader non-conservation objectives or impacts are.</w:t>
      </w:r>
      <w:r w:rsidR="00B101FF">
        <w:t xml:space="preserve"> For any given issue the range of potential funding options will therefore be expected to be less than indicated in </w:t>
      </w:r>
      <w:r>
        <w:fldChar w:fldCharType="begin"/>
      </w:r>
      <w:r>
        <w:instrText xml:space="preserve"> REF _Ref412639908 \r \h </w:instrText>
      </w:r>
      <w:r>
        <w:fldChar w:fldCharType="separate"/>
      </w:r>
      <w:r w:rsidR="00B31483">
        <w:t>Table 3.3</w:t>
      </w:r>
      <w:r>
        <w:fldChar w:fldCharType="end"/>
      </w:r>
      <w:r>
        <w:t>.</w:t>
      </w:r>
    </w:p>
    <w:p w14:paraId="1FC87961" w14:textId="6519DD8F" w:rsidR="007A75BE" w:rsidRDefault="000E7F9D" w:rsidP="007A75BE">
      <w:pPr>
        <w:pStyle w:val="BodyText"/>
      </w:pPr>
      <w:r>
        <w:t xml:space="preserve">Whilst NRW funding </w:t>
      </w:r>
      <w:r w:rsidR="00DC1D2B">
        <w:t xml:space="preserve">has </w:t>
      </w:r>
      <w:r w:rsidR="00DC3231">
        <w:t>a wide</w:t>
      </w:r>
      <w:r>
        <w:t xml:space="preserve"> range of applications, the limited (and decreasing) nature of this funding means that it is likely being used to its full potential. In this context, the need to diversify funding sources becomes clear.</w:t>
      </w:r>
      <w:r w:rsidR="00082CFB">
        <w:t xml:space="preserve"> </w:t>
      </w:r>
      <w:r w:rsidR="00402C19">
        <w:t>Other sources with potential</w:t>
      </w:r>
      <w:r w:rsidR="00B101FF">
        <w:t>ly</w:t>
      </w:r>
      <w:r w:rsidR="00402C19">
        <w:t xml:space="preserve"> wide-ranging application include business sponsorship and charitable trusts.</w:t>
      </w:r>
    </w:p>
    <w:p w14:paraId="4BB55521" w14:textId="70FC2400" w:rsidR="00402C19" w:rsidRDefault="00402C19" w:rsidP="002C2E21">
      <w:pPr>
        <w:pStyle w:val="BodyText"/>
      </w:pPr>
      <w:r>
        <w:t>Some funding sources demonstrate potential wide applicability</w:t>
      </w:r>
      <w:r w:rsidR="00C21EFF">
        <w:t xml:space="preserve"> in terms of actions</w:t>
      </w:r>
      <w:r>
        <w:t>, such as</w:t>
      </w:r>
      <w:r w:rsidR="00810CA5">
        <w:t xml:space="preserve"> the</w:t>
      </w:r>
      <w:r>
        <w:t xml:space="preserve"> </w:t>
      </w:r>
      <w:r w:rsidR="006E505F">
        <w:t>Heritage Lottery Fund</w:t>
      </w:r>
      <w:r>
        <w:t xml:space="preserve">. </w:t>
      </w:r>
      <w:r w:rsidR="00153642">
        <w:t>For HLF, a range of conservation activities relating to habitats, surveying and monitoring, management planning, staffing, skills and land purchase can be funded, in line with the broad focus of the funding source. However, projects are time-limited and access to the funding is constrained by limits on and competition for the available finance</w:t>
      </w:r>
      <w:r w:rsidR="000E7F9D">
        <w:t>, the up-front resources required to prepare a bid, and the ongoing administrative resour</w:t>
      </w:r>
      <w:r w:rsidR="002C2E21">
        <w:t xml:space="preserve">ces required to service a grant. </w:t>
      </w:r>
    </w:p>
    <w:p w14:paraId="42252FC1" w14:textId="4B4BF72B" w:rsidR="008C70EA" w:rsidRDefault="008C70EA" w:rsidP="008C70EA">
      <w:pPr>
        <w:pStyle w:val="BodyText"/>
      </w:pPr>
      <w:r>
        <w:t xml:space="preserve">EU funds provide for a broad scope of potential management actions. However the individual articles that support actions </w:t>
      </w:r>
      <w:r w:rsidRPr="008C70EA">
        <w:t xml:space="preserve">need to be aligned with the purpose of the </w:t>
      </w:r>
      <w:r>
        <w:t>management</w:t>
      </w:r>
      <w:r w:rsidRPr="008C70EA">
        <w:t xml:space="preserve"> actions. For example, the EA</w:t>
      </w:r>
      <w:r w:rsidR="00B101FF">
        <w:t>FR</w:t>
      </w:r>
      <w:r w:rsidRPr="008C70EA">
        <w:t>D potentially supports funding of staff time. However this relates to one article (number 35) on ‘co-operation’, such as joint approaches to environmental projects, where staff costs would need to be linked specifically with related actions e.g. organising / facilitating cooperation between relevant stakeholders (agriculture, food chain, forestry, rural development</w:t>
      </w:r>
      <w:r>
        <w:t>. Notably a number of EU fund articles</w:t>
      </w:r>
      <w:r w:rsidR="00120495">
        <w:t xml:space="preserve"> – principally in the EAFRD, EMFF and LIFE in particular – </w:t>
      </w:r>
      <w:r>
        <w:t>include specific references which support Natura 2000</w:t>
      </w:r>
      <w:r w:rsidR="00F71C90">
        <w:t xml:space="preserve"> or biodiversity conservation objectives</w:t>
      </w:r>
      <w:r w:rsidR="00500144">
        <w:t xml:space="preserve">, but </w:t>
      </w:r>
      <w:r w:rsidR="00120495">
        <w:t>will</w:t>
      </w:r>
      <w:r w:rsidR="00500144">
        <w:t xml:space="preserve"> have many other competing priorities.</w:t>
      </w:r>
      <w:r w:rsidR="00944056">
        <w:t xml:space="preserve"> </w:t>
      </w:r>
      <w:r w:rsidR="002C2E21">
        <w:t xml:space="preserve">As with lottery funding, the primary barriers to development of bids in Wales are the resources necessary for application processes, the ongoing administration and management required to service successful bids, and the level of competition for funds. </w:t>
      </w:r>
    </w:p>
    <w:p w14:paraId="343067F9" w14:textId="0CCB5D74" w:rsidR="008C70EA" w:rsidRDefault="00153642" w:rsidP="008C70EA">
      <w:pPr>
        <w:pStyle w:val="BodyText"/>
      </w:pPr>
      <w:r>
        <w:t>Of the alternative funding approaches, many are most suited to financing ongoing management costs for direct conservation actions and for investment costs i.e. infrastructure</w:t>
      </w:r>
      <w:r w:rsidR="008C70EA">
        <w:t>.</w:t>
      </w:r>
    </w:p>
    <w:p w14:paraId="68194EAE" w14:textId="6B0E0B17" w:rsidR="003D1305" w:rsidRDefault="003D1305" w:rsidP="00135F62">
      <w:pPr>
        <w:pStyle w:val="BodyText"/>
        <w:shd w:val="clear" w:color="auto" w:fill="FFFF00"/>
        <w:sectPr w:rsidR="003D1305" w:rsidSect="00340E3A">
          <w:headerReference w:type="even" r:id="rId40"/>
          <w:headerReference w:type="default" r:id="rId41"/>
          <w:footerReference w:type="even" r:id="rId42"/>
          <w:footerReference w:type="default" r:id="rId43"/>
          <w:pgSz w:w="11907" w:h="16840" w:code="9"/>
          <w:pgMar w:top="1871" w:right="1418" w:bottom="1021" w:left="1418" w:header="680" w:footer="454" w:gutter="0"/>
          <w:cols w:space="708"/>
          <w:docGrid w:linePitch="360"/>
        </w:sectPr>
      </w:pPr>
    </w:p>
    <w:p w14:paraId="43EA3288" w14:textId="77777777" w:rsidR="005E48D0" w:rsidRDefault="00453109" w:rsidP="007A75BE">
      <w:pPr>
        <w:pStyle w:val="TableLeft"/>
      </w:pPr>
      <w:bookmarkStart w:id="209" w:name="_Toc407942720"/>
      <w:bookmarkStart w:id="210" w:name="_Toc408094126"/>
      <w:bookmarkStart w:id="211" w:name="_Toc408851109"/>
      <w:bookmarkStart w:id="212" w:name="_Ref412639882"/>
      <w:bookmarkStart w:id="213" w:name="_Ref412639908"/>
      <w:bookmarkStart w:id="214" w:name="_Ref421880535"/>
      <w:r>
        <w:t>Potential</w:t>
      </w:r>
      <w:r w:rsidR="007A75BE">
        <w:t xml:space="preserve"> </w:t>
      </w:r>
      <w:r w:rsidR="00A8602C">
        <w:t>funding sources</w:t>
      </w:r>
      <w:bookmarkEnd w:id="209"/>
      <w:bookmarkEnd w:id="210"/>
      <w:r>
        <w:t xml:space="preserve"> for management actions</w:t>
      </w:r>
      <w:bookmarkEnd w:id="211"/>
      <w:bookmarkEnd w:id="212"/>
      <w:bookmarkEnd w:id="213"/>
      <w:bookmarkEnd w:id="214"/>
    </w:p>
    <w:p w14:paraId="1250BCC6" w14:textId="0F0ECBAF" w:rsidR="005E48D0" w:rsidRDefault="005E48D0" w:rsidP="005E48D0">
      <w:pPr>
        <w:pStyle w:val="BodyText"/>
        <w:spacing w:before="0" w:after="0"/>
        <w:ind w:left="0"/>
      </w:pPr>
      <w:r>
        <w:rPr>
          <w:b/>
        </w:rPr>
        <w:t xml:space="preserve">X: </w:t>
      </w:r>
      <w:r>
        <w:t>high applicability</w:t>
      </w:r>
    </w:p>
    <w:p w14:paraId="45D2CD95" w14:textId="5C8D8A97" w:rsidR="007A75BE" w:rsidRDefault="005E48D0" w:rsidP="005E48D0">
      <w:pPr>
        <w:pStyle w:val="BodyText"/>
        <w:spacing w:before="0" w:after="0"/>
        <w:ind w:left="0"/>
        <w:rPr>
          <w:rStyle w:val="CommentReference"/>
        </w:rPr>
      </w:pPr>
      <w:r w:rsidRPr="005E48D0">
        <w:t>x:</w:t>
      </w:r>
      <w:r w:rsidRPr="005E48D0">
        <w:rPr>
          <w:rStyle w:val="CommentReference"/>
        </w:rPr>
        <w:t xml:space="preserve"> low applicability</w:t>
      </w:r>
    </w:p>
    <w:p w14:paraId="620E3A97" w14:textId="77777777" w:rsidR="00944056" w:rsidRPr="005E48D0" w:rsidRDefault="00944056" w:rsidP="005E48D0">
      <w:pPr>
        <w:pStyle w:val="BodyText"/>
        <w:spacing w:before="0" w:after="0"/>
        <w:ind w:left="0"/>
      </w:pPr>
    </w:p>
    <w:tbl>
      <w:tblPr>
        <w:tblW w:w="5100" w:type="pct"/>
        <w:tblInd w:w="-287" w:type="dxa"/>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CellMar>
          <w:top w:w="57" w:type="dxa"/>
          <w:left w:w="0" w:type="dxa"/>
          <w:bottom w:w="28" w:type="dxa"/>
          <w:right w:w="0" w:type="dxa"/>
        </w:tblCellMar>
        <w:tblLook w:val="04A0" w:firstRow="1" w:lastRow="0" w:firstColumn="1" w:lastColumn="0" w:noHBand="0" w:noVBand="1"/>
      </w:tblPr>
      <w:tblGrid>
        <w:gridCol w:w="2237"/>
        <w:gridCol w:w="489"/>
        <w:gridCol w:w="492"/>
        <w:gridCol w:w="494"/>
        <w:gridCol w:w="497"/>
        <w:gridCol w:w="491"/>
        <w:gridCol w:w="494"/>
        <w:gridCol w:w="491"/>
        <w:gridCol w:w="494"/>
        <w:gridCol w:w="494"/>
        <w:gridCol w:w="494"/>
        <w:gridCol w:w="491"/>
        <w:gridCol w:w="6"/>
        <w:gridCol w:w="491"/>
        <w:gridCol w:w="494"/>
        <w:gridCol w:w="494"/>
        <w:gridCol w:w="491"/>
        <w:gridCol w:w="494"/>
        <w:gridCol w:w="528"/>
        <w:gridCol w:w="506"/>
        <w:gridCol w:w="488"/>
        <w:gridCol w:w="488"/>
        <w:gridCol w:w="477"/>
        <w:gridCol w:w="454"/>
        <w:gridCol w:w="440"/>
        <w:gridCol w:w="420"/>
        <w:gridCol w:w="351"/>
      </w:tblGrid>
      <w:tr w:rsidR="00E1476F" w14:paraId="0BFF91DB" w14:textId="77777777" w:rsidTr="00D60446">
        <w:trPr>
          <w:cantSplit/>
          <w:tblHeader/>
        </w:trPr>
        <w:tc>
          <w:tcPr>
            <w:tcW w:w="783" w:type="pct"/>
            <w:vMerge w:val="restart"/>
            <w:tcBorders>
              <w:top w:val="single" w:sz="2" w:space="0" w:color="0067AB"/>
              <w:left w:val="single" w:sz="2" w:space="0" w:color="0067AB"/>
              <w:bottom w:val="single" w:sz="2" w:space="0" w:color="0067AB"/>
              <w:right w:val="single" w:sz="2" w:space="0" w:color="0067AB"/>
            </w:tcBorders>
          </w:tcPr>
          <w:p w14:paraId="076EEDEE" w14:textId="77777777" w:rsidR="00E1476F" w:rsidRDefault="00E1476F" w:rsidP="00E1476F">
            <w:pPr>
              <w:pStyle w:val="TableHeading"/>
            </w:pPr>
          </w:p>
          <w:p w14:paraId="45AA731E" w14:textId="77777777" w:rsidR="00E1476F" w:rsidRDefault="00E1476F" w:rsidP="00E1476F">
            <w:pPr>
              <w:pStyle w:val="TableHeading"/>
            </w:pPr>
          </w:p>
          <w:p w14:paraId="370F0D75" w14:textId="77777777" w:rsidR="00E1476F" w:rsidRDefault="00E1476F" w:rsidP="00E1476F">
            <w:pPr>
              <w:pStyle w:val="TableHeading"/>
            </w:pPr>
          </w:p>
          <w:p w14:paraId="578406E3" w14:textId="77777777" w:rsidR="00E1476F" w:rsidRDefault="00E1476F" w:rsidP="00E1476F">
            <w:pPr>
              <w:pStyle w:val="TableHeading"/>
            </w:pPr>
          </w:p>
          <w:p w14:paraId="7F0913F1" w14:textId="77777777" w:rsidR="00E1476F" w:rsidRDefault="00E1476F" w:rsidP="00E1476F">
            <w:pPr>
              <w:pStyle w:val="TableHeading"/>
            </w:pPr>
          </w:p>
          <w:p w14:paraId="1A4F10D2" w14:textId="77777777" w:rsidR="00E1476F" w:rsidRDefault="00E1476F" w:rsidP="00E1476F">
            <w:pPr>
              <w:pStyle w:val="TableHeading"/>
            </w:pPr>
          </w:p>
          <w:p w14:paraId="6644FCF6" w14:textId="77777777" w:rsidR="00E1476F" w:rsidRDefault="00E1476F" w:rsidP="00E1476F">
            <w:pPr>
              <w:pStyle w:val="TableHeading"/>
            </w:pPr>
          </w:p>
          <w:p w14:paraId="7FA95DCD" w14:textId="77777777" w:rsidR="00E1476F" w:rsidRDefault="00E1476F" w:rsidP="00E1476F">
            <w:pPr>
              <w:pStyle w:val="TableText"/>
            </w:pPr>
          </w:p>
          <w:p w14:paraId="1F808C04" w14:textId="77777777" w:rsidR="00E1476F" w:rsidRDefault="00E1476F" w:rsidP="00E1476F">
            <w:pPr>
              <w:pStyle w:val="TableText"/>
            </w:pPr>
          </w:p>
          <w:p w14:paraId="218849C0" w14:textId="77777777" w:rsidR="00E1476F" w:rsidRDefault="00E1476F" w:rsidP="00E1476F">
            <w:pPr>
              <w:pStyle w:val="TableHeading"/>
            </w:pPr>
            <w:r>
              <w:rPr>
                <w:b/>
              </w:rPr>
              <w:t xml:space="preserve"> Funding Source</w:t>
            </w:r>
          </w:p>
        </w:tc>
        <w:tc>
          <w:tcPr>
            <w:tcW w:w="4217" w:type="pct"/>
            <w:gridSpan w:val="26"/>
            <w:tcBorders>
              <w:top w:val="single" w:sz="2" w:space="0" w:color="0067AB"/>
              <w:left w:val="single" w:sz="2" w:space="0" w:color="0067AB"/>
              <w:bottom w:val="single" w:sz="8" w:space="0" w:color="FFFFFF" w:themeColor="background1"/>
              <w:right w:val="single" w:sz="2" w:space="0" w:color="0067AB"/>
            </w:tcBorders>
            <w:shd w:val="solid" w:color="0067AB" w:fill="0067AB"/>
            <w:hideMark/>
          </w:tcPr>
          <w:p w14:paraId="04820B7E" w14:textId="77777777" w:rsidR="00E1476F" w:rsidRDefault="00E1476F" w:rsidP="00E1476F">
            <w:pPr>
              <w:pStyle w:val="TableHeadingWhite"/>
              <w:jc w:val="center"/>
            </w:pPr>
            <w:r>
              <w:t>Management Action</w:t>
            </w:r>
          </w:p>
        </w:tc>
      </w:tr>
      <w:tr w:rsidR="00E1476F" w14:paraId="22E47D8E" w14:textId="77777777" w:rsidTr="00D60446">
        <w:trPr>
          <w:cantSplit/>
          <w:tblHeader/>
        </w:trPr>
        <w:tc>
          <w:tcPr>
            <w:tcW w:w="783" w:type="pct"/>
            <w:vMerge/>
            <w:tcBorders>
              <w:top w:val="single" w:sz="2" w:space="0" w:color="0067AB"/>
              <w:left w:val="single" w:sz="2" w:space="0" w:color="0067AB"/>
              <w:bottom w:val="single" w:sz="2" w:space="0" w:color="0067AB"/>
              <w:right w:val="single" w:sz="2" w:space="0" w:color="0067AB"/>
            </w:tcBorders>
            <w:vAlign w:val="center"/>
            <w:hideMark/>
          </w:tcPr>
          <w:p w14:paraId="668B310F" w14:textId="77777777" w:rsidR="00E1476F" w:rsidRDefault="00E1476F" w:rsidP="00E1476F">
            <w:pPr>
              <w:spacing w:before="0" w:after="0" w:line="240" w:lineRule="auto"/>
              <w:rPr>
                <w:rFonts w:ascii="Calibri" w:hAnsi="Calibri"/>
                <w:color w:val="0067AC"/>
              </w:rPr>
            </w:pPr>
          </w:p>
        </w:tc>
        <w:tc>
          <w:tcPr>
            <w:tcW w:w="690" w:type="pct"/>
            <w:gridSpan w:val="4"/>
            <w:tcBorders>
              <w:top w:val="single" w:sz="8" w:space="0" w:color="FFFFFF" w:themeColor="background1"/>
              <w:left w:val="single" w:sz="2" w:space="0" w:color="0067AB"/>
              <w:bottom w:val="single" w:sz="2" w:space="0" w:color="FFFFFF" w:themeColor="background1"/>
              <w:right w:val="single" w:sz="2" w:space="0" w:color="FFFFFF" w:themeColor="background1"/>
            </w:tcBorders>
            <w:shd w:val="solid" w:color="0067AB" w:fill="0067AB"/>
          </w:tcPr>
          <w:p w14:paraId="04E5F6A0" w14:textId="397BB909" w:rsidR="00E1476F" w:rsidRDefault="00D60446" w:rsidP="00E1476F">
            <w:pPr>
              <w:pStyle w:val="TableHeadingWhite"/>
              <w:jc w:val="center"/>
            </w:pPr>
            <w:r>
              <w:t>Establishment of sites</w:t>
            </w:r>
          </w:p>
        </w:tc>
        <w:tc>
          <w:tcPr>
            <w:tcW w:w="1210" w:type="pct"/>
            <w:gridSpan w:val="8"/>
            <w:tcBorders>
              <w:top w:val="single" w:sz="8" w:space="0" w:color="FFFFFF" w:themeColor="background1"/>
              <w:left w:val="single" w:sz="2" w:space="0" w:color="FFFFFF" w:themeColor="background1"/>
              <w:bottom w:val="single" w:sz="2" w:space="0" w:color="FFFFFF" w:themeColor="background1"/>
              <w:right w:val="single" w:sz="2" w:space="0" w:color="FFFFFF" w:themeColor="background1"/>
            </w:tcBorders>
            <w:shd w:val="solid" w:color="0067AB" w:fill="0067AB"/>
          </w:tcPr>
          <w:p w14:paraId="05331A5E" w14:textId="77777777" w:rsidR="00E1476F" w:rsidRDefault="00E1476F" w:rsidP="00E1476F">
            <w:pPr>
              <w:pStyle w:val="TableHeadingWhite"/>
              <w:jc w:val="center"/>
            </w:pPr>
            <w:r>
              <w:t>Management planning</w:t>
            </w:r>
          </w:p>
        </w:tc>
        <w:tc>
          <w:tcPr>
            <w:tcW w:w="1734" w:type="pct"/>
            <w:gridSpan w:val="10"/>
            <w:tcBorders>
              <w:top w:val="single" w:sz="8" w:space="0" w:color="FFFFFF" w:themeColor="background1"/>
              <w:left w:val="single" w:sz="2" w:space="0" w:color="FFFFFF" w:themeColor="background1"/>
              <w:bottom w:val="single" w:sz="2" w:space="0" w:color="FFFFFF" w:themeColor="background1"/>
              <w:right w:val="single" w:sz="2" w:space="0" w:color="FFFFFF" w:themeColor="background1"/>
            </w:tcBorders>
            <w:shd w:val="solid" w:color="0067AB" w:fill="0067AB"/>
          </w:tcPr>
          <w:p w14:paraId="14872B25" w14:textId="61619D05" w:rsidR="00E1476F" w:rsidRDefault="00E1476F" w:rsidP="00E1476F">
            <w:pPr>
              <w:pStyle w:val="TableHeadingWhite"/>
              <w:jc w:val="center"/>
            </w:pPr>
            <w:r>
              <w:t xml:space="preserve">Ongoing </w:t>
            </w:r>
            <w:r w:rsidR="00D60446">
              <w:t xml:space="preserve">habitat </w:t>
            </w:r>
            <w:r>
              <w:t>management &amp; monitoring</w:t>
            </w:r>
          </w:p>
        </w:tc>
        <w:tc>
          <w:tcPr>
            <w:tcW w:w="583" w:type="pct"/>
            <w:gridSpan w:val="4"/>
            <w:tcBorders>
              <w:top w:val="single" w:sz="8" w:space="0" w:color="FFFFFF" w:themeColor="background1"/>
              <w:left w:val="single" w:sz="2" w:space="0" w:color="FFFFFF" w:themeColor="background1"/>
              <w:bottom w:val="single" w:sz="2" w:space="0" w:color="FFFFFF" w:themeColor="background1"/>
              <w:right w:val="single" w:sz="2" w:space="0" w:color="0067AB"/>
            </w:tcBorders>
            <w:shd w:val="solid" w:color="0067AB" w:fill="0067AB"/>
          </w:tcPr>
          <w:p w14:paraId="208ED740" w14:textId="77777777" w:rsidR="00E1476F" w:rsidRDefault="00E1476F" w:rsidP="00E1476F">
            <w:pPr>
              <w:pStyle w:val="TableHeadingWhite"/>
              <w:jc w:val="center"/>
            </w:pPr>
            <w:r>
              <w:t>Investment</w:t>
            </w:r>
          </w:p>
        </w:tc>
      </w:tr>
      <w:tr w:rsidR="00F80A9A" w14:paraId="33E9AD6F" w14:textId="77777777" w:rsidTr="006E560E">
        <w:trPr>
          <w:cantSplit/>
          <w:trHeight w:val="2032"/>
          <w:tblHeader/>
        </w:trPr>
        <w:tc>
          <w:tcPr>
            <w:tcW w:w="783" w:type="pct"/>
            <w:vMerge/>
            <w:tcBorders>
              <w:top w:val="single" w:sz="2" w:space="0" w:color="0067AB"/>
              <w:left w:val="single" w:sz="2" w:space="0" w:color="0067AB"/>
              <w:bottom w:val="single" w:sz="2" w:space="0" w:color="0067AB"/>
              <w:right w:val="single" w:sz="2" w:space="0" w:color="0067AB"/>
            </w:tcBorders>
            <w:vAlign w:val="center"/>
            <w:hideMark/>
          </w:tcPr>
          <w:p w14:paraId="32B1791E" w14:textId="77777777" w:rsidR="00E1476F" w:rsidRDefault="00E1476F" w:rsidP="00E1476F">
            <w:pPr>
              <w:spacing w:before="0" w:after="0" w:line="240" w:lineRule="auto"/>
              <w:rPr>
                <w:rFonts w:ascii="Calibri" w:hAnsi="Calibri"/>
                <w:color w:val="0067AC"/>
              </w:rPr>
            </w:pPr>
          </w:p>
        </w:tc>
        <w:tc>
          <w:tcPr>
            <w:tcW w:w="171" w:type="pct"/>
            <w:tcBorders>
              <w:top w:val="single" w:sz="2" w:space="0" w:color="FFFFFF" w:themeColor="background1"/>
              <w:left w:val="single" w:sz="2" w:space="0" w:color="0067AB"/>
              <w:bottom w:val="single" w:sz="2" w:space="0" w:color="0067AB"/>
              <w:right w:val="single" w:sz="2" w:space="0" w:color="FFFFFF" w:themeColor="background1"/>
            </w:tcBorders>
            <w:shd w:val="solid" w:color="0067AB" w:fill="0067AB"/>
            <w:textDirection w:val="btLr"/>
            <w:vAlign w:val="center"/>
            <w:hideMark/>
          </w:tcPr>
          <w:p w14:paraId="5D804724" w14:textId="4ED75279" w:rsidR="00E1476F" w:rsidRDefault="00F11CFD" w:rsidP="006E560E">
            <w:pPr>
              <w:pStyle w:val="TableHeadingWhite"/>
              <w:ind w:left="0"/>
              <w:jc w:val="left"/>
              <w:rPr>
                <w:sz w:val="18"/>
              </w:rPr>
            </w:pPr>
            <w:r>
              <w:rPr>
                <w:sz w:val="18"/>
              </w:rPr>
              <w:t xml:space="preserve">1 </w:t>
            </w:r>
            <w:r w:rsidR="00E1476F">
              <w:rPr>
                <w:sz w:val="18"/>
              </w:rPr>
              <w:t>Site selection</w:t>
            </w:r>
          </w:p>
        </w:tc>
        <w:tc>
          <w:tcPr>
            <w:tcW w:w="172" w:type="pct"/>
            <w:tcBorders>
              <w:top w:val="single" w:sz="2" w:space="0" w:color="FFFFFF" w:themeColor="background1"/>
              <w:left w:val="single" w:sz="2" w:space="0" w:color="FFFFFF" w:themeColor="background1"/>
              <w:bottom w:val="single" w:sz="2" w:space="0" w:color="0067AB"/>
              <w:right w:val="single" w:sz="2" w:space="0" w:color="FFFFFF" w:themeColor="background1"/>
            </w:tcBorders>
            <w:shd w:val="solid" w:color="0067AB" w:fill="0067AB"/>
            <w:textDirection w:val="btLr"/>
            <w:vAlign w:val="center"/>
            <w:hideMark/>
          </w:tcPr>
          <w:p w14:paraId="1D3628B7" w14:textId="1641A471" w:rsidR="00E1476F" w:rsidRDefault="00F11CFD" w:rsidP="006E560E">
            <w:pPr>
              <w:pStyle w:val="TableHeadingWhite"/>
              <w:ind w:left="0"/>
              <w:jc w:val="left"/>
              <w:rPr>
                <w:sz w:val="18"/>
              </w:rPr>
            </w:pPr>
            <w:r>
              <w:rPr>
                <w:sz w:val="18"/>
              </w:rPr>
              <w:t xml:space="preserve">2 </w:t>
            </w:r>
            <w:r w:rsidR="00E1476F">
              <w:rPr>
                <w:sz w:val="18"/>
              </w:rPr>
              <w:t xml:space="preserve">Scientific studies </w:t>
            </w:r>
          </w:p>
        </w:tc>
        <w:tc>
          <w:tcPr>
            <w:tcW w:w="173" w:type="pct"/>
            <w:tcBorders>
              <w:top w:val="single" w:sz="2" w:space="0" w:color="FFFFFF" w:themeColor="background1"/>
              <w:left w:val="single" w:sz="2" w:space="0" w:color="FFFFFF" w:themeColor="background1"/>
              <w:bottom w:val="single" w:sz="2" w:space="0" w:color="0067AB"/>
              <w:right w:val="single" w:sz="2" w:space="0" w:color="FFFFFF" w:themeColor="background1"/>
            </w:tcBorders>
            <w:shd w:val="solid" w:color="0067AB" w:fill="0067AB"/>
            <w:textDirection w:val="btLr"/>
            <w:vAlign w:val="center"/>
            <w:hideMark/>
          </w:tcPr>
          <w:p w14:paraId="41C4B8E4" w14:textId="3CFC8F13" w:rsidR="00E1476F" w:rsidRDefault="00F11CFD" w:rsidP="006E560E">
            <w:pPr>
              <w:pStyle w:val="TableHeadingWhite"/>
              <w:ind w:left="0"/>
              <w:jc w:val="left"/>
              <w:rPr>
                <w:sz w:val="18"/>
              </w:rPr>
            </w:pPr>
            <w:r>
              <w:rPr>
                <w:sz w:val="18"/>
              </w:rPr>
              <w:t xml:space="preserve">3 </w:t>
            </w:r>
            <w:r w:rsidR="00E1476F">
              <w:rPr>
                <w:sz w:val="18"/>
              </w:rPr>
              <w:t>Preparation of initial information</w:t>
            </w:r>
          </w:p>
        </w:tc>
        <w:tc>
          <w:tcPr>
            <w:tcW w:w="174" w:type="pct"/>
            <w:tcBorders>
              <w:top w:val="single" w:sz="2" w:space="0" w:color="FFFFFF" w:themeColor="background1"/>
              <w:left w:val="single" w:sz="2" w:space="0" w:color="FFFFFF" w:themeColor="background1"/>
              <w:bottom w:val="single" w:sz="2" w:space="0" w:color="0067AB"/>
              <w:right w:val="single" w:sz="2" w:space="0" w:color="FFFFFF" w:themeColor="background1"/>
            </w:tcBorders>
            <w:shd w:val="solid" w:color="0067AB" w:fill="0067AB"/>
            <w:textDirection w:val="btLr"/>
            <w:vAlign w:val="center"/>
            <w:hideMark/>
          </w:tcPr>
          <w:p w14:paraId="32F5D673" w14:textId="68737999" w:rsidR="00E1476F" w:rsidRDefault="00F11CFD" w:rsidP="006E560E">
            <w:pPr>
              <w:pStyle w:val="TableHeadingWhite"/>
              <w:ind w:left="0"/>
              <w:jc w:val="left"/>
              <w:rPr>
                <w:sz w:val="18"/>
              </w:rPr>
            </w:pPr>
            <w:r>
              <w:rPr>
                <w:sz w:val="18"/>
              </w:rPr>
              <w:t xml:space="preserve">4 </w:t>
            </w:r>
            <w:r w:rsidR="00E1476F">
              <w:rPr>
                <w:sz w:val="18"/>
              </w:rPr>
              <w:t xml:space="preserve">Pilot projects </w:t>
            </w:r>
          </w:p>
        </w:tc>
        <w:tc>
          <w:tcPr>
            <w:tcW w:w="172" w:type="pct"/>
            <w:tcBorders>
              <w:top w:val="single" w:sz="2" w:space="0" w:color="FFFFFF" w:themeColor="background1"/>
              <w:left w:val="single" w:sz="2" w:space="0" w:color="FFFFFF" w:themeColor="background1"/>
              <w:bottom w:val="single" w:sz="2" w:space="0" w:color="0067AB"/>
              <w:right w:val="single" w:sz="2" w:space="0" w:color="FFFFFF" w:themeColor="background1"/>
            </w:tcBorders>
            <w:shd w:val="solid" w:color="0067AB" w:fill="0067AB"/>
            <w:textDirection w:val="btLr"/>
            <w:vAlign w:val="center"/>
            <w:hideMark/>
          </w:tcPr>
          <w:p w14:paraId="1C30C888" w14:textId="6304AFAF" w:rsidR="00E1476F" w:rsidRDefault="00F11CFD" w:rsidP="006E560E">
            <w:pPr>
              <w:pStyle w:val="TableHeadingWhite"/>
              <w:ind w:left="0"/>
              <w:jc w:val="left"/>
              <w:rPr>
                <w:sz w:val="18"/>
              </w:rPr>
            </w:pPr>
            <w:r>
              <w:rPr>
                <w:sz w:val="18"/>
              </w:rPr>
              <w:t xml:space="preserve">5 </w:t>
            </w:r>
            <w:r w:rsidR="00E1476F">
              <w:rPr>
                <w:sz w:val="18"/>
              </w:rPr>
              <w:t xml:space="preserve">Preparation of management plans </w:t>
            </w:r>
          </w:p>
        </w:tc>
        <w:tc>
          <w:tcPr>
            <w:tcW w:w="173" w:type="pct"/>
            <w:tcBorders>
              <w:top w:val="single" w:sz="2" w:space="0" w:color="FFFFFF" w:themeColor="background1"/>
              <w:left w:val="single" w:sz="2" w:space="0" w:color="FFFFFF" w:themeColor="background1"/>
              <w:bottom w:val="single" w:sz="2" w:space="0" w:color="0067AB"/>
              <w:right w:val="single" w:sz="2" w:space="0" w:color="FFFFFF" w:themeColor="background1"/>
            </w:tcBorders>
            <w:shd w:val="solid" w:color="0067AB" w:fill="0067AB"/>
            <w:textDirection w:val="btLr"/>
            <w:vAlign w:val="center"/>
            <w:hideMark/>
          </w:tcPr>
          <w:p w14:paraId="1689B937" w14:textId="19C8F60A" w:rsidR="00E1476F" w:rsidRDefault="00F11CFD" w:rsidP="006E560E">
            <w:pPr>
              <w:pStyle w:val="TableHeadingWhite"/>
              <w:ind w:left="0"/>
              <w:jc w:val="left"/>
              <w:rPr>
                <w:sz w:val="18"/>
              </w:rPr>
            </w:pPr>
            <w:r>
              <w:rPr>
                <w:sz w:val="18"/>
              </w:rPr>
              <w:t xml:space="preserve">6 </w:t>
            </w:r>
            <w:r w:rsidR="00E1476F">
              <w:rPr>
                <w:sz w:val="18"/>
              </w:rPr>
              <w:t xml:space="preserve">Establishment of management bodies </w:t>
            </w:r>
          </w:p>
        </w:tc>
        <w:tc>
          <w:tcPr>
            <w:tcW w:w="172" w:type="pct"/>
            <w:tcBorders>
              <w:top w:val="single" w:sz="2" w:space="0" w:color="FFFFFF" w:themeColor="background1"/>
              <w:left w:val="single" w:sz="2" w:space="0" w:color="FFFFFF" w:themeColor="background1"/>
              <w:bottom w:val="single" w:sz="2" w:space="0" w:color="0067AB"/>
              <w:right w:val="single" w:sz="2" w:space="0" w:color="FFFFFF" w:themeColor="background1"/>
            </w:tcBorders>
            <w:shd w:val="solid" w:color="0067AB" w:fill="0067AB"/>
            <w:textDirection w:val="btLr"/>
            <w:vAlign w:val="center"/>
            <w:hideMark/>
          </w:tcPr>
          <w:p w14:paraId="3C93221C" w14:textId="14382509" w:rsidR="00E1476F" w:rsidRDefault="00F11CFD" w:rsidP="006E560E">
            <w:pPr>
              <w:pStyle w:val="TableHeadingWhite"/>
              <w:ind w:left="0"/>
              <w:jc w:val="left"/>
              <w:rPr>
                <w:sz w:val="18"/>
              </w:rPr>
            </w:pPr>
            <w:r>
              <w:rPr>
                <w:sz w:val="18"/>
              </w:rPr>
              <w:t xml:space="preserve">7 </w:t>
            </w:r>
            <w:r w:rsidR="00E1476F">
              <w:rPr>
                <w:sz w:val="18"/>
              </w:rPr>
              <w:t xml:space="preserve">Public/landowner consultation </w:t>
            </w:r>
          </w:p>
        </w:tc>
        <w:tc>
          <w:tcPr>
            <w:tcW w:w="173" w:type="pct"/>
            <w:tcBorders>
              <w:top w:val="single" w:sz="2" w:space="0" w:color="FFFFFF" w:themeColor="background1"/>
              <w:left w:val="single" w:sz="2" w:space="0" w:color="FFFFFF" w:themeColor="background1"/>
              <w:bottom w:val="single" w:sz="2" w:space="0" w:color="0067AB"/>
              <w:right w:val="single" w:sz="2" w:space="0" w:color="FFFFFF" w:themeColor="background1"/>
            </w:tcBorders>
            <w:shd w:val="solid" w:color="0067AB" w:fill="0067AB"/>
            <w:textDirection w:val="btLr"/>
            <w:vAlign w:val="center"/>
            <w:hideMark/>
          </w:tcPr>
          <w:p w14:paraId="73906FAC" w14:textId="23CB4F3C" w:rsidR="00E1476F" w:rsidRDefault="00F11CFD" w:rsidP="006E560E">
            <w:pPr>
              <w:pStyle w:val="TableHeadingWhite"/>
              <w:ind w:left="0"/>
              <w:jc w:val="left"/>
              <w:rPr>
                <w:sz w:val="18"/>
              </w:rPr>
            </w:pPr>
            <w:r>
              <w:rPr>
                <w:sz w:val="18"/>
              </w:rPr>
              <w:t xml:space="preserve">8 </w:t>
            </w:r>
            <w:r w:rsidR="00E1476F">
              <w:rPr>
                <w:sz w:val="18"/>
              </w:rPr>
              <w:t xml:space="preserve">Review of management schemes </w:t>
            </w:r>
          </w:p>
        </w:tc>
        <w:tc>
          <w:tcPr>
            <w:tcW w:w="173" w:type="pct"/>
            <w:tcBorders>
              <w:top w:val="single" w:sz="2" w:space="0" w:color="FFFFFF" w:themeColor="background1"/>
              <w:left w:val="single" w:sz="2" w:space="0" w:color="FFFFFF" w:themeColor="background1"/>
              <w:bottom w:val="single" w:sz="2" w:space="0" w:color="0067AB"/>
              <w:right w:val="single" w:sz="2" w:space="0" w:color="FFFFFF" w:themeColor="background1"/>
            </w:tcBorders>
            <w:shd w:val="solid" w:color="0067AB" w:fill="0067AB"/>
            <w:textDirection w:val="btLr"/>
            <w:vAlign w:val="center"/>
            <w:hideMark/>
          </w:tcPr>
          <w:p w14:paraId="07192215" w14:textId="286B81E4" w:rsidR="00E1476F" w:rsidRDefault="00F11CFD" w:rsidP="006E560E">
            <w:pPr>
              <w:pStyle w:val="TableHeadingWhite"/>
              <w:ind w:left="0"/>
              <w:jc w:val="left"/>
              <w:rPr>
                <w:sz w:val="18"/>
              </w:rPr>
            </w:pPr>
            <w:r>
              <w:rPr>
                <w:sz w:val="18"/>
              </w:rPr>
              <w:t xml:space="preserve">9 </w:t>
            </w:r>
            <w:r w:rsidR="00E1476F">
              <w:rPr>
                <w:sz w:val="18"/>
              </w:rPr>
              <w:t xml:space="preserve">Running costs of management bodies </w:t>
            </w:r>
          </w:p>
        </w:tc>
        <w:tc>
          <w:tcPr>
            <w:tcW w:w="173" w:type="pct"/>
            <w:tcBorders>
              <w:top w:val="single" w:sz="2" w:space="0" w:color="FFFFFF" w:themeColor="background1"/>
              <w:left w:val="single" w:sz="2" w:space="0" w:color="FFFFFF" w:themeColor="background1"/>
              <w:bottom w:val="single" w:sz="2" w:space="0" w:color="0067AB"/>
              <w:right w:val="single" w:sz="2" w:space="0" w:color="FFFFFF" w:themeColor="background1"/>
            </w:tcBorders>
            <w:shd w:val="solid" w:color="0067AB" w:fill="0067AB"/>
            <w:textDirection w:val="btLr"/>
            <w:vAlign w:val="center"/>
            <w:hideMark/>
          </w:tcPr>
          <w:p w14:paraId="6A3D3833" w14:textId="2EC84942" w:rsidR="00E1476F" w:rsidRDefault="00F11CFD" w:rsidP="006E560E">
            <w:pPr>
              <w:pStyle w:val="TableHeadingWhite"/>
              <w:ind w:left="0"/>
              <w:jc w:val="left"/>
              <w:rPr>
                <w:sz w:val="18"/>
              </w:rPr>
            </w:pPr>
            <w:r>
              <w:rPr>
                <w:sz w:val="18"/>
              </w:rPr>
              <w:t xml:space="preserve">10 </w:t>
            </w:r>
            <w:r w:rsidR="00E1476F">
              <w:rPr>
                <w:sz w:val="18"/>
              </w:rPr>
              <w:t xml:space="preserve">Maintenance of facilities for  public access </w:t>
            </w:r>
          </w:p>
        </w:tc>
        <w:tc>
          <w:tcPr>
            <w:tcW w:w="172" w:type="pct"/>
            <w:tcBorders>
              <w:top w:val="single" w:sz="2" w:space="0" w:color="FFFFFF" w:themeColor="background1"/>
              <w:left w:val="single" w:sz="2" w:space="0" w:color="FFFFFF" w:themeColor="background1"/>
              <w:bottom w:val="single" w:sz="2" w:space="0" w:color="0067AB"/>
              <w:right w:val="single" w:sz="2" w:space="0" w:color="FFFFFF" w:themeColor="background1"/>
            </w:tcBorders>
            <w:shd w:val="solid" w:color="0067AB" w:fill="0067AB"/>
            <w:textDirection w:val="btLr"/>
            <w:vAlign w:val="center"/>
            <w:hideMark/>
          </w:tcPr>
          <w:p w14:paraId="49A1DBB0" w14:textId="576E5A5F" w:rsidR="00E1476F" w:rsidRDefault="00F11CFD" w:rsidP="006E560E">
            <w:pPr>
              <w:pStyle w:val="TableHeadingWhite"/>
              <w:ind w:left="0"/>
              <w:jc w:val="left"/>
              <w:rPr>
                <w:sz w:val="18"/>
              </w:rPr>
            </w:pPr>
            <w:r>
              <w:rPr>
                <w:sz w:val="18"/>
              </w:rPr>
              <w:t xml:space="preserve">11 </w:t>
            </w:r>
            <w:r w:rsidR="00E1476F">
              <w:rPr>
                <w:sz w:val="18"/>
              </w:rPr>
              <w:t xml:space="preserve">Staffing </w:t>
            </w:r>
          </w:p>
        </w:tc>
        <w:tc>
          <w:tcPr>
            <w:tcW w:w="174" w:type="pct"/>
            <w:gridSpan w:val="2"/>
            <w:tcBorders>
              <w:top w:val="single" w:sz="2" w:space="0" w:color="FFFFFF" w:themeColor="background1"/>
              <w:left w:val="single" w:sz="2" w:space="0" w:color="FFFFFF" w:themeColor="background1"/>
              <w:bottom w:val="single" w:sz="2" w:space="0" w:color="0067AB"/>
              <w:right w:val="single" w:sz="2" w:space="0" w:color="FFFFFF" w:themeColor="background1"/>
            </w:tcBorders>
            <w:shd w:val="solid" w:color="0067AB" w:fill="0067AB"/>
            <w:textDirection w:val="btLr"/>
            <w:vAlign w:val="center"/>
            <w:hideMark/>
          </w:tcPr>
          <w:p w14:paraId="6175BCA3" w14:textId="172AB9CD" w:rsidR="00E1476F" w:rsidRDefault="00F11CFD" w:rsidP="006E560E">
            <w:pPr>
              <w:pStyle w:val="TableHeadingWhite"/>
              <w:ind w:left="0"/>
              <w:jc w:val="left"/>
              <w:rPr>
                <w:sz w:val="18"/>
              </w:rPr>
            </w:pPr>
            <w:r>
              <w:rPr>
                <w:sz w:val="18"/>
              </w:rPr>
              <w:t xml:space="preserve">12 </w:t>
            </w:r>
            <w:r w:rsidR="00E1476F">
              <w:rPr>
                <w:sz w:val="18"/>
              </w:rPr>
              <w:t xml:space="preserve">Conservation management - habitats </w:t>
            </w:r>
          </w:p>
        </w:tc>
        <w:tc>
          <w:tcPr>
            <w:tcW w:w="173" w:type="pct"/>
            <w:tcBorders>
              <w:top w:val="single" w:sz="2" w:space="0" w:color="FFFFFF" w:themeColor="background1"/>
              <w:left w:val="single" w:sz="2" w:space="0" w:color="FFFFFF" w:themeColor="background1"/>
              <w:bottom w:val="single" w:sz="2" w:space="0" w:color="0067AB"/>
              <w:right w:val="single" w:sz="2" w:space="0" w:color="FFFFFF" w:themeColor="background1"/>
            </w:tcBorders>
            <w:shd w:val="solid" w:color="0067AB" w:fill="0067AB"/>
            <w:textDirection w:val="btLr"/>
            <w:vAlign w:val="center"/>
            <w:hideMark/>
          </w:tcPr>
          <w:p w14:paraId="7CD2A0EA" w14:textId="6BA58050" w:rsidR="00E1476F" w:rsidRDefault="00F11CFD" w:rsidP="006E560E">
            <w:pPr>
              <w:pStyle w:val="TableHeadingWhite"/>
              <w:ind w:left="0"/>
              <w:jc w:val="left"/>
              <w:rPr>
                <w:sz w:val="18"/>
              </w:rPr>
            </w:pPr>
            <w:r>
              <w:rPr>
                <w:sz w:val="18"/>
              </w:rPr>
              <w:t xml:space="preserve">13 </w:t>
            </w:r>
            <w:r w:rsidR="00E1476F">
              <w:rPr>
                <w:sz w:val="18"/>
              </w:rPr>
              <w:t xml:space="preserve">Conservation management -species </w:t>
            </w:r>
          </w:p>
        </w:tc>
        <w:tc>
          <w:tcPr>
            <w:tcW w:w="173" w:type="pct"/>
            <w:tcBorders>
              <w:top w:val="single" w:sz="2" w:space="0" w:color="FFFFFF" w:themeColor="background1"/>
              <w:left w:val="single" w:sz="2" w:space="0" w:color="FFFFFF" w:themeColor="background1"/>
              <w:bottom w:val="single" w:sz="2" w:space="0" w:color="0067AB"/>
              <w:right w:val="single" w:sz="2" w:space="0" w:color="FFFFFF" w:themeColor="background1"/>
            </w:tcBorders>
            <w:shd w:val="solid" w:color="0067AB" w:fill="0067AB"/>
            <w:textDirection w:val="btLr"/>
            <w:vAlign w:val="center"/>
            <w:hideMark/>
          </w:tcPr>
          <w:p w14:paraId="377419D5" w14:textId="5A6FE9CB" w:rsidR="00E1476F" w:rsidRDefault="00F11CFD" w:rsidP="006E560E">
            <w:pPr>
              <w:pStyle w:val="TableHeadingWhite"/>
              <w:ind w:left="0"/>
              <w:jc w:val="left"/>
              <w:rPr>
                <w:sz w:val="18"/>
              </w:rPr>
            </w:pPr>
            <w:r>
              <w:rPr>
                <w:sz w:val="18"/>
              </w:rPr>
              <w:t xml:space="preserve">14 </w:t>
            </w:r>
            <w:r w:rsidR="00E1476F">
              <w:rPr>
                <w:sz w:val="18"/>
              </w:rPr>
              <w:t xml:space="preserve">Management of invasive species </w:t>
            </w:r>
          </w:p>
        </w:tc>
        <w:tc>
          <w:tcPr>
            <w:tcW w:w="172" w:type="pct"/>
            <w:tcBorders>
              <w:top w:val="single" w:sz="2" w:space="0" w:color="FFFFFF" w:themeColor="background1"/>
              <w:left w:val="single" w:sz="2" w:space="0" w:color="FFFFFF" w:themeColor="background1"/>
              <w:bottom w:val="single" w:sz="2" w:space="0" w:color="0067AB"/>
              <w:right w:val="single" w:sz="2" w:space="0" w:color="FFFFFF" w:themeColor="background1"/>
            </w:tcBorders>
            <w:shd w:val="solid" w:color="0067AB" w:fill="0067AB"/>
            <w:textDirection w:val="btLr"/>
            <w:vAlign w:val="center"/>
            <w:hideMark/>
          </w:tcPr>
          <w:p w14:paraId="7C0FDEB6" w14:textId="4CFB9F0F" w:rsidR="00E1476F" w:rsidRDefault="00F11CFD" w:rsidP="006E560E">
            <w:pPr>
              <w:pStyle w:val="TableHeadingWhite"/>
              <w:ind w:left="0"/>
              <w:jc w:val="left"/>
              <w:rPr>
                <w:sz w:val="18"/>
              </w:rPr>
            </w:pPr>
            <w:r>
              <w:rPr>
                <w:sz w:val="18"/>
              </w:rPr>
              <w:t xml:space="preserve">15 </w:t>
            </w:r>
            <w:r w:rsidR="00E1476F">
              <w:rPr>
                <w:sz w:val="18"/>
              </w:rPr>
              <w:t xml:space="preserve">Implementation of management schemes </w:t>
            </w:r>
          </w:p>
        </w:tc>
        <w:tc>
          <w:tcPr>
            <w:tcW w:w="173" w:type="pct"/>
            <w:tcBorders>
              <w:top w:val="single" w:sz="2" w:space="0" w:color="FFFFFF" w:themeColor="background1"/>
              <w:left w:val="single" w:sz="2" w:space="0" w:color="FFFFFF" w:themeColor="background1"/>
              <w:bottom w:val="single" w:sz="2" w:space="0" w:color="0067AB"/>
              <w:right w:val="single" w:sz="2" w:space="0" w:color="FFFFFF" w:themeColor="background1"/>
            </w:tcBorders>
            <w:shd w:val="solid" w:color="0067AB" w:fill="0067AB"/>
            <w:textDirection w:val="btLr"/>
            <w:vAlign w:val="center"/>
            <w:hideMark/>
          </w:tcPr>
          <w:p w14:paraId="07DFE043" w14:textId="29138CD3" w:rsidR="00E1476F" w:rsidRDefault="00F11CFD" w:rsidP="006E560E">
            <w:pPr>
              <w:pStyle w:val="TableHeadingWhite"/>
              <w:ind w:left="0"/>
              <w:jc w:val="left"/>
              <w:rPr>
                <w:sz w:val="18"/>
              </w:rPr>
            </w:pPr>
            <w:r>
              <w:rPr>
                <w:sz w:val="18"/>
              </w:rPr>
              <w:t xml:space="preserve">16 </w:t>
            </w:r>
            <w:r w:rsidR="00E1476F">
              <w:rPr>
                <w:sz w:val="18"/>
              </w:rPr>
              <w:t xml:space="preserve">Provision of services </w:t>
            </w:r>
          </w:p>
        </w:tc>
        <w:tc>
          <w:tcPr>
            <w:tcW w:w="185" w:type="pct"/>
            <w:tcBorders>
              <w:top w:val="single" w:sz="2" w:space="0" w:color="FFFFFF" w:themeColor="background1"/>
              <w:left w:val="single" w:sz="2" w:space="0" w:color="FFFFFF" w:themeColor="background1"/>
              <w:bottom w:val="single" w:sz="2" w:space="0" w:color="0067AB"/>
              <w:right w:val="single" w:sz="2" w:space="0" w:color="FFFFFF" w:themeColor="background1"/>
            </w:tcBorders>
            <w:shd w:val="solid" w:color="0067AB" w:fill="0067AB"/>
            <w:textDirection w:val="btLr"/>
            <w:vAlign w:val="center"/>
            <w:hideMark/>
          </w:tcPr>
          <w:p w14:paraId="32AB0C6F" w14:textId="0661D933" w:rsidR="00E1476F" w:rsidRDefault="00F11CFD" w:rsidP="006E560E">
            <w:pPr>
              <w:pStyle w:val="TableHeadingWhite"/>
              <w:ind w:left="0"/>
              <w:jc w:val="left"/>
              <w:rPr>
                <w:sz w:val="18"/>
              </w:rPr>
            </w:pPr>
            <w:r>
              <w:rPr>
                <w:sz w:val="18"/>
              </w:rPr>
              <w:t xml:space="preserve">17 </w:t>
            </w:r>
            <w:r w:rsidR="00E1476F">
              <w:rPr>
                <w:sz w:val="18"/>
              </w:rPr>
              <w:t xml:space="preserve">Monitoring and surveying </w:t>
            </w:r>
          </w:p>
        </w:tc>
        <w:tc>
          <w:tcPr>
            <w:tcW w:w="177" w:type="pct"/>
            <w:tcBorders>
              <w:top w:val="single" w:sz="2" w:space="0" w:color="FFFFFF" w:themeColor="background1"/>
              <w:left w:val="single" w:sz="2" w:space="0" w:color="FFFFFF" w:themeColor="background1"/>
              <w:bottom w:val="single" w:sz="2" w:space="0" w:color="0067AB"/>
              <w:right w:val="single" w:sz="2" w:space="0" w:color="FFFFFF" w:themeColor="background1"/>
            </w:tcBorders>
            <w:shd w:val="solid" w:color="0067AB" w:fill="0067AB"/>
            <w:textDirection w:val="btLr"/>
            <w:vAlign w:val="center"/>
            <w:hideMark/>
          </w:tcPr>
          <w:p w14:paraId="6708CA99" w14:textId="7FA3A46A" w:rsidR="00E1476F" w:rsidRDefault="00F11CFD" w:rsidP="006E560E">
            <w:pPr>
              <w:pStyle w:val="TableHeadingWhite"/>
              <w:ind w:left="0"/>
              <w:jc w:val="left"/>
              <w:rPr>
                <w:sz w:val="18"/>
              </w:rPr>
            </w:pPr>
            <w:r>
              <w:rPr>
                <w:sz w:val="18"/>
              </w:rPr>
              <w:t xml:space="preserve">18 </w:t>
            </w:r>
            <w:r w:rsidR="00E1476F">
              <w:rPr>
                <w:sz w:val="18"/>
              </w:rPr>
              <w:t xml:space="preserve">Risk management </w:t>
            </w:r>
          </w:p>
        </w:tc>
        <w:tc>
          <w:tcPr>
            <w:tcW w:w="171" w:type="pct"/>
            <w:tcBorders>
              <w:top w:val="single" w:sz="2" w:space="0" w:color="FFFFFF" w:themeColor="background1"/>
              <w:left w:val="single" w:sz="2" w:space="0" w:color="FFFFFF" w:themeColor="background1"/>
              <w:bottom w:val="single" w:sz="2" w:space="0" w:color="0067AB"/>
              <w:right w:val="single" w:sz="2" w:space="0" w:color="FFFFFF" w:themeColor="background1"/>
            </w:tcBorders>
            <w:shd w:val="solid" w:color="0067AB" w:fill="0067AB"/>
            <w:textDirection w:val="btLr"/>
            <w:vAlign w:val="center"/>
            <w:hideMark/>
          </w:tcPr>
          <w:p w14:paraId="57514C56" w14:textId="5721D80A" w:rsidR="00E1476F" w:rsidRDefault="00F11CFD" w:rsidP="006E560E">
            <w:pPr>
              <w:pStyle w:val="TableHeadingWhite"/>
              <w:ind w:left="0"/>
              <w:jc w:val="left"/>
              <w:rPr>
                <w:sz w:val="18"/>
              </w:rPr>
            </w:pPr>
            <w:r>
              <w:rPr>
                <w:sz w:val="18"/>
              </w:rPr>
              <w:t xml:space="preserve">19 </w:t>
            </w:r>
            <w:r w:rsidR="00E1476F">
              <w:rPr>
                <w:sz w:val="18"/>
              </w:rPr>
              <w:t>Surveillance of sites</w:t>
            </w:r>
          </w:p>
        </w:tc>
        <w:tc>
          <w:tcPr>
            <w:tcW w:w="171" w:type="pct"/>
            <w:tcBorders>
              <w:top w:val="single" w:sz="2" w:space="0" w:color="FFFFFF" w:themeColor="background1"/>
              <w:left w:val="single" w:sz="2" w:space="0" w:color="FFFFFF" w:themeColor="background1"/>
              <w:bottom w:val="single" w:sz="2" w:space="0" w:color="0067AB"/>
              <w:right w:val="single" w:sz="2" w:space="0" w:color="FFFFFF" w:themeColor="background1"/>
            </w:tcBorders>
            <w:shd w:val="solid" w:color="0067AB" w:fill="0067AB"/>
            <w:textDirection w:val="btLr"/>
            <w:vAlign w:val="center"/>
            <w:hideMark/>
          </w:tcPr>
          <w:p w14:paraId="64EA69A3" w14:textId="6D76824D" w:rsidR="00E1476F" w:rsidRDefault="00F11CFD" w:rsidP="006E560E">
            <w:pPr>
              <w:pStyle w:val="TableHeadingWhite"/>
              <w:ind w:left="0"/>
              <w:jc w:val="left"/>
              <w:rPr>
                <w:sz w:val="18"/>
              </w:rPr>
            </w:pPr>
            <w:r>
              <w:rPr>
                <w:sz w:val="18"/>
              </w:rPr>
              <w:t xml:space="preserve">20 </w:t>
            </w:r>
            <w:r w:rsidR="00E1476F">
              <w:rPr>
                <w:sz w:val="18"/>
              </w:rPr>
              <w:t xml:space="preserve">Provision of information material </w:t>
            </w:r>
          </w:p>
        </w:tc>
        <w:tc>
          <w:tcPr>
            <w:tcW w:w="167" w:type="pct"/>
            <w:tcBorders>
              <w:top w:val="single" w:sz="2" w:space="0" w:color="FFFFFF" w:themeColor="background1"/>
              <w:left w:val="single" w:sz="2" w:space="0" w:color="FFFFFF" w:themeColor="background1"/>
              <w:bottom w:val="single" w:sz="2" w:space="0" w:color="0067AB"/>
              <w:right w:val="single" w:sz="2" w:space="0" w:color="FFFFFF" w:themeColor="background1"/>
            </w:tcBorders>
            <w:shd w:val="solid" w:color="0067AB" w:fill="0067AB"/>
            <w:textDirection w:val="btLr"/>
            <w:vAlign w:val="center"/>
            <w:hideMark/>
          </w:tcPr>
          <w:p w14:paraId="0FE38FB9" w14:textId="1E4672AA" w:rsidR="00E1476F" w:rsidRDefault="00F11CFD" w:rsidP="006E560E">
            <w:pPr>
              <w:pStyle w:val="TableHeadingWhite"/>
              <w:ind w:left="0"/>
              <w:jc w:val="left"/>
              <w:rPr>
                <w:sz w:val="18"/>
              </w:rPr>
            </w:pPr>
            <w:r>
              <w:rPr>
                <w:sz w:val="18"/>
              </w:rPr>
              <w:t xml:space="preserve">21 </w:t>
            </w:r>
            <w:r w:rsidR="00E1476F">
              <w:rPr>
                <w:sz w:val="18"/>
              </w:rPr>
              <w:t xml:space="preserve">Training and education </w:t>
            </w:r>
          </w:p>
        </w:tc>
        <w:tc>
          <w:tcPr>
            <w:tcW w:w="159" w:type="pct"/>
            <w:tcBorders>
              <w:top w:val="single" w:sz="2" w:space="0" w:color="FFFFFF" w:themeColor="background1"/>
              <w:left w:val="single" w:sz="2" w:space="0" w:color="FFFFFF" w:themeColor="background1"/>
              <w:bottom w:val="single" w:sz="2" w:space="0" w:color="0067AB"/>
              <w:right w:val="single" w:sz="2" w:space="0" w:color="FFFFFF" w:themeColor="background1"/>
            </w:tcBorders>
            <w:shd w:val="solid" w:color="0067AB" w:fill="0067AB"/>
            <w:textDirection w:val="btLr"/>
            <w:vAlign w:val="center"/>
            <w:hideMark/>
          </w:tcPr>
          <w:p w14:paraId="280D6933" w14:textId="3D44B5B0" w:rsidR="00E1476F" w:rsidRDefault="00F11CFD" w:rsidP="006E560E">
            <w:pPr>
              <w:pStyle w:val="TableHeadingWhite"/>
              <w:ind w:left="0"/>
              <w:jc w:val="left"/>
              <w:rPr>
                <w:sz w:val="18"/>
              </w:rPr>
            </w:pPr>
            <w:r>
              <w:rPr>
                <w:sz w:val="18"/>
              </w:rPr>
              <w:t xml:space="preserve">22 </w:t>
            </w:r>
            <w:r w:rsidR="00E1476F">
              <w:rPr>
                <w:sz w:val="18"/>
              </w:rPr>
              <w:t xml:space="preserve">Facilities to encourage visitor use </w:t>
            </w:r>
          </w:p>
        </w:tc>
        <w:tc>
          <w:tcPr>
            <w:tcW w:w="154" w:type="pct"/>
            <w:tcBorders>
              <w:top w:val="single" w:sz="2" w:space="0" w:color="FFFFFF" w:themeColor="background1"/>
              <w:left w:val="single" w:sz="2" w:space="0" w:color="FFFFFF" w:themeColor="background1"/>
              <w:bottom w:val="single" w:sz="2" w:space="0" w:color="0067AB"/>
              <w:right w:val="single" w:sz="2" w:space="0" w:color="FFFFFF" w:themeColor="background1"/>
            </w:tcBorders>
            <w:shd w:val="solid" w:color="0067AB" w:fill="0067AB"/>
            <w:textDirection w:val="btLr"/>
            <w:vAlign w:val="center"/>
            <w:hideMark/>
          </w:tcPr>
          <w:p w14:paraId="25899DD3" w14:textId="7FF0BDDE" w:rsidR="00E1476F" w:rsidRDefault="00F11CFD" w:rsidP="006E560E">
            <w:pPr>
              <w:pStyle w:val="TableHeadingWhite"/>
              <w:ind w:left="0"/>
              <w:jc w:val="left"/>
              <w:rPr>
                <w:sz w:val="18"/>
              </w:rPr>
            </w:pPr>
            <w:r>
              <w:rPr>
                <w:sz w:val="18"/>
              </w:rPr>
              <w:t xml:space="preserve">23 </w:t>
            </w:r>
            <w:r w:rsidR="00E1476F">
              <w:rPr>
                <w:sz w:val="18"/>
              </w:rPr>
              <w:t xml:space="preserve">Land purchase and compensation </w:t>
            </w:r>
          </w:p>
        </w:tc>
        <w:tc>
          <w:tcPr>
            <w:tcW w:w="147" w:type="pct"/>
            <w:tcBorders>
              <w:top w:val="single" w:sz="2" w:space="0" w:color="FFFFFF" w:themeColor="background1"/>
              <w:left w:val="single" w:sz="2" w:space="0" w:color="FFFFFF" w:themeColor="background1"/>
              <w:bottom w:val="single" w:sz="2" w:space="0" w:color="0067AB"/>
              <w:right w:val="single" w:sz="2" w:space="0" w:color="FFFFFF" w:themeColor="background1"/>
            </w:tcBorders>
            <w:shd w:val="solid" w:color="0067AB" w:fill="0067AB"/>
            <w:textDirection w:val="btLr"/>
            <w:vAlign w:val="center"/>
            <w:hideMark/>
          </w:tcPr>
          <w:p w14:paraId="2B786864" w14:textId="294B1273" w:rsidR="00E1476F" w:rsidRDefault="00F11CFD" w:rsidP="00213A9E">
            <w:pPr>
              <w:pStyle w:val="TableHeadingWhite"/>
              <w:ind w:left="0" w:right="0"/>
              <w:jc w:val="left"/>
              <w:rPr>
                <w:sz w:val="18"/>
              </w:rPr>
            </w:pPr>
            <w:r>
              <w:rPr>
                <w:sz w:val="18"/>
              </w:rPr>
              <w:t xml:space="preserve">24 </w:t>
            </w:r>
            <w:r w:rsidR="00E1476F">
              <w:rPr>
                <w:sz w:val="18"/>
              </w:rPr>
              <w:t xml:space="preserve">Restoration </w:t>
            </w:r>
            <w:r w:rsidR="008C295E">
              <w:rPr>
                <w:sz w:val="18"/>
              </w:rPr>
              <w:t xml:space="preserve"> infra.</w:t>
            </w:r>
          </w:p>
        </w:tc>
        <w:tc>
          <w:tcPr>
            <w:tcW w:w="123" w:type="pct"/>
            <w:tcBorders>
              <w:top w:val="single" w:sz="2" w:space="0" w:color="FFFFFF" w:themeColor="background1"/>
              <w:left w:val="single" w:sz="2" w:space="0" w:color="FFFFFF" w:themeColor="background1"/>
              <w:bottom w:val="single" w:sz="2" w:space="0" w:color="0067AB"/>
              <w:right w:val="single" w:sz="2" w:space="0" w:color="0067AB"/>
            </w:tcBorders>
            <w:shd w:val="solid" w:color="0067AB" w:fill="0067AB"/>
            <w:textDirection w:val="btLr"/>
            <w:vAlign w:val="center"/>
            <w:hideMark/>
          </w:tcPr>
          <w:p w14:paraId="45499BC5" w14:textId="3FDBE437" w:rsidR="00E1476F" w:rsidRDefault="00F11CFD" w:rsidP="006E560E">
            <w:pPr>
              <w:pStyle w:val="TableHeadingWhite"/>
              <w:ind w:left="0" w:right="0"/>
              <w:jc w:val="left"/>
              <w:rPr>
                <w:sz w:val="18"/>
              </w:rPr>
            </w:pPr>
            <w:r>
              <w:rPr>
                <w:sz w:val="18"/>
              </w:rPr>
              <w:t xml:space="preserve">25 </w:t>
            </w:r>
            <w:r w:rsidR="008C295E">
              <w:rPr>
                <w:sz w:val="18"/>
              </w:rPr>
              <w:t>Public access infra.</w:t>
            </w:r>
          </w:p>
        </w:tc>
      </w:tr>
      <w:tr w:rsidR="00366762" w14:paraId="1D5A26B3" w14:textId="77777777" w:rsidTr="00366762">
        <w:tc>
          <w:tcPr>
            <w:tcW w:w="5000" w:type="pct"/>
            <w:gridSpan w:val="27"/>
            <w:tcBorders>
              <w:top w:val="single" w:sz="2" w:space="0" w:color="0067AB"/>
              <w:left w:val="single" w:sz="2" w:space="0" w:color="0067AB"/>
              <w:bottom w:val="single" w:sz="2" w:space="0" w:color="0067AB"/>
              <w:right w:val="single" w:sz="2" w:space="0" w:color="0067AB"/>
            </w:tcBorders>
            <w:shd w:val="clear" w:color="auto" w:fill="F2F2F2" w:themeFill="background1" w:themeFillShade="F2"/>
          </w:tcPr>
          <w:p w14:paraId="11C71415" w14:textId="20C79BD0" w:rsidR="00366762" w:rsidRPr="00D60446" w:rsidRDefault="00366762" w:rsidP="00366762">
            <w:pPr>
              <w:pStyle w:val="TableTextNoSpace"/>
              <w:jc w:val="left"/>
              <w:rPr>
                <w:rFonts w:asciiTheme="minorHAnsi" w:hAnsiTheme="minorHAnsi"/>
                <w:sz w:val="18"/>
                <w:szCs w:val="18"/>
              </w:rPr>
            </w:pPr>
            <w:r>
              <w:rPr>
                <w:rFonts w:asciiTheme="minorHAnsi" w:hAnsiTheme="minorHAnsi"/>
                <w:b/>
                <w:sz w:val="18"/>
                <w:szCs w:val="18"/>
              </w:rPr>
              <w:t>NRW</w:t>
            </w:r>
          </w:p>
        </w:tc>
      </w:tr>
      <w:tr w:rsidR="00CE4330" w14:paraId="1ECFAF7A" w14:textId="77777777" w:rsidTr="00402C19">
        <w:tc>
          <w:tcPr>
            <w:tcW w:w="783" w:type="pct"/>
            <w:tcBorders>
              <w:top w:val="single" w:sz="2" w:space="0" w:color="0067AB"/>
              <w:left w:val="single" w:sz="2" w:space="0" w:color="0067AB"/>
              <w:bottom w:val="single" w:sz="2" w:space="0" w:color="0067AB"/>
              <w:right w:val="single" w:sz="2" w:space="0" w:color="0067AB"/>
            </w:tcBorders>
            <w:hideMark/>
          </w:tcPr>
          <w:p w14:paraId="26AF3F23" w14:textId="19D5E293" w:rsidR="00CE4330" w:rsidRPr="00D60446" w:rsidRDefault="00CE4330" w:rsidP="00120495">
            <w:pPr>
              <w:pStyle w:val="TableTextNoSpace"/>
              <w:jc w:val="left"/>
              <w:rPr>
                <w:rFonts w:asciiTheme="minorHAnsi" w:hAnsiTheme="minorHAnsi"/>
                <w:sz w:val="18"/>
                <w:szCs w:val="18"/>
              </w:rPr>
            </w:pPr>
            <w:r w:rsidRPr="00D60446">
              <w:rPr>
                <w:rFonts w:asciiTheme="minorHAnsi" w:hAnsiTheme="minorHAnsi"/>
                <w:sz w:val="18"/>
                <w:szCs w:val="18"/>
              </w:rPr>
              <w:t xml:space="preserve">NRW </w:t>
            </w:r>
          </w:p>
        </w:tc>
        <w:tc>
          <w:tcPr>
            <w:tcW w:w="171" w:type="pct"/>
            <w:tcBorders>
              <w:top w:val="single" w:sz="2" w:space="0" w:color="0067AB"/>
              <w:left w:val="single" w:sz="2" w:space="0" w:color="0067AB"/>
              <w:bottom w:val="single" w:sz="2" w:space="0" w:color="0067AB"/>
              <w:right w:val="single" w:sz="2" w:space="0" w:color="0067AB"/>
            </w:tcBorders>
            <w:vAlign w:val="center"/>
            <w:hideMark/>
          </w:tcPr>
          <w:p w14:paraId="2C15E3F4" w14:textId="504C7DDF" w:rsidR="00CE4330" w:rsidRPr="00B26E50" w:rsidRDefault="00292E8F" w:rsidP="00CE4330">
            <w:pPr>
              <w:pStyle w:val="TableTextNoSpace"/>
              <w:jc w:val="center"/>
              <w:rPr>
                <w:rFonts w:cs="Arial"/>
                <w:b/>
                <w:sz w:val="18"/>
                <w:szCs w:val="18"/>
              </w:rPr>
            </w:pPr>
            <w:r w:rsidRPr="00B26E50">
              <w:rPr>
                <w:rFonts w:cs="Arial"/>
                <w:b/>
                <w:sz w:val="18"/>
                <w:szCs w:val="18"/>
              </w:rPr>
              <w:t>X</w:t>
            </w:r>
          </w:p>
        </w:tc>
        <w:tc>
          <w:tcPr>
            <w:tcW w:w="172" w:type="pct"/>
            <w:tcBorders>
              <w:top w:val="single" w:sz="2" w:space="0" w:color="0067AB"/>
              <w:left w:val="single" w:sz="2" w:space="0" w:color="0067AB"/>
              <w:bottom w:val="single" w:sz="2" w:space="0" w:color="0067AB"/>
              <w:right w:val="single" w:sz="2" w:space="0" w:color="0067AB"/>
            </w:tcBorders>
            <w:vAlign w:val="center"/>
            <w:hideMark/>
          </w:tcPr>
          <w:p w14:paraId="5ED6D0FE" w14:textId="08A80AAC" w:rsidR="00CE4330" w:rsidRPr="00B26E50" w:rsidRDefault="00292E8F" w:rsidP="00CE4330">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hideMark/>
          </w:tcPr>
          <w:p w14:paraId="721C99CE" w14:textId="7C98AC0E" w:rsidR="00CE4330" w:rsidRPr="00B26E50" w:rsidRDefault="00292E8F" w:rsidP="00CE4330">
            <w:pPr>
              <w:pStyle w:val="TableTextNoSpace"/>
              <w:jc w:val="center"/>
              <w:rPr>
                <w:rFonts w:cs="Arial"/>
                <w:b/>
                <w:sz w:val="18"/>
                <w:szCs w:val="18"/>
              </w:rPr>
            </w:pPr>
            <w:r w:rsidRPr="00B26E50">
              <w:rPr>
                <w:rFonts w:cs="Arial"/>
                <w:b/>
                <w:sz w:val="18"/>
                <w:szCs w:val="18"/>
              </w:rPr>
              <w:t>X</w:t>
            </w:r>
          </w:p>
        </w:tc>
        <w:tc>
          <w:tcPr>
            <w:tcW w:w="174" w:type="pct"/>
            <w:tcBorders>
              <w:top w:val="single" w:sz="2" w:space="0" w:color="0067AB"/>
              <w:left w:val="single" w:sz="2" w:space="0" w:color="0067AB"/>
              <w:bottom w:val="single" w:sz="2" w:space="0" w:color="0067AB"/>
              <w:right w:val="single" w:sz="12" w:space="0" w:color="0067AB"/>
            </w:tcBorders>
            <w:vAlign w:val="center"/>
            <w:hideMark/>
          </w:tcPr>
          <w:p w14:paraId="4E456580" w14:textId="30BF2D22" w:rsidR="00CE4330" w:rsidRPr="00B26E50" w:rsidRDefault="00292E8F" w:rsidP="00CE4330">
            <w:pPr>
              <w:pStyle w:val="TableTextNoSpace"/>
              <w:jc w:val="center"/>
              <w:rPr>
                <w:rFonts w:cs="Arial"/>
                <w:b/>
                <w:sz w:val="18"/>
                <w:szCs w:val="18"/>
              </w:rPr>
            </w:pPr>
            <w:r w:rsidRPr="00B26E50">
              <w:rPr>
                <w:rFonts w:cs="Arial"/>
                <w:b/>
                <w:sz w:val="18"/>
                <w:szCs w:val="18"/>
              </w:rPr>
              <w:t>X</w:t>
            </w:r>
          </w:p>
        </w:tc>
        <w:tc>
          <w:tcPr>
            <w:tcW w:w="172" w:type="pct"/>
            <w:tcBorders>
              <w:top w:val="single" w:sz="2" w:space="0" w:color="0067AB"/>
              <w:left w:val="single" w:sz="12" w:space="0" w:color="0067AB"/>
              <w:bottom w:val="single" w:sz="2" w:space="0" w:color="0067AB"/>
              <w:right w:val="single" w:sz="2" w:space="0" w:color="0067AB"/>
            </w:tcBorders>
            <w:vAlign w:val="center"/>
            <w:hideMark/>
          </w:tcPr>
          <w:p w14:paraId="5753CE78" w14:textId="6CC33750" w:rsidR="00CE4330" w:rsidRPr="00B26E50" w:rsidRDefault="00292E8F" w:rsidP="00CE4330">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hideMark/>
          </w:tcPr>
          <w:p w14:paraId="4524ABCF" w14:textId="331CE198" w:rsidR="00CE4330" w:rsidRPr="00B26E50" w:rsidRDefault="00292E8F" w:rsidP="00CE4330">
            <w:pPr>
              <w:pStyle w:val="TableTextNoSpace"/>
              <w:jc w:val="center"/>
              <w:rPr>
                <w:rFonts w:cs="Arial"/>
                <w:b/>
                <w:sz w:val="18"/>
                <w:szCs w:val="18"/>
              </w:rPr>
            </w:pPr>
            <w:r w:rsidRPr="00B26E50">
              <w:rPr>
                <w:rFonts w:cs="Arial"/>
                <w:b/>
                <w:sz w:val="18"/>
                <w:szCs w:val="18"/>
              </w:rPr>
              <w:t>X</w:t>
            </w:r>
          </w:p>
        </w:tc>
        <w:tc>
          <w:tcPr>
            <w:tcW w:w="172" w:type="pct"/>
            <w:tcBorders>
              <w:top w:val="single" w:sz="2" w:space="0" w:color="0067AB"/>
              <w:left w:val="single" w:sz="2" w:space="0" w:color="0067AB"/>
              <w:bottom w:val="single" w:sz="2" w:space="0" w:color="0067AB"/>
              <w:right w:val="single" w:sz="2" w:space="0" w:color="0067AB"/>
            </w:tcBorders>
            <w:vAlign w:val="center"/>
            <w:hideMark/>
          </w:tcPr>
          <w:p w14:paraId="2ADFF25A" w14:textId="4AFB07DD" w:rsidR="00CE4330" w:rsidRPr="00B26E50" w:rsidRDefault="00292E8F" w:rsidP="00CE4330">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hideMark/>
          </w:tcPr>
          <w:p w14:paraId="6C612B7A" w14:textId="764692E3" w:rsidR="00CE4330" w:rsidRPr="00B26E50" w:rsidRDefault="00292E8F" w:rsidP="00CE4330">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hideMark/>
          </w:tcPr>
          <w:p w14:paraId="66CDDDC8" w14:textId="14B22603" w:rsidR="00CE4330" w:rsidRPr="00B26E50" w:rsidRDefault="00292E8F" w:rsidP="00CE4330">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hideMark/>
          </w:tcPr>
          <w:p w14:paraId="02C2223E" w14:textId="048D64C9" w:rsidR="00CE4330" w:rsidRPr="00B26E50" w:rsidRDefault="00292E8F" w:rsidP="00CE4330">
            <w:pPr>
              <w:pStyle w:val="TableTextNoSpace"/>
              <w:jc w:val="center"/>
              <w:rPr>
                <w:rFonts w:cs="Arial"/>
                <w:b/>
                <w:sz w:val="18"/>
                <w:szCs w:val="18"/>
              </w:rPr>
            </w:pPr>
            <w:r w:rsidRPr="00B26E50">
              <w:rPr>
                <w:rFonts w:cs="Arial"/>
                <w:b/>
                <w:sz w:val="18"/>
                <w:szCs w:val="18"/>
              </w:rPr>
              <w:t>X</w:t>
            </w:r>
          </w:p>
        </w:tc>
        <w:tc>
          <w:tcPr>
            <w:tcW w:w="172" w:type="pct"/>
            <w:tcBorders>
              <w:top w:val="single" w:sz="2" w:space="0" w:color="0067AB"/>
              <w:left w:val="single" w:sz="2" w:space="0" w:color="0067AB"/>
              <w:bottom w:val="single" w:sz="2" w:space="0" w:color="0067AB"/>
              <w:right w:val="single" w:sz="12" w:space="0" w:color="0067AB"/>
            </w:tcBorders>
            <w:hideMark/>
          </w:tcPr>
          <w:p w14:paraId="6CA85D2B" w14:textId="2FF40F8B" w:rsidR="00CE4330" w:rsidRPr="00B26E50" w:rsidRDefault="00292E8F" w:rsidP="00CE4330">
            <w:pPr>
              <w:pStyle w:val="TableTextNoSpace"/>
              <w:jc w:val="center"/>
              <w:rPr>
                <w:rFonts w:cs="Arial"/>
                <w:b/>
                <w:sz w:val="18"/>
                <w:szCs w:val="18"/>
              </w:rPr>
            </w:pPr>
            <w:r w:rsidRPr="00B26E50">
              <w:rPr>
                <w:rFonts w:cs="Arial"/>
                <w:b/>
                <w:sz w:val="18"/>
                <w:szCs w:val="18"/>
              </w:rPr>
              <w:t>X</w:t>
            </w:r>
          </w:p>
        </w:tc>
        <w:tc>
          <w:tcPr>
            <w:tcW w:w="174" w:type="pct"/>
            <w:gridSpan w:val="2"/>
            <w:tcBorders>
              <w:top w:val="single" w:sz="2" w:space="0" w:color="0067AB"/>
              <w:left w:val="single" w:sz="12" w:space="0" w:color="0067AB"/>
              <w:bottom w:val="single" w:sz="2" w:space="0" w:color="0067AB"/>
              <w:right w:val="single" w:sz="2" w:space="0" w:color="0067AB"/>
            </w:tcBorders>
            <w:hideMark/>
          </w:tcPr>
          <w:p w14:paraId="120B20C1" w14:textId="5C6D8B78" w:rsidR="00CE4330" w:rsidRPr="00B26E50" w:rsidRDefault="00292E8F" w:rsidP="00CE4330">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hideMark/>
          </w:tcPr>
          <w:p w14:paraId="4FF44655" w14:textId="723E4D36" w:rsidR="00CE4330" w:rsidRPr="00B26E50" w:rsidRDefault="00292E8F" w:rsidP="00CE4330">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hideMark/>
          </w:tcPr>
          <w:p w14:paraId="693B09E3" w14:textId="038F70EC" w:rsidR="00CE4330" w:rsidRPr="00B26E50" w:rsidRDefault="00292E8F" w:rsidP="00CE4330">
            <w:pPr>
              <w:pStyle w:val="TableTextNoSpace"/>
              <w:jc w:val="center"/>
              <w:rPr>
                <w:rFonts w:cs="Arial"/>
                <w:b/>
                <w:sz w:val="18"/>
                <w:szCs w:val="18"/>
              </w:rPr>
            </w:pPr>
            <w:r w:rsidRPr="00B26E50">
              <w:rPr>
                <w:rFonts w:cs="Arial"/>
                <w:b/>
                <w:sz w:val="18"/>
                <w:szCs w:val="18"/>
              </w:rPr>
              <w:t>X</w:t>
            </w:r>
          </w:p>
        </w:tc>
        <w:tc>
          <w:tcPr>
            <w:tcW w:w="172" w:type="pct"/>
            <w:tcBorders>
              <w:top w:val="single" w:sz="2" w:space="0" w:color="0067AB"/>
              <w:left w:val="single" w:sz="2" w:space="0" w:color="0067AB"/>
              <w:bottom w:val="single" w:sz="2" w:space="0" w:color="0067AB"/>
              <w:right w:val="single" w:sz="2" w:space="0" w:color="0067AB"/>
            </w:tcBorders>
            <w:hideMark/>
          </w:tcPr>
          <w:p w14:paraId="18F72F98" w14:textId="77498536" w:rsidR="00CE4330" w:rsidRPr="00B26E50" w:rsidRDefault="00292E8F" w:rsidP="00CE4330">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hideMark/>
          </w:tcPr>
          <w:p w14:paraId="5DE9A3CC" w14:textId="66B49796" w:rsidR="00CE4330" w:rsidRPr="00B26E50" w:rsidRDefault="00292E8F" w:rsidP="00CE4330">
            <w:pPr>
              <w:pStyle w:val="TableTextNoSpace"/>
              <w:jc w:val="center"/>
              <w:rPr>
                <w:rFonts w:cs="Arial"/>
                <w:b/>
                <w:sz w:val="18"/>
                <w:szCs w:val="18"/>
              </w:rPr>
            </w:pPr>
            <w:r w:rsidRPr="00B26E50">
              <w:rPr>
                <w:rFonts w:cs="Arial"/>
                <w:b/>
                <w:sz w:val="18"/>
                <w:szCs w:val="18"/>
              </w:rPr>
              <w:t>X</w:t>
            </w:r>
          </w:p>
        </w:tc>
        <w:tc>
          <w:tcPr>
            <w:tcW w:w="185" w:type="pct"/>
            <w:tcBorders>
              <w:top w:val="single" w:sz="2" w:space="0" w:color="0067AB"/>
              <w:left w:val="single" w:sz="2" w:space="0" w:color="0067AB"/>
              <w:bottom w:val="single" w:sz="2" w:space="0" w:color="0067AB"/>
              <w:right w:val="single" w:sz="2" w:space="0" w:color="0067AB"/>
            </w:tcBorders>
            <w:hideMark/>
          </w:tcPr>
          <w:p w14:paraId="673DB12F" w14:textId="3B1EB2F4" w:rsidR="00CE4330" w:rsidRPr="00B26E50" w:rsidRDefault="00292E8F" w:rsidP="00CE4330">
            <w:pPr>
              <w:pStyle w:val="TableTextNoSpace"/>
              <w:jc w:val="center"/>
              <w:rPr>
                <w:rFonts w:cs="Arial"/>
                <w:b/>
                <w:sz w:val="18"/>
                <w:szCs w:val="18"/>
              </w:rPr>
            </w:pPr>
            <w:r w:rsidRPr="00B26E50">
              <w:rPr>
                <w:rFonts w:cs="Arial"/>
                <w:b/>
                <w:sz w:val="18"/>
                <w:szCs w:val="18"/>
              </w:rPr>
              <w:t>X</w:t>
            </w:r>
          </w:p>
        </w:tc>
        <w:tc>
          <w:tcPr>
            <w:tcW w:w="177" w:type="pct"/>
            <w:tcBorders>
              <w:top w:val="single" w:sz="2" w:space="0" w:color="0067AB"/>
              <w:left w:val="single" w:sz="2" w:space="0" w:color="0067AB"/>
              <w:bottom w:val="single" w:sz="2" w:space="0" w:color="0067AB"/>
              <w:right w:val="single" w:sz="2" w:space="0" w:color="0067AB"/>
            </w:tcBorders>
            <w:hideMark/>
          </w:tcPr>
          <w:p w14:paraId="44C33D61" w14:textId="78474340" w:rsidR="00CE4330" w:rsidRPr="00B26E50" w:rsidRDefault="00292E8F" w:rsidP="00CE4330">
            <w:pPr>
              <w:pStyle w:val="TableTextNoSpace"/>
              <w:jc w:val="center"/>
              <w:rPr>
                <w:rFonts w:cs="Arial"/>
                <w:b/>
                <w:sz w:val="18"/>
                <w:szCs w:val="18"/>
              </w:rPr>
            </w:pPr>
            <w:r w:rsidRPr="00B26E50">
              <w:rPr>
                <w:rFonts w:cs="Arial"/>
                <w:b/>
                <w:sz w:val="18"/>
                <w:szCs w:val="18"/>
              </w:rPr>
              <w:t>X</w:t>
            </w:r>
          </w:p>
        </w:tc>
        <w:tc>
          <w:tcPr>
            <w:tcW w:w="171" w:type="pct"/>
            <w:tcBorders>
              <w:top w:val="single" w:sz="2" w:space="0" w:color="0067AB"/>
              <w:left w:val="single" w:sz="2" w:space="0" w:color="0067AB"/>
              <w:bottom w:val="single" w:sz="2" w:space="0" w:color="0067AB"/>
              <w:right w:val="single" w:sz="2" w:space="0" w:color="0067AB"/>
            </w:tcBorders>
            <w:hideMark/>
          </w:tcPr>
          <w:p w14:paraId="11167BE5" w14:textId="1402CE96" w:rsidR="00CE4330" w:rsidRPr="00B26E50" w:rsidRDefault="00292E8F" w:rsidP="00CE4330">
            <w:pPr>
              <w:pStyle w:val="TableTextNoSpace"/>
              <w:jc w:val="center"/>
              <w:rPr>
                <w:rFonts w:cs="Arial"/>
                <w:b/>
                <w:sz w:val="18"/>
                <w:szCs w:val="18"/>
              </w:rPr>
            </w:pPr>
            <w:r w:rsidRPr="00B26E50">
              <w:rPr>
                <w:rFonts w:cs="Arial"/>
                <w:b/>
                <w:sz w:val="18"/>
                <w:szCs w:val="18"/>
              </w:rPr>
              <w:t>X</w:t>
            </w:r>
          </w:p>
        </w:tc>
        <w:tc>
          <w:tcPr>
            <w:tcW w:w="171" w:type="pct"/>
            <w:tcBorders>
              <w:top w:val="single" w:sz="2" w:space="0" w:color="0067AB"/>
              <w:left w:val="single" w:sz="2" w:space="0" w:color="0067AB"/>
              <w:bottom w:val="single" w:sz="2" w:space="0" w:color="0067AB"/>
              <w:right w:val="single" w:sz="2" w:space="0" w:color="0067AB"/>
            </w:tcBorders>
            <w:hideMark/>
          </w:tcPr>
          <w:p w14:paraId="269BC8E0" w14:textId="21D006B0" w:rsidR="00CE4330" w:rsidRPr="00B26E50" w:rsidRDefault="00292E8F" w:rsidP="00CE4330">
            <w:pPr>
              <w:pStyle w:val="TableTextNoSpace"/>
              <w:jc w:val="center"/>
              <w:rPr>
                <w:rFonts w:cs="Arial"/>
                <w:b/>
                <w:sz w:val="18"/>
                <w:szCs w:val="18"/>
              </w:rPr>
            </w:pPr>
            <w:r w:rsidRPr="00B26E50">
              <w:rPr>
                <w:rFonts w:cs="Arial"/>
                <w:b/>
                <w:sz w:val="18"/>
                <w:szCs w:val="18"/>
              </w:rPr>
              <w:t>X</w:t>
            </w:r>
          </w:p>
        </w:tc>
        <w:tc>
          <w:tcPr>
            <w:tcW w:w="167" w:type="pct"/>
            <w:tcBorders>
              <w:top w:val="single" w:sz="2" w:space="0" w:color="0067AB"/>
              <w:left w:val="single" w:sz="2" w:space="0" w:color="0067AB"/>
              <w:bottom w:val="single" w:sz="2" w:space="0" w:color="0067AB"/>
              <w:right w:val="single" w:sz="12" w:space="0" w:color="0067AB"/>
            </w:tcBorders>
            <w:hideMark/>
          </w:tcPr>
          <w:p w14:paraId="4175F432" w14:textId="7CDCC369" w:rsidR="00CE4330" w:rsidRPr="00B26E50" w:rsidRDefault="00292E8F" w:rsidP="00CE4330">
            <w:pPr>
              <w:pStyle w:val="TableTextNoSpace"/>
              <w:jc w:val="center"/>
              <w:rPr>
                <w:rFonts w:cs="Arial"/>
                <w:b/>
                <w:sz w:val="18"/>
                <w:szCs w:val="18"/>
              </w:rPr>
            </w:pPr>
            <w:r w:rsidRPr="00B26E50">
              <w:rPr>
                <w:rFonts w:cs="Arial"/>
                <w:b/>
                <w:sz w:val="18"/>
                <w:szCs w:val="18"/>
              </w:rPr>
              <w:t>X</w:t>
            </w:r>
          </w:p>
        </w:tc>
        <w:tc>
          <w:tcPr>
            <w:tcW w:w="159" w:type="pct"/>
            <w:tcBorders>
              <w:top w:val="single" w:sz="2" w:space="0" w:color="0067AB"/>
              <w:left w:val="single" w:sz="12" w:space="0" w:color="0067AB"/>
              <w:bottom w:val="single" w:sz="2" w:space="0" w:color="0067AB"/>
              <w:right w:val="single" w:sz="2" w:space="0" w:color="0067AB"/>
            </w:tcBorders>
            <w:hideMark/>
          </w:tcPr>
          <w:p w14:paraId="6525EC31" w14:textId="62050045" w:rsidR="00CE4330" w:rsidRPr="00B26E50" w:rsidRDefault="00292E8F" w:rsidP="00CE4330">
            <w:pPr>
              <w:pStyle w:val="TableTextNoSpace"/>
              <w:jc w:val="center"/>
              <w:rPr>
                <w:rFonts w:cs="Arial"/>
                <w:b/>
                <w:sz w:val="18"/>
                <w:szCs w:val="18"/>
              </w:rPr>
            </w:pPr>
            <w:r w:rsidRPr="00B26E50">
              <w:rPr>
                <w:rFonts w:cs="Arial"/>
                <w:b/>
                <w:sz w:val="18"/>
                <w:szCs w:val="18"/>
              </w:rPr>
              <w:t>X</w:t>
            </w:r>
          </w:p>
        </w:tc>
        <w:tc>
          <w:tcPr>
            <w:tcW w:w="154" w:type="pct"/>
            <w:tcBorders>
              <w:top w:val="single" w:sz="2" w:space="0" w:color="0067AB"/>
              <w:left w:val="single" w:sz="2" w:space="0" w:color="0067AB"/>
              <w:bottom w:val="single" w:sz="2" w:space="0" w:color="0067AB"/>
              <w:right w:val="single" w:sz="2" w:space="0" w:color="0067AB"/>
            </w:tcBorders>
            <w:hideMark/>
          </w:tcPr>
          <w:p w14:paraId="7AE2FF52" w14:textId="1F890053" w:rsidR="00CE4330" w:rsidRPr="00B26E50" w:rsidRDefault="00292E8F" w:rsidP="00CE4330">
            <w:pPr>
              <w:pStyle w:val="TableTextNoSpace"/>
              <w:jc w:val="center"/>
              <w:rPr>
                <w:rFonts w:cs="Arial"/>
                <w:b/>
                <w:sz w:val="18"/>
                <w:szCs w:val="18"/>
              </w:rPr>
            </w:pPr>
            <w:r w:rsidRPr="00B26E50">
              <w:rPr>
                <w:rFonts w:cs="Arial"/>
                <w:b/>
                <w:sz w:val="18"/>
                <w:szCs w:val="18"/>
              </w:rPr>
              <w:t>X</w:t>
            </w:r>
          </w:p>
        </w:tc>
        <w:tc>
          <w:tcPr>
            <w:tcW w:w="147" w:type="pct"/>
            <w:tcBorders>
              <w:top w:val="single" w:sz="2" w:space="0" w:color="0067AB"/>
              <w:left w:val="single" w:sz="2" w:space="0" w:color="0067AB"/>
              <w:bottom w:val="single" w:sz="2" w:space="0" w:color="0067AB"/>
              <w:right w:val="single" w:sz="2" w:space="0" w:color="0067AB"/>
            </w:tcBorders>
            <w:hideMark/>
          </w:tcPr>
          <w:p w14:paraId="7169DFBA" w14:textId="61810BF8" w:rsidR="00CE4330" w:rsidRPr="00B26E50" w:rsidRDefault="00292E8F" w:rsidP="00CE4330">
            <w:pPr>
              <w:pStyle w:val="TableTextNoSpace"/>
              <w:jc w:val="center"/>
              <w:rPr>
                <w:rFonts w:cs="Arial"/>
                <w:b/>
                <w:sz w:val="18"/>
                <w:szCs w:val="18"/>
              </w:rPr>
            </w:pPr>
            <w:r w:rsidRPr="00B26E50">
              <w:rPr>
                <w:rFonts w:cs="Arial"/>
                <w:b/>
                <w:sz w:val="18"/>
                <w:szCs w:val="18"/>
              </w:rPr>
              <w:t>X</w:t>
            </w:r>
          </w:p>
        </w:tc>
        <w:tc>
          <w:tcPr>
            <w:tcW w:w="123" w:type="pct"/>
            <w:tcBorders>
              <w:top w:val="single" w:sz="2" w:space="0" w:color="0067AB"/>
              <w:left w:val="single" w:sz="2" w:space="0" w:color="0067AB"/>
              <w:bottom w:val="single" w:sz="2" w:space="0" w:color="0067AB"/>
              <w:right w:val="single" w:sz="2" w:space="0" w:color="0067AB"/>
            </w:tcBorders>
            <w:hideMark/>
          </w:tcPr>
          <w:p w14:paraId="05B8D4FD" w14:textId="04EBAE11" w:rsidR="00CE4330" w:rsidRPr="00B26E50" w:rsidRDefault="00292E8F" w:rsidP="00CE4330">
            <w:pPr>
              <w:pStyle w:val="TableTextNoSpace"/>
              <w:jc w:val="center"/>
              <w:rPr>
                <w:rFonts w:cs="Arial"/>
                <w:b/>
                <w:sz w:val="18"/>
                <w:szCs w:val="18"/>
              </w:rPr>
            </w:pPr>
            <w:r w:rsidRPr="00B26E50">
              <w:rPr>
                <w:rFonts w:cs="Arial"/>
                <w:b/>
                <w:sz w:val="18"/>
                <w:szCs w:val="18"/>
              </w:rPr>
              <w:t>X</w:t>
            </w:r>
          </w:p>
        </w:tc>
      </w:tr>
      <w:tr w:rsidR="00366762" w14:paraId="0DBB0747" w14:textId="77777777" w:rsidTr="00366762">
        <w:tc>
          <w:tcPr>
            <w:tcW w:w="5000" w:type="pct"/>
            <w:gridSpan w:val="27"/>
            <w:tcBorders>
              <w:top w:val="single" w:sz="2" w:space="0" w:color="0067AB"/>
              <w:left w:val="single" w:sz="2" w:space="0" w:color="0067AB"/>
              <w:bottom w:val="single" w:sz="2" w:space="0" w:color="0067AB"/>
              <w:right w:val="single" w:sz="2" w:space="0" w:color="0067AB"/>
            </w:tcBorders>
            <w:shd w:val="clear" w:color="auto" w:fill="F2F2F2" w:themeFill="background1" w:themeFillShade="F2"/>
          </w:tcPr>
          <w:p w14:paraId="580688CD" w14:textId="298F8EEB" w:rsidR="00366762" w:rsidRPr="00CE4330" w:rsidRDefault="00366762" w:rsidP="00120495">
            <w:pPr>
              <w:pStyle w:val="TableTextNoSpace"/>
              <w:jc w:val="left"/>
              <w:rPr>
                <w:rFonts w:cs="Arial"/>
                <w:sz w:val="18"/>
                <w:szCs w:val="18"/>
              </w:rPr>
            </w:pPr>
            <w:r>
              <w:rPr>
                <w:rFonts w:asciiTheme="minorHAnsi" w:hAnsiTheme="minorHAnsi"/>
                <w:b/>
                <w:sz w:val="18"/>
                <w:szCs w:val="18"/>
              </w:rPr>
              <w:t>European</w:t>
            </w:r>
          </w:p>
        </w:tc>
      </w:tr>
      <w:tr w:rsidR="00153642" w14:paraId="30C30AD6" w14:textId="77777777" w:rsidTr="00153642">
        <w:tc>
          <w:tcPr>
            <w:tcW w:w="783" w:type="pct"/>
            <w:tcBorders>
              <w:top w:val="single" w:sz="2" w:space="0" w:color="0067AB"/>
              <w:left w:val="single" w:sz="2" w:space="0" w:color="0067AB"/>
              <w:bottom w:val="single" w:sz="2" w:space="0" w:color="0067AB"/>
              <w:right w:val="single" w:sz="2" w:space="0" w:color="0067AB"/>
            </w:tcBorders>
          </w:tcPr>
          <w:p w14:paraId="5B12EA5C" w14:textId="4B26CF0C" w:rsidR="00153642" w:rsidRPr="00D60446" w:rsidRDefault="00153642" w:rsidP="00153642">
            <w:pPr>
              <w:pStyle w:val="TableTextNoSpace"/>
              <w:jc w:val="left"/>
              <w:rPr>
                <w:rFonts w:asciiTheme="minorHAnsi" w:hAnsiTheme="minorHAnsi"/>
                <w:sz w:val="18"/>
                <w:szCs w:val="18"/>
              </w:rPr>
            </w:pPr>
            <w:r>
              <w:rPr>
                <w:rFonts w:asciiTheme="minorHAnsi" w:hAnsiTheme="minorHAnsi"/>
                <w:sz w:val="18"/>
                <w:szCs w:val="18"/>
              </w:rPr>
              <w:t xml:space="preserve">EAFRD - </w:t>
            </w:r>
            <w:r w:rsidRPr="00D60446">
              <w:rPr>
                <w:rFonts w:asciiTheme="minorHAnsi" w:hAnsiTheme="minorHAnsi"/>
                <w:sz w:val="18"/>
                <w:szCs w:val="18"/>
              </w:rPr>
              <w:t>RDP</w:t>
            </w:r>
          </w:p>
        </w:tc>
        <w:tc>
          <w:tcPr>
            <w:tcW w:w="171" w:type="pct"/>
            <w:tcBorders>
              <w:top w:val="single" w:sz="2" w:space="0" w:color="0067AB"/>
              <w:left w:val="single" w:sz="2" w:space="0" w:color="0067AB"/>
              <w:bottom w:val="single" w:sz="2" w:space="0" w:color="0067AB"/>
              <w:right w:val="single" w:sz="2" w:space="0" w:color="0067AB"/>
            </w:tcBorders>
            <w:vAlign w:val="center"/>
          </w:tcPr>
          <w:p w14:paraId="7FB5B4C4" w14:textId="45850100" w:rsidR="00153642" w:rsidRPr="00CE4330" w:rsidRDefault="00153642" w:rsidP="00153642">
            <w:pPr>
              <w:pStyle w:val="TableTextNoSpace"/>
              <w:jc w:val="center"/>
              <w:rPr>
                <w:rFonts w:cs="Arial"/>
                <w:sz w:val="18"/>
                <w:szCs w:val="18"/>
              </w:rPr>
            </w:pPr>
            <w:r w:rsidRPr="00CE4330">
              <w:rPr>
                <w:rFonts w:cs="Arial"/>
                <w:sz w:val="18"/>
                <w:szCs w:val="18"/>
              </w:rPr>
              <w:t>x</w:t>
            </w:r>
          </w:p>
        </w:tc>
        <w:tc>
          <w:tcPr>
            <w:tcW w:w="172" w:type="pct"/>
            <w:tcBorders>
              <w:top w:val="single" w:sz="2" w:space="0" w:color="0067AB"/>
              <w:left w:val="single" w:sz="2" w:space="0" w:color="0067AB"/>
              <w:bottom w:val="single" w:sz="2" w:space="0" w:color="0067AB"/>
              <w:right w:val="single" w:sz="2" w:space="0" w:color="0067AB"/>
            </w:tcBorders>
            <w:vAlign w:val="center"/>
          </w:tcPr>
          <w:p w14:paraId="78E4D23D" w14:textId="5DD6C0AA" w:rsidR="00153642" w:rsidRPr="00CE4330" w:rsidRDefault="00153642" w:rsidP="00153642">
            <w:pPr>
              <w:pStyle w:val="TableTextNoSpace"/>
              <w:jc w:val="center"/>
              <w:rPr>
                <w:rFonts w:cs="Arial"/>
                <w:sz w:val="18"/>
                <w:szCs w:val="18"/>
              </w:rPr>
            </w:pPr>
            <w:r w:rsidRPr="00CE4330">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7D6264EB" w14:textId="223480F4" w:rsidR="00153642" w:rsidRPr="00CE4330" w:rsidRDefault="00153642" w:rsidP="00153642">
            <w:pPr>
              <w:pStyle w:val="TableTextNoSpace"/>
              <w:jc w:val="center"/>
              <w:rPr>
                <w:rFonts w:cs="Arial"/>
                <w:sz w:val="18"/>
                <w:szCs w:val="18"/>
              </w:rPr>
            </w:pPr>
            <w:r w:rsidRPr="00CE4330">
              <w:rPr>
                <w:rFonts w:cs="Arial"/>
                <w:sz w:val="18"/>
                <w:szCs w:val="18"/>
              </w:rPr>
              <w:t>x</w:t>
            </w:r>
          </w:p>
        </w:tc>
        <w:tc>
          <w:tcPr>
            <w:tcW w:w="174" w:type="pct"/>
            <w:tcBorders>
              <w:top w:val="single" w:sz="2" w:space="0" w:color="0067AB"/>
              <w:left w:val="single" w:sz="2" w:space="0" w:color="0067AB"/>
              <w:bottom w:val="single" w:sz="2" w:space="0" w:color="0067AB"/>
              <w:right w:val="single" w:sz="12" w:space="0" w:color="0067AB"/>
            </w:tcBorders>
            <w:vAlign w:val="center"/>
          </w:tcPr>
          <w:p w14:paraId="42C687D4" w14:textId="6D22FDE6" w:rsidR="00153642" w:rsidRPr="00CE4330" w:rsidRDefault="00153642" w:rsidP="00153642">
            <w:pPr>
              <w:pStyle w:val="TableTextNoSpace"/>
              <w:jc w:val="center"/>
              <w:rPr>
                <w:rFonts w:cs="Arial"/>
                <w:sz w:val="18"/>
                <w:szCs w:val="18"/>
              </w:rPr>
            </w:pPr>
            <w:r w:rsidRPr="00CE4330">
              <w:rPr>
                <w:rFonts w:cs="Arial"/>
                <w:sz w:val="18"/>
                <w:szCs w:val="18"/>
              </w:rPr>
              <w:t>x</w:t>
            </w:r>
          </w:p>
        </w:tc>
        <w:tc>
          <w:tcPr>
            <w:tcW w:w="172" w:type="pct"/>
            <w:tcBorders>
              <w:top w:val="single" w:sz="2" w:space="0" w:color="0067AB"/>
              <w:left w:val="single" w:sz="12" w:space="0" w:color="0067AB"/>
              <w:bottom w:val="single" w:sz="2" w:space="0" w:color="0067AB"/>
              <w:right w:val="single" w:sz="2" w:space="0" w:color="0067AB"/>
            </w:tcBorders>
            <w:vAlign w:val="center"/>
          </w:tcPr>
          <w:p w14:paraId="55559E9D" w14:textId="4E932CD0" w:rsidR="00153642" w:rsidRPr="00CE4330" w:rsidRDefault="00153642" w:rsidP="00153642">
            <w:pPr>
              <w:pStyle w:val="TableTextNoSpace"/>
              <w:jc w:val="center"/>
              <w:rPr>
                <w:rFonts w:cs="Arial"/>
                <w:sz w:val="18"/>
                <w:szCs w:val="18"/>
              </w:rPr>
            </w:pPr>
            <w:r w:rsidRPr="00CE4330">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50B2DBA1" w14:textId="30F591AD" w:rsidR="00153642" w:rsidRPr="00CE4330" w:rsidRDefault="00153642" w:rsidP="00153642">
            <w:pPr>
              <w:pStyle w:val="TableTextNoSpace"/>
              <w:jc w:val="center"/>
              <w:rPr>
                <w:rFonts w:cs="Arial"/>
                <w:sz w:val="18"/>
                <w:szCs w:val="18"/>
              </w:rPr>
            </w:pPr>
            <w:r w:rsidRPr="00CE4330">
              <w:rPr>
                <w:rFonts w:cs="Arial"/>
                <w:sz w:val="18"/>
                <w:szCs w:val="18"/>
              </w:rPr>
              <w:t>x</w:t>
            </w:r>
          </w:p>
        </w:tc>
        <w:tc>
          <w:tcPr>
            <w:tcW w:w="172" w:type="pct"/>
            <w:tcBorders>
              <w:top w:val="single" w:sz="2" w:space="0" w:color="0067AB"/>
              <w:left w:val="single" w:sz="2" w:space="0" w:color="0067AB"/>
              <w:bottom w:val="single" w:sz="2" w:space="0" w:color="0067AB"/>
              <w:right w:val="single" w:sz="2" w:space="0" w:color="0067AB"/>
            </w:tcBorders>
          </w:tcPr>
          <w:p w14:paraId="78A08D38" w14:textId="68C06A4C" w:rsidR="00153642" w:rsidRPr="00CE4330" w:rsidRDefault="00153642" w:rsidP="00153642">
            <w:pPr>
              <w:pStyle w:val="TableTextNoSpace"/>
              <w:jc w:val="center"/>
              <w:rPr>
                <w:rFonts w:cs="Arial"/>
                <w:sz w:val="18"/>
                <w:szCs w:val="18"/>
              </w:rPr>
            </w:pPr>
            <w:r w:rsidRPr="003E7526">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tcPr>
          <w:p w14:paraId="4256A676" w14:textId="72EA26EF" w:rsidR="00153642" w:rsidRPr="00CE4330" w:rsidRDefault="00153642" w:rsidP="00153642">
            <w:pPr>
              <w:pStyle w:val="TableTextNoSpace"/>
              <w:jc w:val="center"/>
              <w:rPr>
                <w:rFonts w:cs="Arial"/>
                <w:sz w:val="18"/>
                <w:szCs w:val="18"/>
              </w:rPr>
            </w:pPr>
            <w:r w:rsidRPr="003E7526">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tcPr>
          <w:p w14:paraId="113CE64B" w14:textId="29DE6216" w:rsidR="00153642" w:rsidRPr="00CE4330" w:rsidRDefault="00153642" w:rsidP="00153642">
            <w:pPr>
              <w:pStyle w:val="TableTextNoSpace"/>
              <w:jc w:val="center"/>
              <w:rPr>
                <w:rFonts w:cs="Arial"/>
                <w:sz w:val="18"/>
                <w:szCs w:val="18"/>
              </w:rPr>
            </w:pPr>
            <w:r w:rsidRPr="00CE4330">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tcPr>
          <w:p w14:paraId="685B9486" w14:textId="31246B4C" w:rsidR="00153642" w:rsidRPr="00CE4330" w:rsidRDefault="00153642" w:rsidP="00153642">
            <w:pPr>
              <w:pStyle w:val="TableTextNoSpace"/>
              <w:jc w:val="center"/>
              <w:rPr>
                <w:rFonts w:cs="Arial"/>
                <w:sz w:val="18"/>
                <w:szCs w:val="18"/>
              </w:rPr>
            </w:pPr>
            <w:r w:rsidRPr="00B26E50">
              <w:rPr>
                <w:rFonts w:cs="Arial"/>
                <w:b/>
                <w:sz w:val="18"/>
                <w:szCs w:val="18"/>
              </w:rPr>
              <w:t>X</w:t>
            </w:r>
          </w:p>
        </w:tc>
        <w:tc>
          <w:tcPr>
            <w:tcW w:w="172" w:type="pct"/>
            <w:tcBorders>
              <w:top w:val="single" w:sz="2" w:space="0" w:color="0067AB"/>
              <w:left w:val="single" w:sz="2" w:space="0" w:color="0067AB"/>
              <w:bottom w:val="single" w:sz="2" w:space="0" w:color="0067AB"/>
              <w:right w:val="single" w:sz="12" w:space="0" w:color="0067AB"/>
            </w:tcBorders>
          </w:tcPr>
          <w:p w14:paraId="1C5DCB3F" w14:textId="7EC85F37" w:rsidR="00153642" w:rsidRPr="00CE4330" w:rsidRDefault="00153642" w:rsidP="00153642">
            <w:pPr>
              <w:pStyle w:val="TableTextNoSpace"/>
              <w:jc w:val="center"/>
              <w:rPr>
                <w:rFonts w:cs="Arial"/>
                <w:sz w:val="18"/>
                <w:szCs w:val="18"/>
              </w:rPr>
            </w:pPr>
            <w:r w:rsidRPr="00CE4330">
              <w:rPr>
                <w:rFonts w:cs="Arial"/>
                <w:sz w:val="18"/>
                <w:szCs w:val="18"/>
              </w:rPr>
              <w:t>x</w:t>
            </w:r>
          </w:p>
        </w:tc>
        <w:tc>
          <w:tcPr>
            <w:tcW w:w="174" w:type="pct"/>
            <w:gridSpan w:val="2"/>
            <w:tcBorders>
              <w:top w:val="single" w:sz="2" w:space="0" w:color="0067AB"/>
              <w:left w:val="single" w:sz="12" w:space="0" w:color="0067AB"/>
              <w:bottom w:val="single" w:sz="2" w:space="0" w:color="0067AB"/>
              <w:right w:val="single" w:sz="2" w:space="0" w:color="0067AB"/>
            </w:tcBorders>
          </w:tcPr>
          <w:p w14:paraId="554AFF4F" w14:textId="38C27E29" w:rsidR="00153642" w:rsidRPr="00CE4330" w:rsidRDefault="00153642" w:rsidP="00153642">
            <w:pPr>
              <w:pStyle w:val="TableTextNoSpace"/>
              <w:jc w:val="center"/>
              <w:rPr>
                <w:rFonts w:cs="Arial"/>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tcPr>
          <w:p w14:paraId="39316838" w14:textId="6B47BFEF" w:rsidR="00153642" w:rsidRPr="00CE4330" w:rsidRDefault="00153642" w:rsidP="00153642">
            <w:pPr>
              <w:pStyle w:val="TableTextNoSpace"/>
              <w:jc w:val="center"/>
              <w:rPr>
                <w:rFonts w:cs="Arial"/>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tcPr>
          <w:p w14:paraId="3778031D" w14:textId="6CCC1D72" w:rsidR="00153642" w:rsidRPr="00CE4330" w:rsidRDefault="00153642" w:rsidP="00153642">
            <w:pPr>
              <w:pStyle w:val="TableTextNoSpace"/>
              <w:jc w:val="center"/>
              <w:rPr>
                <w:rFonts w:cs="Arial"/>
                <w:sz w:val="18"/>
                <w:szCs w:val="18"/>
              </w:rPr>
            </w:pPr>
            <w:r w:rsidRPr="00B26E50">
              <w:rPr>
                <w:rFonts w:cs="Arial"/>
                <w:b/>
                <w:sz w:val="18"/>
                <w:szCs w:val="18"/>
              </w:rPr>
              <w:t>X</w:t>
            </w:r>
          </w:p>
        </w:tc>
        <w:tc>
          <w:tcPr>
            <w:tcW w:w="172" w:type="pct"/>
            <w:tcBorders>
              <w:top w:val="single" w:sz="2" w:space="0" w:color="0067AB"/>
              <w:left w:val="single" w:sz="2" w:space="0" w:color="0067AB"/>
              <w:bottom w:val="single" w:sz="2" w:space="0" w:color="0067AB"/>
              <w:right w:val="single" w:sz="2" w:space="0" w:color="0067AB"/>
            </w:tcBorders>
          </w:tcPr>
          <w:p w14:paraId="121C300D" w14:textId="2B4C570C" w:rsidR="00153642" w:rsidRPr="00CE4330" w:rsidRDefault="00153642" w:rsidP="00153642">
            <w:pPr>
              <w:pStyle w:val="TableTextNoSpace"/>
              <w:jc w:val="center"/>
              <w:rPr>
                <w:rFonts w:cs="Arial"/>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tcPr>
          <w:p w14:paraId="5E6C2542" w14:textId="5FC3185F" w:rsidR="00153642" w:rsidRPr="00CE4330" w:rsidRDefault="00153642" w:rsidP="00153642">
            <w:pPr>
              <w:pStyle w:val="TableTextNoSpace"/>
              <w:jc w:val="center"/>
              <w:rPr>
                <w:rFonts w:cs="Arial"/>
                <w:sz w:val="18"/>
                <w:szCs w:val="18"/>
              </w:rPr>
            </w:pPr>
            <w:r w:rsidRPr="00B26E50">
              <w:rPr>
                <w:rFonts w:cs="Arial"/>
                <w:b/>
                <w:sz w:val="18"/>
                <w:szCs w:val="18"/>
              </w:rPr>
              <w:t>X</w:t>
            </w:r>
          </w:p>
        </w:tc>
        <w:tc>
          <w:tcPr>
            <w:tcW w:w="185" w:type="pct"/>
            <w:tcBorders>
              <w:top w:val="single" w:sz="2" w:space="0" w:color="0067AB"/>
              <w:left w:val="single" w:sz="2" w:space="0" w:color="0067AB"/>
              <w:bottom w:val="single" w:sz="2" w:space="0" w:color="0067AB"/>
              <w:right w:val="single" w:sz="2" w:space="0" w:color="0067AB"/>
            </w:tcBorders>
          </w:tcPr>
          <w:p w14:paraId="75DE3A34" w14:textId="72BFE1E4" w:rsidR="00153642" w:rsidRPr="00CE4330" w:rsidRDefault="00153642" w:rsidP="00153642">
            <w:pPr>
              <w:pStyle w:val="TableTextNoSpace"/>
              <w:jc w:val="center"/>
              <w:rPr>
                <w:rFonts w:cs="Arial"/>
                <w:sz w:val="18"/>
                <w:szCs w:val="18"/>
              </w:rPr>
            </w:pPr>
            <w:r w:rsidRPr="00CE4330">
              <w:rPr>
                <w:rFonts w:cs="Arial"/>
                <w:sz w:val="18"/>
                <w:szCs w:val="18"/>
              </w:rPr>
              <w:t>x</w:t>
            </w:r>
          </w:p>
        </w:tc>
        <w:tc>
          <w:tcPr>
            <w:tcW w:w="177" w:type="pct"/>
            <w:tcBorders>
              <w:top w:val="single" w:sz="2" w:space="0" w:color="0067AB"/>
              <w:left w:val="single" w:sz="2" w:space="0" w:color="0067AB"/>
              <w:bottom w:val="single" w:sz="2" w:space="0" w:color="0067AB"/>
              <w:right w:val="single" w:sz="2" w:space="0" w:color="0067AB"/>
            </w:tcBorders>
          </w:tcPr>
          <w:p w14:paraId="696BC5F0" w14:textId="39CD50F6" w:rsidR="00153642" w:rsidRPr="00CE4330" w:rsidRDefault="00153642" w:rsidP="00153642">
            <w:pPr>
              <w:pStyle w:val="TableTextNoSpace"/>
              <w:jc w:val="center"/>
              <w:rPr>
                <w:rFonts w:cs="Arial"/>
                <w:sz w:val="18"/>
                <w:szCs w:val="18"/>
              </w:rPr>
            </w:pPr>
            <w:r w:rsidRPr="00B26E50">
              <w:rPr>
                <w:rFonts w:cs="Arial"/>
                <w:b/>
                <w:sz w:val="18"/>
                <w:szCs w:val="18"/>
              </w:rPr>
              <w:t>X</w:t>
            </w:r>
          </w:p>
        </w:tc>
        <w:tc>
          <w:tcPr>
            <w:tcW w:w="171" w:type="pct"/>
            <w:tcBorders>
              <w:top w:val="single" w:sz="2" w:space="0" w:color="0067AB"/>
              <w:left w:val="single" w:sz="2" w:space="0" w:color="0067AB"/>
              <w:bottom w:val="single" w:sz="2" w:space="0" w:color="0067AB"/>
              <w:right w:val="single" w:sz="2" w:space="0" w:color="0067AB"/>
            </w:tcBorders>
          </w:tcPr>
          <w:p w14:paraId="66957B80" w14:textId="6083CC33" w:rsidR="00153642" w:rsidRPr="00CE4330" w:rsidRDefault="00153642" w:rsidP="00153642">
            <w:pPr>
              <w:pStyle w:val="TableTextNoSpace"/>
              <w:jc w:val="center"/>
              <w:rPr>
                <w:rFonts w:cs="Arial"/>
                <w:sz w:val="18"/>
                <w:szCs w:val="18"/>
              </w:rPr>
            </w:pPr>
            <w:r w:rsidRPr="00C551C6">
              <w:rPr>
                <w:rFonts w:cs="Arial"/>
                <w:sz w:val="18"/>
                <w:szCs w:val="18"/>
              </w:rPr>
              <w:t>x</w:t>
            </w:r>
          </w:p>
        </w:tc>
        <w:tc>
          <w:tcPr>
            <w:tcW w:w="171" w:type="pct"/>
            <w:tcBorders>
              <w:top w:val="single" w:sz="2" w:space="0" w:color="0067AB"/>
              <w:left w:val="single" w:sz="2" w:space="0" w:color="0067AB"/>
              <w:bottom w:val="single" w:sz="2" w:space="0" w:color="0067AB"/>
              <w:right w:val="single" w:sz="2" w:space="0" w:color="0067AB"/>
            </w:tcBorders>
          </w:tcPr>
          <w:p w14:paraId="0FAFCC3F" w14:textId="45497A78" w:rsidR="00153642" w:rsidRPr="00CE4330" w:rsidRDefault="00153642" w:rsidP="00153642">
            <w:pPr>
              <w:pStyle w:val="TableTextNoSpace"/>
              <w:jc w:val="center"/>
              <w:rPr>
                <w:rFonts w:cs="Arial"/>
                <w:sz w:val="18"/>
                <w:szCs w:val="18"/>
              </w:rPr>
            </w:pPr>
            <w:r w:rsidRPr="00C551C6">
              <w:rPr>
                <w:rFonts w:cs="Arial"/>
                <w:sz w:val="18"/>
                <w:szCs w:val="18"/>
              </w:rPr>
              <w:t>x</w:t>
            </w:r>
          </w:p>
        </w:tc>
        <w:tc>
          <w:tcPr>
            <w:tcW w:w="167" w:type="pct"/>
            <w:tcBorders>
              <w:top w:val="single" w:sz="2" w:space="0" w:color="0067AB"/>
              <w:left w:val="single" w:sz="2" w:space="0" w:color="0067AB"/>
              <w:bottom w:val="single" w:sz="2" w:space="0" w:color="0067AB"/>
              <w:right w:val="single" w:sz="12" w:space="0" w:color="0067AB"/>
            </w:tcBorders>
          </w:tcPr>
          <w:p w14:paraId="663B5232" w14:textId="31F71E6C" w:rsidR="00153642" w:rsidRPr="00CE4330" w:rsidRDefault="00153642" w:rsidP="00153642">
            <w:pPr>
              <w:pStyle w:val="TableTextNoSpace"/>
              <w:jc w:val="center"/>
              <w:rPr>
                <w:rFonts w:cs="Arial"/>
                <w:sz w:val="18"/>
                <w:szCs w:val="18"/>
              </w:rPr>
            </w:pPr>
            <w:r w:rsidRPr="00C551C6">
              <w:rPr>
                <w:rFonts w:cs="Arial"/>
                <w:sz w:val="18"/>
                <w:szCs w:val="18"/>
              </w:rPr>
              <w:t>x</w:t>
            </w:r>
          </w:p>
        </w:tc>
        <w:tc>
          <w:tcPr>
            <w:tcW w:w="159" w:type="pct"/>
            <w:tcBorders>
              <w:top w:val="single" w:sz="2" w:space="0" w:color="0067AB"/>
              <w:left w:val="single" w:sz="12" w:space="0" w:color="0067AB"/>
              <w:bottom w:val="single" w:sz="2" w:space="0" w:color="0067AB"/>
              <w:right w:val="single" w:sz="2" w:space="0" w:color="0067AB"/>
            </w:tcBorders>
          </w:tcPr>
          <w:p w14:paraId="0CCD22AE" w14:textId="2015544E" w:rsidR="00153642" w:rsidRPr="00CE4330" w:rsidRDefault="00153642" w:rsidP="00153642">
            <w:pPr>
              <w:pStyle w:val="TableTextNoSpace"/>
              <w:jc w:val="center"/>
              <w:rPr>
                <w:rFonts w:cs="Arial"/>
                <w:sz w:val="18"/>
                <w:szCs w:val="18"/>
              </w:rPr>
            </w:pPr>
            <w:r w:rsidRPr="00B26E50">
              <w:rPr>
                <w:rFonts w:cs="Arial"/>
                <w:b/>
                <w:sz w:val="18"/>
                <w:szCs w:val="18"/>
              </w:rPr>
              <w:t>X</w:t>
            </w:r>
          </w:p>
        </w:tc>
        <w:tc>
          <w:tcPr>
            <w:tcW w:w="154" w:type="pct"/>
            <w:tcBorders>
              <w:top w:val="single" w:sz="2" w:space="0" w:color="0067AB"/>
              <w:left w:val="single" w:sz="2" w:space="0" w:color="0067AB"/>
              <w:bottom w:val="single" w:sz="2" w:space="0" w:color="0067AB"/>
              <w:right w:val="single" w:sz="2" w:space="0" w:color="0067AB"/>
            </w:tcBorders>
          </w:tcPr>
          <w:p w14:paraId="34B830DF" w14:textId="52A5977F" w:rsidR="00153642" w:rsidRPr="00CE4330" w:rsidRDefault="00153642" w:rsidP="00153642">
            <w:pPr>
              <w:pStyle w:val="TableTextNoSpace"/>
              <w:jc w:val="center"/>
              <w:rPr>
                <w:rFonts w:cs="Arial"/>
                <w:sz w:val="18"/>
                <w:szCs w:val="18"/>
              </w:rPr>
            </w:pPr>
            <w:r w:rsidRPr="00CE4330">
              <w:rPr>
                <w:rFonts w:cs="Arial"/>
                <w:sz w:val="18"/>
                <w:szCs w:val="18"/>
              </w:rPr>
              <w:t>x</w:t>
            </w:r>
          </w:p>
        </w:tc>
        <w:tc>
          <w:tcPr>
            <w:tcW w:w="147" w:type="pct"/>
            <w:tcBorders>
              <w:top w:val="single" w:sz="2" w:space="0" w:color="0067AB"/>
              <w:left w:val="single" w:sz="2" w:space="0" w:color="0067AB"/>
              <w:bottom w:val="single" w:sz="2" w:space="0" w:color="0067AB"/>
              <w:right w:val="single" w:sz="2" w:space="0" w:color="0067AB"/>
            </w:tcBorders>
          </w:tcPr>
          <w:p w14:paraId="1937B5AD" w14:textId="2FAEA242" w:rsidR="00153642" w:rsidRPr="00CE4330" w:rsidRDefault="00153642" w:rsidP="00153642">
            <w:pPr>
              <w:pStyle w:val="TableTextNoSpace"/>
              <w:jc w:val="center"/>
              <w:rPr>
                <w:rFonts w:cs="Arial"/>
                <w:sz w:val="18"/>
                <w:szCs w:val="18"/>
              </w:rPr>
            </w:pPr>
            <w:r w:rsidRPr="00B26E50">
              <w:rPr>
                <w:rFonts w:cs="Arial"/>
                <w:b/>
                <w:sz w:val="18"/>
                <w:szCs w:val="18"/>
              </w:rPr>
              <w:t>X</w:t>
            </w:r>
          </w:p>
        </w:tc>
        <w:tc>
          <w:tcPr>
            <w:tcW w:w="123" w:type="pct"/>
            <w:tcBorders>
              <w:top w:val="single" w:sz="2" w:space="0" w:color="0067AB"/>
              <w:left w:val="single" w:sz="2" w:space="0" w:color="0067AB"/>
              <w:bottom w:val="single" w:sz="2" w:space="0" w:color="0067AB"/>
              <w:right w:val="single" w:sz="2" w:space="0" w:color="0067AB"/>
            </w:tcBorders>
          </w:tcPr>
          <w:p w14:paraId="09417F73" w14:textId="0D25CAC2" w:rsidR="00153642" w:rsidRPr="00CE4330" w:rsidRDefault="00153642" w:rsidP="00153642">
            <w:pPr>
              <w:pStyle w:val="TableTextNoSpace"/>
              <w:jc w:val="center"/>
              <w:rPr>
                <w:rFonts w:cs="Arial"/>
                <w:sz w:val="18"/>
                <w:szCs w:val="18"/>
              </w:rPr>
            </w:pPr>
            <w:r w:rsidRPr="00B26E50">
              <w:rPr>
                <w:rFonts w:cs="Arial"/>
                <w:b/>
                <w:sz w:val="18"/>
                <w:szCs w:val="18"/>
              </w:rPr>
              <w:t>X</w:t>
            </w:r>
          </w:p>
        </w:tc>
      </w:tr>
      <w:tr w:rsidR="005E48D0" w14:paraId="4545DAA3" w14:textId="77777777" w:rsidTr="00E1476F">
        <w:tc>
          <w:tcPr>
            <w:tcW w:w="783" w:type="pct"/>
            <w:tcBorders>
              <w:top w:val="single" w:sz="2" w:space="0" w:color="0067AB"/>
              <w:left w:val="single" w:sz="2" w:space="0" w:color="0067AB"/>
              <w:bottom w:val="single" w:sz="2" w:space="0" w:color="0067AB"/>
              <w:right w:val="single" w:sz="2" w:space="0" w:color="0067AB"/>
            </w:tcBorders>
          </w:tcPr>
          <w:p w14:paraId="45838617" w14:textId="4D5D6F12" w:rsidR="005E48D0" w:rsidRPr="00D60446" w:rsidRDefault="00EE77C4" w:rsidP="00EE77C4">
            <w:pPr>
              <w:pStyle w:val="TableTextNoSpace"/>
              <w:jc w:val="left"/>
              <w:rPr>
                <w:rFonts w:asciiTheme="minorHAnsi" w:hAnsiTheme="minorHAnsi"/>
                <w:sz w:val="18"/>
                <w:szCs w:val="18"/>
              </w:rPr>
            </w:pPr>
            <w:r>
              <w:rPr>
                <w:rFonts w:asciiTheme="minorHAnsi" w:hAnsiTheme="minorHAnsi"/>
                <w:sz w:val="18"/>
                <w:szCs w:val="18"/>
              </w:rPr>
              <w:t>CAP Direct Payment</w:t>
            </w:r>
          </w:p>
        </w:tc>
        <w:tc>
          <w:tcPr>
            <w:tcW w:w="171" w:type="pct"/>
            <w:tcBorders>
              <w:top w:val="single" w:sz="2" w:space="0" w:color="0067AB"/>
              <w:left w:val="single" w:sz="2" w:space="0" w:color="0067AB"/>
              <w:bottom w:val="single" w:sz="2" w:space="0" w:color="0067AB"/>
              <w:right w:val="single" w:sz="2" w:space="0" w:color="0067AB"/>
            </w:tcBorders>
            <w:vAlign w:val="center"/>
          </w:tcPr>
          <w:p w14:paraId="61BBEBBB" w14:textId="77777777" w:rsidR="005E48D0" w:rsidRPr="00CE4330" w:rsidRDefault="005E48D0" w:rsidP="005E48D0">
            <w:pPr>
              <w:pStyle w:val="TableTextNoSpace"/>
              <w:jc w:val="center"/>
              <w:rPr>
                <w:rFonts w:cs="Arial"/>
                <w:sz w:val="18"/>
                <w:szCs w:val="18"/>
              </w:rPr>
            </w:pPr>
          </w:p>
        </w:tc>
        <w:tc>
          <w:tcPr>
            <w:tcW w:w="172" w:type="pct"/>
            <w:tcBorders>
              <w:top w:val="single" w:sz="2" w:space="0" w:color="0067AB"/>
              <w:left w:val="single" w:sz="2" w:space="0" w:color="0067AB"/>
              <w:bottom w:val="single" w:sz="2" w:space="0" w:color="0067AB"/>
              <w:right w:val="single" w:sz="2" w:space="0" w:color="0067AB"/>
            </w:tcBorders>
            <w:vAlign w:val="center"/>
          </w:tcPr>
          <w:p w14:paraId="014F5ACD" w14:textId="77777777" w:rsidR="005E48D0" w:rsidRPr="00CE4330" w:rsidRDefault="005E48D0" w:rsidP="005E48D0">
            <w:pPr>
              <w:pStyle w:val="TableTextNoSpace"/>
              <w:jc w:val="center"/>
              <w:rPr>
                <w:rFonts w:cs="Arial"/>
                <w:sz w:val="18"/>
                <w:szCs w:val="18"/>
              </w:rPr>
            </w:pPr>
          </w:p>
        </w:tc>
        <w:tc>
          <w:tcPr>
            <w:tcW w:w="173" w:type="pct"/>
            <w:tcBorders>
              <w:top w:val="single" w:sz="2" w:space="0" w:color="0067AB"/>
              <w:left w:val="single" w:sz="2" w:space="0" w:color="0067AB"/>
              <w:bottom w:val="single" w:sz="2" w:space="0" w:color="0067AB"/>
              <w:right w:val="single" w:sz="2" w:space="0" w:color="0067AB"/>
            </w:tcBorders>
            <w:vAlign w:val="center"/>
          </w:tcPr>
          <w:p w14:paraId="5C5B133B" w14:textId="77777777" w:rsidR="005E48D0" w:rsidRPr="00CE4330" w:rsidRDefault="005E48D0" w:rsidP="005E48D0">
            <w:pPr>
              <w:pStyle w:val="TableTextNoSpace"/>
              <w:jc w:val="center"/>
              <w:rPr>
                <w:rFonts w:cs="Arial"/>
                <w:sz w:val="18"/>
                <w:szCs w:val="18"/>
              </w:rPr>
            </w:pPr>
          </w:p>
        </w:tc>
        <w:tc>
          <w:tcPr>
            <w:tcW w:w="174" w:type="pct"/>
            <w:tcBorders>
              <w:top w:val="single" w:sz="2" w:space="0" w:color="0067AB"/>
              <w:left w:val="single" w:sz="2" w:space="0" w:color="0067AB"/>
              <w:bottom w:val="single" w:sz="2" w:space="0" w:color="0067AB"/>
              <w:right w:val="single" w:sz="12" w:space="0" w:color="0067AB"/>
            </w:tcBorders>
            <w:vAlign w:val="center"/>
          </w:tcPr>
          <w:p w14:paraId="2CFDB772" w14:textId="77777777" w:rsidR="005E48D0" w:rsidRPr="00CE4330" w:rsidRDefault="005E48D0" w:rsidP="005E48D0">
            <w:pPr>
              <w:pStyle w:val="TableTextNoSpace"/>
              <w:jc w:val="center"/>
              <w:rPr>
                <w:rFonts w:cs="Arial"/>
                <w:sz w:val="18"/>
                <w:szCs w:val="18"/>
              </w:rPr>
            </w:pPr>
          </w:p>
        </w:tc>
        <w:tc>
          <w:tcPr>
            <w:tcW w:w="172" w:type="pct"/>
            <w:tcBorders>
              <w:top w:val="single" w:sz="2" w:space="0" w:color="0067AB"/>
              <w:left w:val="single" w:sz="12" w:space="0" w:color="0067AB"/>
              <w:bottom w:val="single" w:sz="2" w:space="0" w:color="0067AB"/>
              <w:right w:val="single" w:sz="2" w:space="0" w:color="0067AB"/>
            </w:tcBorders>
            <w:vAlign w:val="center"/>
          </w:tcPr>
          <w:p w14:paraId="1C735CC5" w14:textId="77777777" w:rsidR="005E48D0" w:rsidRPr="00CE4330" w:rsidRDefault="005E48D0" w:rsidP="005E48D0">
            <w:pPr>
              <w:pStyle w:val="TableTextNoSpace"/>
              <w:jc w:val="center"/>
              <w:rPr>
                <w:rFonts w:cs="Arial"/>
                <w:sz w:val="18"/>
                <w:szCs w:val="18"/>
              </w:rPr>
            </w:pPr>
          </w:p>
        </w:tc>
        <w:tc>
          <w:tcPr>
            <w:tcW w:w="173" w:type="pct"/>
            <w:tcBorders>
              <w:top w:val="single" w:sz="2" w:space="0" w:color="0067AB"/>
              <w:left w:val="single" w:sz="2" w:space="0" w:color="0067AB"/>
              <w:bottom w:val="single" w:sz="2" w:space="0" w:color="0067AB"/>
              <w:right w:val="single" w:sz="2" w:space="0" w:color="0067AB"/>
            </w:tcBorders>
            <w:vAlign w:val="center"/>
          </w:tcPr>
          <w:p w14:paraId="10BAA891" w14:textId="77777777" w:rsidR="005E48D0" w:rsidRPr="00CE4330" w:rsidRDefault="005E48D0" w:rsidP="005E48D0">
            <w:pPr>
              <w:pStyle w:val="TableTextNoSpace"/>
              <w:jc w:val="center"/>
              <w:rPr>
                <w:rFonts w:cs="Arial"/>
                <w:sz w:val="18"/>
                <w:szCs w:val="18"/>
              </w:rPr>
            </w:pPr>
          </w:p>
        </w:tc>
        <w:tc>
          <w:tcPr>
            <w:tcW w:w="172" w:type="pct"/>
            <w:tcBorders>
              <w:top w:val="single" w:sz="2" w:space="0" w:color="0067AB"/>
              <w:left w:val="single" w:sz="2" w:space="0" w:color="0067AB"/>
              <w:bottom w:val="single" w:sz="2" w:space="0" w:color="0067AB"/>
              <w:right w:val="single" w:sz="2" w:space="0" w:color="0067AB"/>
            </w:tcBorders>
            <w:vAlign w:val="center"/>
          </w:tcPr>
          <w:p w14:paraId="63E18296" w14:textId="77777777" w:rsidR="005E48D0" w:rsidRPr="00CE4330" w:rsidRDefault="005E48D0" w:rsidP="005E48D0">
            <w:pPr>
              <w:pStyle w:val="TableTextNoSpace"/>
              <w:jc w:val="center"/>
              <w:rPr>
                <w:rFonts w:cs="Arial"/>
                <w:sz w:val="18"/>
                <w:szCs w:val="18"/>
              </w:rPr>
            </w:pPr>
          </w:p>
        </w:tc>
        <w:tc>
          <w:tcPr>
            <w:tcW w:w="173" w:type="pct"/>
            <w:tcBorders>
              <w:top w:val="single" w:sz="2" w:space="0" w:color="0067AB"/>
              <w:left w:val="single" w:sz="2" w:space="0" w:color="0067AB"/>
              <w:bottom w:val="single" w:sz="2" w:space="0" w:color="0067AB"/>
              <w:right w:val="single" w:sz="2" w:space="0" w:color="0067AB"/>
            </w:tcBorders>
            <w:vAlign w:val="center"/>
          </w:tcPr>
          <w:p w14:paraId="5D5BB25F" w14:textId="77777777" w:rsidR="005E48D0" w:rsidRPr="00CE4330" w:rsidRDefault="005E48D0" w:rsidP="005E48D0">
            <w:pPr>
              <w:pStyle w:val="TableTextNoSpace"/>
              <w:jc w:val="center"/>
              <w:rPr>
                <w:rFonts w:cs="Arial"/>
                <w:sz w:val="18"/>
                <w:szCs w:val="18"/>
              </w:rPr>
            </w:pPr>
          </w:p>
        </w:tc>
        <w:tc>
          <w:tcPr>
            <w:tcW w:w="173" w:type="pct"/>
            <w:tcBorders>
              <w:top w:val="single" w:sz="2" w:space="0" w:color="0067AB"/>
              <w:left w:val="single" w:sz="2" w:space="0" w:color="0067AB"/>
              <w:bottom w:val="single" w:sz="2" w:space="0" w:color="0067AB"/>
              <w:right w:val="single" w:sz="2" w:space="0" w:color="0067AB"/>
            </w:tcBorders>
            <w:vAlign w:val="center"/>
          </w:tcPr>
          <w:p w14:paraId="21D6C659" w14:textId="77777777" w:rsidR="005E48D0" w:rsidRPr="00CE4330" w:rsidRDefault="005E48D0" w:rsidP="005E48D0">
            <w:pPr>
              <w:pStyle w:val="TableTextNoSpace"/>
              <w:jc w:val="center"/>
              <w:rPr>
                <w:rFonts w:cs="Arial"/>
                <w:sz w:val="18"/>
                <w:szCs w:val="18"/>
              </w:rPr>
            </w:pPr>
          </w:p>
        </w:tc>
        <w:tc>
          <w:tcPr>
            <w:tcW w:w="173" w:type="pct"/>
            <w:tcBorders>
              <w:top w:val="single" w:sz="2" w:space="0" w:color="0067AB"/>
              <w:left w:val="single" w:sz="2" w:space="0" w:color="0067AB"/>
              <w:bottom w:val="single" w:sz="2" w:space="0" w:color="0067AB"/>
              <w:right w:val="single" w:sz="2" w:space="0" w:color="0067AB"/>
            </w:tcBorders>
            <w:vAlign w:val="center"/>
          </w:tcPr>
          <w:p w14:paraId="47840405" w14:textId="77777777" w:rsidR="005E48D0" w:rsidRPr="00CE4330" w:rsidRDefault="005E48D0" w:rsidP="005E48D0">
            <w:pPr>
              <w:pStyle w:val="TableTextNoSpace"/>
              <w:jc w:val="center"/>
              <w:rPr>
                <w:rFonts w:cs="Arial"/>
                <w:sz w:val="18"/>
                <w:szCs w:val="18"/>
              </w:rPr>
            </w:pPr>
          </w:p>
        </w:tc>
        <w:tc>
          <w:tcPr>
            <w:tcW w:w="172" w:type="pct"/>
            <w:tcBorders>
              <w:top w:val="single" w:sz="2" w:space="0" w:color="0067AB"/>
              <w:left w:val="single" w:sz="2" w:space="0" w:color="0067AB"/>
              <w:bottom w:val="single" w:sz="2" w:space="0" w:color="0067AB"/>
              <w:right w:val="single" w:sz="12" w:space="0" w:color="0067AB"/>
            </w:tcBorders>
            <w:vAlign w:val="center"/>
          </w:tcPr>
          <w:p w14:paraId="2E9B1CCB" w14:textId="77777777" w:rsidR="005E48D0" w:rsidRPr="00CE4330" w:rsidRDefault="005E48D0" w:rsidP="005E48D0">
            <w:pPr>
              <w:pStyle w:val="TableTextNoSpace"/>
              <w:jc w:val="center"/>
              <w:rPr>
                <w:rFonts w:cs="Arial"/>
                <w:sz w:val="18"/>
                <w:szCs w:val="18"/>
              </w:rPr>
            </w:pPr>
          </w:p>
        </w:tc>
        <w:tc>
          <w:tcPr>
            <w:tcW w:w="174" w:type="pct"/>
            <w:gridSpan w:val="2"/>
            <w:tcBorders>
              <w:top w:val="single" w:sz="2" w:space="0" w:color="0067AB"/>
              <w:left w:val="single" w:sz="12" w:space="0" w:color="0067AB"/>
              <w:bottom w:val="single" w:sz="2" w:space="0" w:color="0067AB"/>
              <w:right w:val="single" w:sz="2" w:space="0" w:color="0067AB"/>
            </w:tcBorders>
            <w:vAlign w:val="center"/>
          </w:tcPr>
          <w:p w14:paraId="0FAC5D95" w14:textId="1EC7CC9E" w:rsidR="005E48D0" w:rsidRPr="00CE4330" w:rsidRDefault="005E48D0" w:rsidP="005E48D0">
            <w:pPr>
              <w:pStyle w:val="TableTextNoSpace"/>
              <w:jc w:val="center"/>
              <w:rPr>
                <w:rFonts w:cs="Arial"/>
                <w:sz w:val="18"/>
                <w:szCs w:val="18"/>
              </w:rPr>
            </w:pPr>
            <w:r>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628EDBB1" w14:textId="77777777" w:rsidR="005E48D0" w:rsidRPr="00CE4330" w:rsidRDefault="005E48D0" w:rsidP="005E48D0">
            <w:pPr>
              <w:pStyle w:val="TableTextNoSpace"/>
              <w:jc w:val="center"/>
              <w:rPr>
                <w:rFonts w:cs="Arial"/>
                <w:sz w:val="18"/>
                <w:szCs w:val="18"/>
              </w:rPr>
            </w:pPr>
          </w:p>
        </w:tc>
        <w:tc>
          <w:tcPr>
            <w:tcW w:w="173" w:type="pct"/>
            <w:tcBorders>
              <w:top w:val="single" w:sz="2" w:space="0" w:color="0067AB"/>
              <w:left w:val="single" w:sz="2" w:space="0" w:color="0067AB"/>
              <w:bottom w:val="single" w:sz="2" w:space="0" w:color="0067AB"/>
              <w:right w:val="single" w:sz="2" w:space="0" w:color="0067AB"/>
            </w:tcBorders>
            <w:vAlign w:val="center"/>
          </w:tcPr>
          <w:p w14:paraId="1D8F08D8" w14:textId="77777777" w:rsidR="005E48D0" w:rsidRPr="00CE4330" w:rsidRDefault="005E48D0" w:rsidP="005E48D0">
            <w:pPr>
              <w:pStyle w:val="TableTextNoSpace"/>
              <w:jc w:val="center"/>
              <w:rPr>
                <w:rFonts w:cs="Arial"/>
                <w:sz w:val="18"/>
                <w:szCs w:val="18"/>
              </w:rPr>
            </w:pPr>
          </w:p>
        </w:tc>
        <w:tc>
          <w:tcPr>
            <w:tcW w:w="172" w:type="pct"/>
            <w:tcBorders>
              <w:top w:val="single" w:sz="2" w:space="0" w:color="0067AB"/>
              <w:left w:val="single" w:sz="2" w:space="0" w:color="0067AB"/>
              <w:bottom w:val="single" w:sz="2" w:space="0" w:color="0067AB"/>
              <w:right w:val="single" w:sz="2" w:space="0" w:color="0067AB"/>
            </w:tcBorders>
            <w:vAlign w:val="center"/>
          </w:tcPr>
          <w:p w14:paraId="1352FD65" w14:textId="1E230773" w:rsidR="005E48D0" w:rsidRPr="00CE4330" w:rsidRDefault="005E48D0" w:rsidP="005E48D0">
            <w:pPr>
              <w:pStyle w:val="TableTextNoSpace"/>
              <w:jc w:val="center"/>
              <w:rPr>
                <w:rFonts w:cs="Arial"/>
                <w:sz w:val="18"/>
                <w:szCs w:val="18"/>
              </w:rPr>
            </w:pPr>
          </w:p>
        </w:tc>
        <w:tc>
          <w:tcPr>
            <w:tcW w:w="173" w:type="pct"/>
            <w:tcBorders>
              <w:top w:val="single" w:sz="2" w:space="0" w:color="0067AB"/>
              <w:left w:val="single" w:sz="2" w:space="0" w:color="0067AB"/>
              <w:bottom w:val="single" w:sz="2" w:space="0" w:color="0067AB"/>
              <w:right w:val="single" w:sz="2" w:space="0" w:color="0067AB"/>
            </w:tcBorders>
            <w:vAlign w:val="center"/>
          </w:tcPr>
          <w:p w14:paraId="71CFC4A2" w14:textId="32DEB06B" w:rsidR="005E48D0" w:rsidRPr="00CE4330" w:rsidRDefault="005E48D0" w:rsidP="005E48D0">
            <w:pPr>
              <w:pStyle w:val="TableTextNoSpace"/>
              <w:jc w:val="center"/>
              <w:rPr>
                <w:rFonts w:cs="Arial"/>
                <w:sz w:val="18"/>
                <w:szCs w:val="18"/>
              </w:rPr>
            </w:pPr>
            <w:r>
              <w:rPr>
                <w:rFonts w:cs="Arial"/>
                <w:sz w:val="18"/>
                <w:szCs w:val="18"/>
              </w:rPr>
              <w:t>x</w:t>
            </w:r>
          </w:p>
        </w:tc>
        <w:tc>
          <w:tcPr>
            <w:tcW w:w="185" w:type="pct"/>
            <w:tcBorders>
              <w:top w:val="single" w:sz="2" w:space="0" w:color="0067AB"/>
              <w:left w:val="single" w:sz="2" w:space="0" w:color="0067AB"/>
              <w:bottom w:val="single" w:sz="2" w:space="0" w:color="0067AB"/>
              <w:right w:val="single" w:sz="2" w:space="0" w:color="0067AB"/>
            </w:tcBorders>
            <w:vAlign w:val="center"/>
          </w:tcPr>
          <w:p w14:paraId="4AB77CDA" w14:textId="77777777" w:rsidR="005E48D0" w:rsidRPr="00CE4330" w:rsidRDefault="005E48D0" w:rsidP="005E48D0">
            <w:pPr>
              <w:pStyle w:val="TableTextNoSpace"/>
              <w:jc w:val="center"/>
              <w:rPr>
                <w:rFonts w:cs="Arial"/>
                <w:sz w:val="18"/>
                <w:szCs w:val="18"/>
              </w:rPr>
            </w:pPr>
          </w:p>
        </w:tc>
        <w:tc>
          <w:tcPr>
            <w:tcW w:w="177" w:type="pct"/>
            <w:tcBorders>
              <w:top w:val="single" w:sz="2" w:space="0" w:color="0067AB"/>
              <w:left w:val="single" w:sz="2" w:space="0" w:color="0067AB"/>
              <w:bottom w:val="single" w:sz="2" w:space="0" w:color="0067AB"/>
              <w:right w:val="single" w:sz="2" w:space="0" w:color="0067AB"/>
            </w:tcBorders>
            <w:vAlign w:val="center"/>
          </w:tcPr>
          <w:p w14:paraId="7C3D96BA" w14:textId="77777777" w:rsidR="005E48D0" w:rsidRPr="00CE4330" w:rsidRDefault="005E48D0" w:rsidP="005E48D0">
            <w:pPr>
              <w:pStyle w:val="TableTextNoSpace"/>
              <w:jc w:val="center"/>
              <w:rPr>
                <w:rFonts w:cs="Arial"/>
                <w:sz w:val="18"/>
                <w:szCs w:val="18"/>
              </w:rPr>
            </w:pPr>
          </w:p>
        </w:tc>
        <w:tc>
          <w:tcPr>
            <w:tcW w:w="171" w:type="pct"/>
            <w:tcBorders>
              <w:top w:val="single" w:sz="2" w:space="0" w:color="0067AB"/>
              <w:left w:val="single" w:sz="2" w:space="0" w:color="0067AB"/>
              <w:bottom w:val="single" w:sz="2" w:space="0" w:color="0067AB"/>
              <w:right w:val="single" w:sz="2" w:space="0" w:color="0067AB"/>
            </w:tcBorders>
            <w:vAlign w:val="center"/>
          </w:tcPr>
          <w:p w14:paraId="61CC4E1C" w14:textId="77777777" w:rsidR="005E48D0" w:rsidRPr="00CE4330" w:rsidRDefault="005E48D0" w:rsidP="005E48D0">
            <w:pPr>
              <w:pStyle w:val="TableTextNoSpace"/>
              <w:jc w:val="center"/>
              <w:rPr>
                <w:rFonts w:cs="Arial"/>
                <w:sz w:val="18"/>
                <w:szCs w:val="18"/>
              </w:rPr>
            </w:pPr>
          </w:p>
        </w:tc>
        <w:tc>
          <w:tcPr>
            <w:tcW w:w="171" w:type="pct"/>
            <w:tcBorders>
              <w:top w:val="single" w:sz="2" w:space="0" w:color="0067AB"/>
              <w:left w:val="single" w:sz="2" w:space="0" w:color="0067AB"/>
              <w:bottom w:val="single" w:sz="2" w:space="0" w:color="0067AB"/>
              <w:right w:val="single" w:sz="2" w:space="0" w:color="0067AB"/>
            </w:tcBorders>
            <w:vAlign w:val="center"/>
          </w:tcPr>
          <w:p w14:paraId="75DD81C7" w14:textId="77777777" w:rsidR="005E48D0" w:rsidRPr="00CE4330" w:rsidRDefault="005E48D0" w:rsidP="005E48D0">
            <w:pPr>
              <w:pStyle w:val="TableTextNoSpace"/>
              <w:jc w:val="center"/>
              <w:rPr>
                <w:rFonts w:cs="Arial"/>
                <w:sz w:val="18"/>
                <w:szCs w:val="18"/>
              </w:rPr>
            </w:pPr>
          </w:p>
        </w:tc>
        <w:tc>
          <w:tcPr>
            <w:tcW w:w="167" w:type="pct"/>
            <w:tcBorders>
              <w:top w:val="single" w:sz="2" w:space="0" w:color="0067AB"/>
              <w:left w:val="single" w:sz="2" w:space="0" w:color="0067AB"/>
              <w:bottom w:val="single" w:sz="2" w:space="0" w:color="0067AB"/>
              <w:right w:val="single" w:sz="12" w:space="0" w:color="0067AB"/>
            </w:tcBorders>
            <w:vAlign w:val="center"/>
          </w:tcPr>
          <w:p w14:paraId="4DC8A7ED" w14:textId="77777777" w:rsidR="005E48D0" w:rsidRPr="00CE4330" w:rsidRDefault="005E48D0" w:rsidP="005E48D0">
            <w:pPr>
              <w:pStyle w:val="TableTextNoSpace"/>
              <w:jc w:val="center"/>
              <w:rPr>
                <w:rFonts w:cs="Arial"/>
                <w:sz w:val="18"/>
                <w:szCs w:val="18"/>
              </w:rPr>
            </w:pPr>
          </w:p>
        </w:tc>
        <w:tc>
          <w:tcPr>
            <w:tcW w:w="159" w:type="pct"/>
            <w:tcBorders>
              <w:top w:val="single" w:sz="2" w:space="0" w:color="0067AB"/>
              <w:left w:val="single" w:sz="12" w:space="0" w:color="0067AB"/>
              <w:bottom w:val="single" w:sz="2" w:space="0" w:color="0067AB"/>
              <w:right w:val="single" w:sz="2" w:space="0" w:color="0067AB"/>
            </w:tcBorders>
            <w:vAlign w:val="center"/>
          </w:tcPr>
          <w:p w14:paraId="25DF1A06" w14:textId="77777777" w:rsidR="005E48D0" w:rsidRPr="00CE4330" w:rsidRDefault="005E48D0" w:rsidP="005E48D0">
            <w:pPr>
              <w:pStyle w:val="TableTextNoSpace"/>
              <w:jc w:val="center"/>
              <w:rPr>
                <w:rFonts w:cs="Arial"/>
                <w:sz w:val="18"/>
                <w:szCs w:val="18"/>
              </w:rPr>
            </w:pPr>
          </w:p>
        </w:tc>
        <w:tc>
          <w:tcPr>
            <w:tcW w:w="154" w:type="pct"/>
            <w:tcBorders>
              <w:top w:val="single" w:sz="2" w:space="0" w:color="0067AB"/>
              <w:left w:val="single" w:sz="2" w:space="0" w:color="0067AB"/>
              <w:bottom w:val="single" w:sz="2" w:space="0" w:color="0067AB"/>
              <w:right w:val="single" w:sz="2" w:space="0" w:color="0067AB"/>
            </w:tcBorders>
            <w:vAlign w:val="center"/>
          </w:tcPr>
          <w:p w14:paraId="7AF6135F" w14:textId="77777777" w:rsidR="005E48D0" w:rsidRPr="00CE4330" w:rsidRDefault="005E48D0" w:rsidP="005E48D0">
            <w:pPr>
              <w:pStyle w:val="TableTextNoSpace"/>
              <w:jc w:val="center"/>
              <w:rPr>
                <w:rFonts w:cs="Arial"/>
                <w:sz w:val="18"/>
                <w:szCs w:val="18"/>
              </w:rPr>
            </w:pPr>
          </w:p>
        </w:tc>
        <w:tc>
          <w:tcPr>
            <w:tcW w:w="147" w:type="pct"/>
            <w:tcBorders>
              <w:top w:val="single" w:sz="2" w:space="0" w:color="0067AB"/>
              <w:left w:val="single" w:sz="2" w:space="0" w:color="0067AB"/>
              <w:bottom w:val="single" w:sz="2" w:space="0" w:color="0067AB"/>
              <w:right w:val="single" w:sz="2" w:space="0" w:color="0067AB"/>
            </w:tcBorders>
            <w:vAlign w:val="center"/>
          </w:tcPr>
          <w:p w14:paraId="4D521062" w14:textId="77777777" w:rsidR="005E48D0" w:rsidRPr="00CE4330" w:rsidRDefault="005E48D0" w:rsidP="005E48D0">
            <w:pPr>
              <w:pStyle w:val="TableTextNoSpace"/>
              <w:jc w:val="center"/>
              <w:rPr>
                <w:rFonts w:cs="Arial"/>
                <w:sz w:val="18"/>
                <w:szCs w:val="18"/>
              </w:rPr>
            </w:pPr>
          </w:p>
        </w:tc>
        <w:tc>
          <w:tcPr>
            <w:tcW w:w="123" w:type="pct"/>
            <w:tcBorders>
              <w:top w:val="single" w:sz="2" w:space="0" w:color="0067AB"/>
              <w:left w:val="single" w:sz="2" w:space="0" w:color="0067AB"/>
              <w:bottom w:val="single" w:sz="2" w:space="0" w:color="0067AB"/>
              <w:right w:val="single" w:sz="2" w:space="0" w:color="0067AB"/>
            </w:tcBorders>
            <w:vAlign w:val="center"/>
          </w:tcPr>
          <w:p w14:paraId="604B5697" w14:textId="77777777" w:rsidR="005E48D0" w:rsidRPr="00CE4330" w:rsidRDefault="005E48D0" w:rsidP="005E48D0">
            <w:pPr>
              <w:pStyle w:val="TableTextNoSpace"/>
              <w:jc w:val="center"/>
              <w:rPr>
                <w:rFonts w:cs="Arial"/>
                <w:sz w:val="18"/>
                <w:szCs w:val="18"/>
              </w:rPr>
            </w:pPr>
          </w:p>
        </w:tc>
      </w:tr>
      <w:tr w:rsidR="00153642" w14:paraId="3610E6DF" w14:textId="77777777" w:rsidTr="000C6C9E">
        <w:tc>
          <w:tcPr>
            <w:tcW w:w="783" w:type="pct"/>
            <w:tcBorders>
              <w:top w:val="single" w:sz="2" w:space="0" w:color="0067AB"/>
              <w:left w:val="single" w:sz="2" w:space="0" w:color="0067AB"/>
              <w:bottom w:val="single" w:sz="2" w:space="0" w:color="0067AB"/>
              <w:right w:val="single" w:sz="2" w:space="0" w:color="0067AB"/>
            </w:tcBorders>
          </w:tcPr>
          <w:p w14:paraId="23E17BC1" w14:textId="4D2C989F" w:rsidR="00153642" w:rsidRPr="00D60446" w:rsidRDefault="00153642" w:rsidP="00153642">
            <w:pPr>
              <w:pStyle w:val="TableTextNoSpace"/>
              <w:jc w:val="left"/>
              <w:rPr>
                <w:rFonts w:asciiTheme="minorHAnsi" w:hAnsiTheme="minorHAnsi"/>
                <w:sz w:val="18"/>
                <w:szCs w:val="18"/>
              </w:rPr>
            </w:pPr>
            <w:r>
              <w:rPr>
                <w:rFonts w:asciiTheme="minorHAnsi" w:hAnsiTheme="minorHAnsi"/>
                <w:sz w:val="18"/>
                <w:szCs w:val="18"/>
              </w:rPr>
              <w:t>EMFF</w:t>
            </w:r>
          </w:p>
        </w:tc>
        <w:tc>
          <w:tcPr>
            <w:tcW w:w="171" w:type="pct"/>
            <w:tcBorders>
              <w:top w:val="single" w:sz="2" w:space="0" w:color="0067AB"/>
              <w:left w:val="single" w:sz="2" w:space="0" w:color="0067AB"/>
              <w:bottom w:val="single" w:sz="2" w:space="0" w:color="0067AB"/>
              <w:right w:val="single" w:sz="2" w:space="0" w:color="0067AB"/>
            </w:tcBorders>
          </w:tcPr>
          <w:p w14:paraId="1C555B1B" w14:textId="6F89959D" w:rsidR="00153642" w:rsidRPr="00CE4330" w:rsidRDefault="00153642" w:rsidP="00153642">
            <w:pPr>
              <w:pStyle w:val="TableTextNoSpace"/>
              <w:jc w:val="center"/>
              <w:rPr>
                <w:rFonts w:cs="Arial"/>
                <w:sz w:val="18"/>
                <w:szCs w:val="18"/>
              </w:rPr>
            </w:pPr>
            <w:r w:rsidRPr="002B5565">
              <w:rPr>
                <w:rFonts w:cs="Arial"/>
                <w:sz w:val="18"/>
                <w:szCs w:val="18"/>
              </w:rPr>
              <w:t>x</w:t>
            </w:r>
          </w:p>
        </w:tc>
        <w:tc>
          <w:tcPr>
            <w:tcW w:w="172" w:type="pct"/>
            <w:tcBorders>
              <w:top w:val="single" w:sz="2" w:space="0" w:color="0067AB"/>
              <w:left w:val="single" w:sz="2" w:space="0" w:color="0067AB"/>
              <w:bottom w:val="single" w:sz="2" w:space="0" w:color="0067AB"/>
              <w:right w:val="single" w:sz="2" w:space="0" w:color="0067AB"/>
            </w:tcBorders>
          </w:tcPr>
          <w:p w14:paraId="1194D2EF" w14:textId="3512B668" w:rsidR="00153642" w:rsidRPr="00CE4330" w:rsidRDefault="00153642" w:rsidP="00153642">
            <w:pPr>
              <w:pStyle w:val="TableTextNoSpace"/>
              <w:jc w:val="center"/>
              <w:rPr>
                <w:rFonts w:cs="Arial"/>
                <w:sz w:val="18"/>
                <w:szCs w:val="18"/>
              </w:rPr>
            </w:pPr>
            <w:r w:rsidRPr="002B5565">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tcPr>
          <w:p w14:paraId="156CD02D" w14:textId="72A8C271" w:rsidR="00153642" w:rsidRPr="00CE4330" w:rsidRDefault="00153642" w:rsidP="00153642">
            <w:pPr>
              <w:pStyle w:val="TableTextNoSpace"/>
              <w:jc w:val="center"/>
              <w:rPr>
                <w:rFonts w:cs="Arial"/>
                <w:sz w:val="18"/>
                <w:szCs w:val="18"/>
              </w:rPr>
            </w:pPr>
            <w:r w:rsidRPr="002B5565">
              <w:rPr>
                <w:rFonts w:cs="Arial"/>
                <w:sz w:val="18"/>
                <w:szCs w:val="18"/>
              </w:rPr>
              <w:t>x</w:t>
            </w:r>
          </w:p>
        </w:tc>
        <w:tc>
          <w:tcPr>
            <w:tcW w:w="174" w:type="pct"/>
            <w:tcBorders>
              <w:top w:val="single" w:sz="2" w:space="0" w:color="0067AB"/>
              <w:left w:val="single" w:sz="2" w:space="0" w:color="0067AB"/>
              <w:bottom w:val="single" w:sz="2" w:space="0" w:color="0067AB"/>
              <w:right w:val="single" w:sz="12" w:space="0" w:color="0067AB"/>
            </w:tcBorders>
          </w:tcPr>
          <w:p w14:paraId="0A7B0E6A" w14:textId="3E3F8192" w:rsidR="00153642" w:rsidRPr="00CE4330" w:rsidRDefault="00153642" w:rsidP="00153642">
            <w:pPr>
              <w:pStyle w:val="TableTextNoSpace"/>
              <w:jc w:val="center"/>
              <w:rPr>
                <w:rFonts w:cs="Arial"/>
                <w:sz w:val="18"/>
                <w:szCs w:val="18"/>
              </w:rPr>
            </w:pPr>
            <w:r w:rsidRPr="002B5565">
              <w:rPr>
                <w:rFonts w:cs="Arial"/>
                <w:sz w:val="18"/>
                <w:szCs w:val="18"/>
              </w:rPr>
              <w:t>x</w:t>
            </w:r>
          </w:p>
        </w:tc>
        <w:tc>
          <w:tcPr>
            <w:tcW w:w="172" w:type="pct"/>
            <w:tcBorders>
              <w:top w:val="single" w:sz="2" w:space="0" w:color="0067AB"/>
              <w:left w:val="single" w:sz="12" w:space="0" w:color="0067AB"/>
              <w:bottom w:val="single" w:sz="2" w:space="0" w:color="0067AB"/>
              <w:right w:val="single" w:sz="2" w:space="0" w:color="0067AB"/>
            </w:tcBorders>
            <w:vAlign w:val="bottom"/>
          </w:tcPr>
          <w:p w14:paraId="2DE4B799" w14:textId="71E37515" w:rsidR="00153642" w:rsidRPr="00CE4330" w:rsidRDefault="00153642" w:rsidP="00153642">
            <w:pPr>
              <w:pStyle w:val="TableTextNoSpace"/>
              <w:jc w:val="center"/>
              <w:rPr>
                <w:rFonts w:cs="Arial"/>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bottom"/>
          </w:tcPr>
          <w:p w14:paraId="3A64402D" w14:textId="255A91D0" w:rsidR="00153642" w:rsidRPr="00CE4330" w:rsidRDefault="00153642" w:rsidP="00153642">
            <w:pPr>
              <w:pStyle w:val="TableTextNoSpace"/>
              <w:jc w:val="center"/>
              <w:rPr>
                <w:rFonts w:cs="Arial"/>
                <w:sz w:val="18"/>
                <w:szCs w:val="18"/>
              </w:rPr>
            </w:pPr>
            <w:r>
              <w:rPr>
                <w:rFonts w:cs="Arial"/>
                <w:sz w:val="18"/>
                <w:szCs w:val="18"/>
              </w:rPr>
              <w:t>x</w:t>
            </w:r>
          </w:p>
        </w:tc>
        <w:tc>
          <w:tcPr>
            <w:tcW w:w="172" w:type="pct"/>
            <w:tcBorders>
              <w:top w:val="single" w:sz="2" w:space="0" w:color="0067AB"/>
              <w:left w:val="single" w:sz="2" w:space="0" w:color="0067AB"/>
              <w:bottom w:val="single" w:sz="2" w:space="0" w:color="0067AB"/>
              <w:right w:val="single" w:sz="2" w:space="0" w:color="0067AB"/>
            </w:tcBorders>
          </w:tcPr>
          <w:p w14:paraId="32FEBECA" w14:textId="2409C063" w:rsidR="00153642" w:rsidRPr="00CE4330" w:rsidRDefault="00153642" w:rsidP="00153642">
            <w:pPr>
              <w:pStyle w:val="TableTextNoSpace"/>
              <w:jc w:val="center"/>
              <w:rPr>
                <w:rFonts w:cs="Arial"/>
                <w:sz w:val="18"/>
                <w:szCs w:val="18"/>
              </w:rPr>
            </w:pPr>
            <w:r w:rsidRPr="00E87D0C">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tcPr>
          <w:p w14:paraId="71EA06F3" w14:textId="4D880FEC" w:rsidR="00153642" w:rsidRPr="00CE4330" w:rsidRDefault="00153642" w:rsidP="00153642">
            <w:pPr>
              <w:pStyle w:val="TableTextNoSpace"/>
              <w:jc w:val="center"/>
              <w:rPr>
                <w:rFonts w:cs="Arial"/>
                <w:sz w:val="18"/>
                <w:szCs w:val="18"/>
              </w:rPr>
            </w:pPr>
            <w:r w:rsidRPr="00E87D0C">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bottom"/>
          </w:tcPr>
          <w:p w14:paraId="3A1981A1" w14:textId="77777777" w:rsidR="00153642" w:rsidRPr="00CE4330" w:rsidRDefault="00153642" w:rsidP="00153642">
            <w:pPr>
              <w:pStyle w:val="TableTextNoSpace"/>
              <w:jc w:val="center"/>
              <w:rPr>
                <w:rFonts w:cs="Arial"/>
                <w:sz w:val="18"/>
                <w:szCs w:val="18"/>
              </w:rPr>
            </w:pPr>
          </w:p>
        </w:tc>
        <w:tc>
          <w:tcPr>
            <w:tcW w:w="173" w:type="pct"/>
            <w:tcBorders>
              <w:top w:val="single" w:sz="2" w:space="0" w:color="0067AB"/>
              <w:left w:val="single" w:sz="2" w:space="0" w:color="0067AB"/>
              <w:bottom w:val="single" w:sz="2" w:space="0" w:color="0067AB"/>
              <w:right w:val="single" w:sz="2" w:space="0" w:color="0067AB"/>
            </w:tcBorders>
            <w:vAlign w:val="bottom"/>
          </w:tcPr>
          <w:p w14:paraId="7F8EBFF2" w14:textId="5DAE6864" w:rsidR="00153642" w:rsidRPr="00CE4330" w:rsidRDefault="00153642" w:rsidP="00153642">
            <w:pPr>
              <w:pStyle w:val="TableTextNoSpace"/>
              <w:jc w:val="center"/>
              <w:rPr>
                <w:rFonts w:cs="Arial"/>
                <w:sz w:val="18"/>
                <w:szCs w:val="18"/>
              </w:rPr>
            </w:pPr>
            <w:r w:rsidRPr="00CE4330">
              <w:rPr>
                <w:rFonts w:cs="Arial"/>
                <w:sz w:val="18"/>
                <w:szCs w:val="18"/>
              </w:rPr>
              <w:t>x</w:t>
            </w:r>
          </w:p>
        </w:tc>
        <w:tc>
          <w:tcPr>
            <w:tcW w:w="172" w:type="pct"/>
            <w:tcBorders>
              <w:top w:val="single" w:sz="2" w:space="0" w:color="0067AB"/>
              <w:left w:val="single" w:sz="2" w:space="0" w:color="0067AB"/>
              <w:bottom w:val="single" w:sz="2" w:space="0" w:color="0067AB"/>
              <w:right w:val="single" w:sz="12" w:space="0" w:color="0067AB"/>
            </w:tcBorders>
            <w:vAlign w:val="bottom"/>
          </w:tcPr>
          <w:p w14:paraId="2266AB8A" w14:textId="77777777" w:rsidR="00153642" w:rsidRPr="00CE4330" w:rsidRDefault="00153642" w:rsidP="00153642">
            <w:pPr>
              <w:pStyle w:val="TableTextNoSpace"/>
              <w:jc w:val="center"/>
              <w:rPr>
                <w:rFonts w:cs="Arial"/>
                <w:sz w:val="18"/>
                <w:szCs w:val="18"/>
              </w:rPr>
            </w:pPr>
          </w:p>
        </w:tc>
        <w:tc>
          <w:tcPr>
            <w:tcW w:w="174" w:type="pct"/>
            <w:gridSpan w:val="2"/>
            <w:tcBorders>
              <w:top w:val="single" w:sz="2" w:space="0" w:color="0067AB"/>
              <w:left w:val="single" w:sz="12" w:space="0" w:color="0067AB"/>
              <w:bottom w:val="single" w:sz="2" w:space="0" w:color="0067AB"/>
              <w:right w:val="single" w:sz="2" w:space="0" w:color="0067AB"/>
            </w:tcBorders>
          </w:tcPr>
          <w:p w14:paraId="57CF9417" w14:textId="4DB8D05E" w:rsidR="00153642" w:rsidRPr="00CE4330" w:rsidRDefault="00153642" w:rsidP="00153642">
            <w:pPr>
              <w:pStyle w:val="TableTextNoSpace"/>
              <w:jc w:val="center"/>
              <w:rPr>
                <w:rFonts w:cs="Arial"/>
                <w:sz w:val="18"/>
                <w:szCs w:val="18"/>
              </w:rPr>
            </w:pPr>
            <w:r w:rsidRPr="00552F66">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tcPr>
          <w:p w14:paraId="517110B8" w14:textId="1B4EDC84" w:rsidR="00153642" w:rsidRPr="00CE4330" w:rsidRDefault="00153642" w:rsidP="00153642">
            <w:pPr>
              <w:pStyle w:val="TableTextNoSpace"/>
              <w:jc w:val="center"/>
              <w:rPr>
                <w:rFonts w:cs="Arial"/>
                <w:sz w:val="18"/>
                <w:szCs w:val="18"/>
              </w:rPr>
            </w:pPr>
            <w:r w:rsidRPr="00552F66">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tcPr>
          <w:p w14:paraId="799B3EED" w14:textId="170F66CA" w:rsidR="00153642" w:rsidRPr="00CE4330" w:rsidRDefault="00153642" w:rsidP="00153642">
            <w:pPr>
              <w:pStyle w:val="TableTextNoSpace"/>
              <w:jc w:val="center"/>
              <w:rPr>
                <w:rFonts w:cs="Arial"/>
                <w:sz w:val="18"/>
                <w:szCs w:val="18"/>
              </w:rPr>
            </w:pPr>
            <w:r w:rsidRPr="00552F66">
              <w:rPr>
                <w:rFonts w:cs="Arial"/>
                <w:sz w:val="18"/>
                <w:szCs w:val="18"/>
              </w:rPr>
              <w:t>x</w:t>
            </w:r>
          </w:p>
        </w:tc>
        <w:tc>
          <w:tcPr>
            <w:tcW w:w="172" w:type="pct"/>
            <w:tcBorders>
              <w:top w:val="single" w:sz="2" w:space="0" w:color="0067AB"/>
              <w:left w:val="single" w:sz="2" w:space="0" w:color="0067AB"/>
              <w:bottom w:val="single" w:sz="2" w:space="0" w:color="0067AB"/>
              <w:right w:val="single" w:sz="2" w:space="0" w:color="0067AB"/>
            </w:tcBorders>
          </w:tcPr>
          <w:p w14:paraId="53CA135E" w14:textId="6EF06CBA" w:rsidR="00153642" w:rsidRPr="00CE4330" w:rsidRDefault="00153642" w:rsidP="00153642">
            <w:pPr>
              <w:pStyle w:val="TableTextNoSpace"/>
              <w:jc w:val="center"/>
              <w:rPr>
                <w:rFonts w:cs="Arial"/>
                <w:sz w:val="18"/>
                <w:szCs w:val="18"/>
              </w:rPr>
            </w:pPr>
            <w:r w:rsidRPr="00552F66">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tcPr>
          <w:p w14:paraId="0A55CE00" w14:textId="386A8F01" w:rsidR="00153642" w:rsidRPr="00CE4330" w:rsidRDefault="00153642" w:rsidP="00153642">
            <w:pPr>
              <w:pStyle w:val="TableTextNoSpace"/>
              <w:jc w:val="center"/>
              <w:rPr>
                <w:rFonts w:cs="Arial"/>
                <w:sz w:val="18"/>
                <w:szCs w:val="18"/>
              </w:rPr>
            </w:pPr>
            <w:r w:rsidRPr="00552F66">
              <w:rPr>
                <w:rFonts w:cs="Arial"/>
                <w:sz w:val="18"/>
                <w:szCs w:val="18"/>
              </w:rPr>
              <w:t>x</w:t>
            </w:r>
          </w:p>
        </w:tc>
        <w:tc>
          <w:tcPr>
            <w:tcW w:w="185" w:type="pct"/>
            <w:tcBorders>
              <w:top w:val="single" w:sz="2" w:space="0" w:color="0067AB"/>
              <w:left w:val="single" w:sz="2" w:space="0" w:color="0067AB"/>
              <w:bottom w:val="single" w:sz="2" w:space="0" w:color="0067AB"/>
              <w:right w:val="single" w:sz="2" w:space="0" w:color="0067AB"/>
            </w:tcBorders>
          </w:tcPr>
          <w:p w14:paraId="18CC891B" w14:textId="1FA9E8DB" w:rsidR="00153642" w:rsidRPr="00CE4330" w:rsidRDefault="00153642" w:rsidP="00153642">
            <w:pPr>
              <w:pStyle w:val="TableTextNoSpace"/>
              <w:jc w:val="center"/>
              <w:rPr>
                <w:rFonts w:cs="Arial"/>
                <w:sz w:val="18"/>
                <w:szCs w:val="18"/>
              </w:rPr>
            </w:pPr>
            <w:r w:rsidRPr="00EF6A9D">
              <w:rPr>
                <w:rFonts w:cs="Arial"/>
                <w:b/>
                <w:sz w:val="18"/>
                <w:szCs w:val="18"/>
              </w:rPr>
              <w:t>X</w:t>
            </w:r>
          </w:p>
        </w:tc>
        <w:tc>
          <w:tcPr>
            <w:tcW w:w="177" w:type="pct"/>
            <w:tcBorders>
              <w:top w:val="single" w:sz="2" w:space="0" w:color="0067AB"/>
              <w:left w:val="single" w:sz="2" w:space="0" w:color="0067AB"/>
              <w:bottom w:val="single" w:sz="2" w:space="0" w:color="0067AB"/>
              <w:right w:val="single" w:sz="2" w:space="0" w:color="0067AB"/>
            </w:tcBorders>
          </w:tcPr>
          <w:p w14:paraId="79B47FA3" w14:textId="53985EBB" w:rsidR="00153642" w:rsidRPr="00CE4330" w:rsidRDefault="00153642" w:rsidP="00153642">
            <w:pPr>
              <w:pStyle w:val="TableTextNoSpace"/>
              <w:jc w:val="center"/>
              <w:rPr>
                <w:rFonts w:cs="Arial"/>
                <w:sz w:val="18"/>
                <w:szCs w:val="18"/>
              </w:rPr>
            </w:pPr>
            <w:r w:rsidRPr="00CE4330">
              <w:rPr>
                <w:rFonts w:cs="Arial"/>
                <w:sz w:val="18"/>
                <w:szCs w:val="18"/>
              </w:rPr>
              <w:t>x</w:t>
            </w:r>
          </w:p>
        </w:tc>
        <w:tc>
          <w:tcPr>
            <w:tcW w:w="171" w:type="pct"/>
            <w:tcBorders>
              <w:top w:val="single" w:sz="2" w:space="0" w:color="0067AB"/>
              <w:left w:val="single" w:sz="2" w:space="0" w:color="0067AB"/>
              <w:bottom w:val="single" w:sz="2" w:space="0" w:color="0067AB"/>
              <w:right w:val="single" w:sz="2" w:space="0" w:color="0067AB"/>
            </w:tcBorders>
          </w:tcPr>
          <w:p w14:paraId="1C917E36" w14:textId="1C6089BD" w:rsidR="00153642" w:rsidRPr="00CE4330" w:rsidRDefault="00153642" w:rsidP="00153642">
            <w:pPr>
              <w:pStyle w:val="TableTextNoSpace"/>
              <w:jc w:val="center"/>
              <w:rPr>
                <w:rFonts w:cs="Arial"/>
                <w:sz w:val="18"/>
                <w:szCs w:val="18"/>
              </w:rPr>
            </w:pPr>
            <w:r w:rsidRPr="00EF6A9D">
              <w:rPr>
                <w:rFonts w:cs="Arial"/>
                <w:b/>
                <w:sz w:val="18"/>
                <w:szCs w:val="18"/>
              </w:rPr>
              <w:t>X</w:t>
            </w:r>
          </w:p>
        </w:tc>
        <w:tc>
          <w:tcPr>
            <w:tcW w:w="171" w:type="pct"/>
            <w:tcBorders>
              <w:top w:val="single" w:sz="2" w:space="0" w:color="0067AB"/>
              <w:left w:val="single" w:sz="2" w:space="0" w:color="0067AB"/>
              <w:bottom w:val="single" w:sz="2" w:space="0" w:color="0067AB"/>
              <w:right w:val="single" w:sz="2" w:space="0" w:color="0067AB"/>
            </w:tcBorders>
          </w:tcPr>
          <w:p w14:paraId="14A3A9F9" w14:textId="54C7E422" w:rsidR="00153642" w:rsidRPr="00CE4330" w:rsidRDefault="00153642" w:rsidP="00153642">
            <w:pPr>
              <w:pStyle w:val="TableTextNoSpace"/>
              <w:jc w:val="center"/>
              <w:rPr>
                <w:rFonts w:cs="Arial"/>
                <w:sz w:val="18"/>
                <w:szCs w:val="18"/>
              </w:rPr>
            </w:pPr>
            <w:r w:rsidRPr="00EF6A9D">
              <w:rPr>
                <w:rFonts w:cs="Arial"/>
                <w:b/>
                <w:sz w:val="18"/>
                <w:szCs w:val="18"/>
              </w:rPr>
              <w:t>X</w:t>
            </w:r>
          </w:p>
        </w:tc>
        <w:tc>
          <w:tcPr>
            <w:tcW w:w="167" w:type="pct"/>
            <w:tcBorders>
              <w:top w:val="single" w:sz="2" w:space="0" w:color="0067AB"/>
              <w:left w:val="single" w:sz="2" w:space="0" w:color="0067AB"/>
              <w:bottom w:val="single" w:sz="2" w:space="0" w:color="0067AB"/>
              <w:right w:val="single" w:sz="12" w:space="0" w:color="0067AB"/>
            </w:tcBorders>
          </w:tcPr>
          <w:p w14:paraId="65BC6C74" w14:textId="5E7CCCEC" w:rsidR="00153642" w:rsidRPr="00CE4330" w:rsidRDefault="00153642" w:rsidP="00153642">
            <w:pPr>
              <w:pStyle w:val="TableTextNoSpace"/>
              <w:jc w:val="center"/>
              <w:rPr>
                <w:rFonts w:cs="Arial"/>
                <w:sz w:val="18"/>
                <w:szCs w:val="18"/>
              </w:rPr>
            </w:pPr>
            <w:r w:rsidRPr="00EF6A9D">
              <w:rPr>
                <w:rFonts w:cs="Arial"/>
                <w:b/>
                <w:sz w:val="18"/>
                <w:szCs w:val="18"/>
              </w:rPr>
              <w:t>X</w:t>
            </w:r>
          </w:p>
        </w:tc>
        <w:tc>
          <w:tcPr>
            <w:tcW w:w="159" w:type="pct"/>
            <w:tcBorders>
              <w:top w:val="single" w:sz="2" w:space="0" w:color="0067AB"/>
              <w:left w:val="single" w:sz="12" w:space="0" w:color="0067AB"/>
              <w:bottom w:val="single" w:sz="2" w:space="0" w:color="0067AB"/>
              <w:right w:val="single" w:sz="2" w:space="0" w:color="0067AB"/>
            </w:tcBorders>
          </w:tcPr>
          <w:p w14:paraId="0899846C" w14:textId="2E207545" w:rsidR="00153642" w:rsidRPr="00CE4330" w:rsidRDefault="00153642" w:rsidP="00153642">
            <w:pPr>
              <w:pStyle w:val="TableTextNoSpace"/>
              <w:jc w:val="center"/>
              <w:rPr>
                <w:rFonts w:cs="Arial"/>
                <w:sz w:val="18"/>
                <w:szCs w:val="18"/>
              </w:rPr>
            </w:pPr>
            <w:r w:rsidRPr="00EF6A9D">
              <w:rPr>
                <w:rFonts w:cs="Arial"/>
                <w:b/>
                <w:sz w:val="18"/>
                <w:szCs w:val="18"/>
              </w:rPr>
              <w:t>X</w:t>
            </w:r>
          </w:p>
        </w:tc>
        <w:tc>
          <w:tcPr>
            <w:tcW w:w="154" w:type="pct"/>
            <w:tcBorders>
              <w:top w:val="single" w:sz="2" w:space="0" w:color="0067AB"/>
              <w:left w:val="single" w:sz="2" w:space="0" w:color="0067AB"/>
              <w:bottom w:val="single" w:sz="2" w:space="0" w:color="0067AB"/>
              <w:right w:val="single" w:sz="2" w:space="0" w:color="0067AB"/>
            </w:tcBorders>
          </w:tcPr>
          <w:p w14:paraId="0479D464" w14:textId="59574875" w:rsidR="00153642" w:rsidRPr="00CE4330" w:rsidRDefault="00153642" w:rsidP="00153642">
            <w:pPr>
              <w:pStyle w:val="TableTextNoSpace"/>
              <w:jc w:val="center"/>
              <w:rPr>
                <w:rFonts w:cs="Arial"/>
                <w:sz w:val="18"/>
                <w:szCs w:val="18"/>
              </w:rPr>
            </w:pPr>
            <w:r w:rsidRPr="00EF6A9D">
              <w:rPr>
                <w:rFonts w:cs="Arial"/>
                <w:b/>
                <w:sz w:val="18"/>
                <w:szCs w:val="18"/>
              </w:rPr>
              <w:t>X</w:t>
            </w:r>
          </w:p>
        </w:tc>
        <w:tc>
          <w:tcPr>
            <w:tcW w:w="147" w:type="pct"/>
            <w:tcBorders>
              <w:top w:val="single" w:sz="2" w:space="0" w:color="0067AB"/>
              <w:left w:val="single" w:sz="2" w:space="0" w:color="0067AB"/>
              <w:bottom w:val="single" w:sz="2" w:space="0" w:color="0067AB"/>
              <w:right w:val="single" w:sz="2" w:space="0" w:color="0067AB"/>
            </w:tcBorders>
          </w:tcPr>
          <w:p w14:paraId="50D5B9CC" w14:textId="4CCC071A" w:rsidR="00153642" w:rsidRPr="00CE4330" w:rsidRDefault="00153642" w:rsidP="00153642">
            <w:pPr>
              <w:pStyle w:val="TableTextNoSpace"/>
              <w:jc w:val="center"/>
              <w:rPr>
                <w:rFonts w:cs="Arial"/>
                <w:sz w:val="18"/>
                <w:szCs w:val="18"/>
              </w:rPr>
            </w:pPr>
            <w:r w:rsidRPr="00CE4330">
              <w:rPr>
                <w:rFonts w:cs="Arial"/>
                <w:sz w:val="18"/>
                <w:szCs w:val="18"/>
              </w:rPr>
              <w:t>x</w:t>
            </w:r>
          </w:p>
        </w:tc>
        <w:tc>
          <w:tcPr>
            <w:tcW w:w="123" w:type="pct"/>
            <w:tcBorders>
              <w:top w:val="single" w:sz="2" w:space="0" w:color="0067AB"/>
              <w:left w:val="single" w:sz="2" w:space="0" w:color="0067AB"/>
              <w:bottom w:val="single" w:sz="2" w:space="0" w:color="0067AB"/>
              <w:right w:val="single" w:sz="2" w:space="0" w:color="0067AB"/>
            </w:tcBorders>
            <w:vAlign w:val="center"/>
          </w:tcPr>
          <w:p w14:paraId="3245AD2A" w14:textId="77777777" w:rsidR="00153642" w:rsidRPr="00CE4330" w:rsidRDefault="00153642" w:rsidP="00153642">
            <w:pPr>
              <w:pStyle w:val="TableTextNoSpace"/>
              <w:jc w:val="center"/>
              <w:rPr>
                <w:rFonts w:cs="Arial"/>
                <w:sz w:val="18"/>
                <w:szCs w:val="18"/>
              </w:rPr>
            </w:pPr>
          </w:p>
        </w:tc>
      </w:tr>
      <w:tr w:rsidR="005E48D0" w14:paraId="394E3E96" w14:textId="77777777" w:rsidTr="00F24942">
        <w:tc>
          <w:tcPr>
            <w:tcW w:w="783" w:type="pct"/>
            <w:tcBorders>
              <w:top w:val="single" w:sz="2" w:space="0" w:color="0067AB"/>
              <w:left w:val="single" w:sz="2" w:space="0" w:color="0067AB"/>
              <w:bottom w:val="single" w:sz="2" w:space="0" w:color="0067AB"/>
              <w:right w:val="single" w:sz="2" w:space="0" w:color="0067AB"/>
            </w:tcBorders>
          </w:tcPr>
          <w:p w14:paraId="77D353CF" w14:textId="0635D170" w:rsidR="005E48D0" w:rsidRPr="00D60446" w:rsidRDefault="005E48D0" w:rsidP="00120495">
            <w:pPr>
              <w:pStyle w:val="TableTextNoSpace"/>
              <w:jc w:val="left"/>
              <w:rPr>
                <w:rFonts w:asciiTheme="minorHAnsi" w:hAnsiTheme="minorHAnsi"/>
                <w:sz w:val="18"/>
                <w:szCs w:val="18"/>
              </w:rPr>
            </w:pPr>
            <w:r>
              <w:rPr>
                <w:rFonts w:asciiTheme="minorHAnsi" w:hAnsiTheme="minorHAnsi"/>
                <w:sz w:val="18"/>
                <w:szCs w:val="18"/>
              </w:rPr>
              <w:t>ERDF</w:t>
            </w:r>
          </w:p>
        </w:tc>
        <w:tc>
          <w:tcPr>
            <w:tcW w:w="171" w:type="pct"/>
            <w:tcBorders>
              <w:top w:val="single" w:sz="2" w:space="0" w:color="0067AB"/>
              <w:left w:val="single" w:sz="2" w:space="0" w:color="0067AB"/>
              <w:bottom w:val="single" w:sz="2" w:space="0" w:color="0067AB"/>
              <w:right w:val="single" w:sz="2" w:space="0" w:color="0067AB"/>
            </w:tcBorders>
            <w:vAlign w:val="bottom"/>
          </w:tcPr>
          <w:p w14:paraId="014336E5" w14:textId="22AEC8F5" w:rsidR="005E48D0" w:rsidRPr="00CE4330" w:rsidRDefault="005E48D0" w:rsidP="005E48D0">
            <w:pPr>
              <w:pStyle w:val="TableTextNoSpace"/>
              <w:jc w:val="center"/>
              <w:rPr>
                <w:rFonts w:cs="Arial"/>
                <w:sz w:val="18"/>
                <w:szCs w:val="18"/>
              </w:rPr>
            </w:pPr>
            <w:r w:rsidRPr="00CE4330">
              <w:rPr>
                <w:rFonts w:cs="Arial"/>
                <w:sz w:val="18"/>
                <w:szCs w:val="18"/>
              </w:rPr>
              <w:t>x</w:t>
            </w:r>
          </w:p>
        </w:tc>
        <w:tc>
          <w:tcPr>
            <w:tcW w:w="172" w:type="pct"/>
            <w:tcBorders>
              <w:top w:val="single" w:sz="2" w:space="0" w:color="0067AB"/>
              <w:left w:val="single" w:sz="2" w:space="0" w:color="0067AB"/>
              <w:bottom w:val="single" w:sz="2" w:space="0" w:color="0067AB"/>
              <w:right w:val="single" w:sz="2" w:space="0" w:color="0067AB"/>
            </w:tcBorders>
          </w:tcPr>
          <w:p w14:paraId="0A9DAB10" w14:textId="117F343B" w:rsidR="005E48D0" w:rsidRPr="00CE4330" w:rsidRDefault="00153642" w:rsidP="005E48D0">
            <w:pPr>
              <w:pStyle w:val="TableTextNoSpace"/>
              <w:jc w:val="center"/>
              <w:rPr>
                <w:rFonts w:cs="Arial"/>
                <w:sz w:val="18"/>
                <w:szCs w:val="18"/>
              </w:rPr>
            </w:pPr>
            <w:r w:rsidRPr="00CE4330">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tcPr>
          <w:p w14:paraId="5DB83D4F" w14:textId="5918B27D" w:rsidR="005E48D0" w:rsidRPr="00CE4330" w:rsidRDefault="005E48D0" w:rsidP="005E48D0">
            <w:pPr>
              <w:pStyle w:val="TableTextNoSpace"/>
              <w:jc w:val="center"/>
              <w:rPr>
                <w:rFonts w:cs="Arial"/>
                <w:sz w:val="18"/>
                <w:szCs w:val="18"/>
              </w:rPr>
            </w:pPr>
            <w:r w:rsidRPr="00CE4330">
              <w:rPr>
                <w:rFonts w:cs="Arial"/>
                <w:sz w:val="18"/>
                <w:szCs w:val="18"/>
              </w:rPr>
              <w:t>x</w:t>
            </w:r>
          </w:p>
        </w:tc>
        <w:tc>
          <w:tcPr>
            <w:tcW w:w="174" w:type="pct"/>
            <w:tcBorders>
              <w:top w:val="single" w:sz="2" w:space="0" w:color="0067AB"/>
              <w:left w:val="single" w:sz="2" w:space="0" w:color="0067AB"/>
              <w:bottom w:val="single" w:sz="2" w:space="0" w:color="0067AB"/>
              <w:right w:val="single" w:sz="12" w:space="0" w:color="0067AB"/>
            </w:tcBorders>
          </w:tcPr>
          <w:p w14:paraId="0014E365" w14:textId="27F07895" w:rsidR="005E48D0" w:rsidRPr="00CE4330" w:rsidRDefault="005E48D0" w:rsidP="005E48D0">
            <w:pPr>
              <w:pStyle w:val="TableTextNoSpace"/>
              <w:jc w:val="center"/>
              <w:rPr>
                <w:rFonts w:cs="Arial"/>
                <w:sz w:val="18"/>
                <w:szCs w:val="18"/>
              </w:rPr>
            </w:pPr>
            <w:r w:rsidRPr="00CE4330">
              <w:rPr>
                <w:rFonts w:cs="Arial"/>
                <w:sz w:val="18"/>
                <w:szCs w:val="18"/>
              </w:rPr>
              <w:t>x</w:t>
            </w:r>
          </w:p>
        </w:tc>
        <w:tc>
          <w:tcPr>
            <w:tcW w:w="172" w:type="pct"/>
            <w:tcBorders>
              <w:top w:val="single" w:sz="2" w:space="0" w:color="0067AB"/>
              <w:left w:val="single" w:sz="12" w:space="0" w:color="0067AB"/>
              <w:bottom w:val="single" w:sz="2" w:space="0" w:color="0067AB"/>
              <w:right w:val="single" w:sz="2" w:space="0" w:color="0067AB"/>
            </w:tcBorders>
          </w:tcPr>
          <w:p w14:paraId="3C6453D6" w14:textId="1844D85A" w:rsidR="005E48D0" w:rsidRPr="00CE4330" w:rsidRDefault="005E48D0" w:rsidP="005E48D0">
            <w:pPr>
              <w:pStyle w:val="TableTextNoSpace"/>
              <w:jc w:val="center"/>
              <w:rPr>
                <w:rFonts w:cs="Arial"/>
                <w:sz w:val="18"/>
                <w:szCs w:val="18"/>
              </w:rPr>
            </w:pPr>
            <w:r w:rsidRPr="00CE4330">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tcPr>
          <w:p w14:paraId="6FF110C8" w14:textId="6153451C" w:rsidR="005E48D0" w:rsidRPr="00CE4330" w:rsidRDefault="005E48D0" w:rsidP="005E48D0">
            <w:pPr>
              <w:pStyle w:val="TableTextNoSpace"/>
              <w:jc w:val="center"/>
              <w:rPr>
                <w:rFonts w:cs="Arial"/>
                <w:sz w:val="18"/>
                <w:szCs w:val="18"/>
              </w:rPr>
            </w:pPr>
            <w:r w:rsidRPr="00CE4330">
              <w:rPr>
                <w:rFonts w:cs="Arial"/>
                <w:sz w:val="18"/>
                <w:szCs w:val="18"/>
              </w:rPr>
              <w:t>x</w:t>
            </w:r>
          </w:p>
        </w:tc>
        <w:tc>
          <w:tcPr>
            <w:tcW w:w="172" w:type="pct"/>
            <w:tcBorders>
              <w:top w:val="single" w:sz="2" w:space="0" w:color="0067AB"/>
              <w:left w:val="single" w:sz="2" w:space="0" w:color="0067AB"/>
              <w:bottom w:val="single" w:sz="2" w:space="0" w:color="0067AB"/>
              <w:right w:val="single" w:sz="2" w:space="0" w:color="0067AB"/>
            </w:tcBorders>
          </w:tcPr>
          <w:p w14:paraId="0E1DC08B" w14:textId="5A9D4820" w:rsidR="005E48D0" w:rsidRPr="00CE4330" w:rsidRDefault="005E48D0" w:rsidP="005E48D0">
            <w:pPr>
              <w:pStyle w:val="TableTextNoSpace"/>
              <w:jc w:val="center"/>
              <w:rPr>
                <w:rFonts w:cs="Arial"/>
                <w:sz w:val="18"/>
                <w:szCs w:val="18"/>
              </w:rPr>
            </w:pPr>
            <w:r w:rsidRPr="00CE4330">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tcPr>
          <w:p w14:paraId="26705FF3" w14:textId="0EDB4FAB" w:rsidR="005E48D0" w:rsidRPr="00CE4330" w:rsidRDefault="005E48D0" w:rsidP="005E48D0">
            <w:pPr>
              <w:pStyle w:val="TableTextNoSpace"/>
              <w:jc w:val="center"/>
              <w:rPr>
                <w:rFonts w:cs="Arial"/>
                <w:sz w:val="18"/>
                <w:szCs w:val="18"/>
              </w:rPr>
            </w:pPr>
            <w:r w:rsidRPr="00CE4330">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tcPr>
          <w:p w14:paraId="401DC3BF" w14:textId="2C70128F" w:rsidR="005E48D0" w:rsidRPr="00CE4330" w:rsidRDefault="005E48D0" w:rsidP="005E48D0">
            <w:pPr>
              <w:pStyle w:val="TableTextNoSpace"/>
              <w:jc w:val="center"/>
              <w:rPr>
                <w:rFonts w:cs="Arial"/>
                <w:sz w:val="18"/>
                <w:szCs w:val="18"/>
              </w:rPr>
            </w:pPr>
            <w:r w:rsidRPr="00CE4330">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tcPr>
          <w:p w14:paraId="50EB4164" w14:textId="18F30C47" w:rsidR="005E48D0" w:rsidRPr="00CE4330" w:rsidRDefault="005E48D0" w:rsidP="005E48D0">
            <w:pPr>
              <w:pStyle w:val="TableTextNoSpace"/>
              <w:jc w:val="center"/>
              <w:rPr>
                <w:rFonts w:cs="Arial"/>
                <w:sz w:val="18"/>
                <w:szCs w:val="18"/>
              </w:rPr>
            </w:pPr>
            <w:r w:rsidRPr="00CE4330">
              <w:rPr>
                <w:rFonts w:cs="Arial"/>
                <w:sz w:val="18"/>
                <w:szCs w:val="18"/>
              </w:rPr>
              <w:t>x</w:t>
            </w:r>
          </w:p>
        </w:tc>
        <w:tc>
          <w:tcPr>
            <w:tcW w:w="172" w:type="pct"/>
            <w:tcBorders>
              <w:top w:val="single" w:sz="2" w:space="0" w:color="0067AB"/>
              <w:left w:val="single" w:sz="2" w:space="0" w:color="0067AB"/>
              <w:bottom w:val="single" w:sz="2" w:space="0" w:color="0067AB"/>
              <w:right w:val="single" w:sz="12" w:space="0" w:color="0067AB"/>
            </w:tcBorders>
          </w:tcPr>
          <w:p w14:paraId="6C386C59" w14:textId="3F2AC27B" w:rsidR="005E48D0" w:rsidRPr="00CE4330" w:rsidRDefault="005E48D0" w:rsidP="005E48D0">
            <w:pPr>
              <w:pStyle w:val="TableTextNoSpace"/>
              <w:jc w:val="center"/>
              <w:rPr>
                <w:rFonts w:cs="Arial"/>
                <w:sz w:val="18"/>
                <w:szCs w:val="18"/>
              </w:rPr>
            </w:pPr>
            <w:r w:rsidRPr="00CE4330">
              <w:rPr>
                <w:rFonts w:cs="Arial"/>
                <w:sz w:val="18"/>
                <w:szCs w:val="18"/>
              </w:rPr>
              <w:t>x</w:t>
            </w:r>
          </w:p>
        </w:tc>
        <w:tc>
          <w:tcPr>
            <w:tcW w:w="174" w:type="pct"/>
            <w:gridSpan w:val="2"/>
            <w:tcBorders>
              <w:top w:val="single" w:sz="2" w:space="0" w:color="0067AB"/>
              <w:left w:val="single" w:sz="12" w:space="0" w:color="0067AB"/>
              <w:bottom w:val="single" w:sz="2" w:space="0" w:color="0067AB"/>
              <w:right w:val="single" w:sz="2" w:space="0" w:color="0067AB"/>
            </w:tcBorders>
          </w:tcPr>
          <w:p w14:paraId="4BA17610" w14:textId="6673B57C" w:rsidR="005E48D0" w:rsidRPr="00CE4330" w:rsidRDefault="005E48D0" w:rsidP="005E48D0">
            <w:pPr>
              <w:pStyle w:val="TableTextNoSpace"/>
              <w:jc w:val="center"/>
              <w:rPr>
                <w:rFonts w:cs="Arial"/>
                <w:sz w:val="18"/>
                <w:szCs w:val="18"/>
              </w:rPr>
            </w:pPr>
            <w:r w:rsidRPr="00CE4330">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tcPr>
          <w:p w14:paraId="0C3B14AA" w14:textId="000636DC" w:rsidR="005E48D0" w:rsidRPr="00CE4330" w:rsidRDefault="005E48D0" w:rsidP="005E48D0">
            <w:pPr>
              <w:pStyle w:val="TableTextNoSpace"/>
              <w:jc w:val="center"/>
              <w:rPr>
                <w:rFonts w:cs="Arial"/>
                <w:sz w:val="18"/>
                <w:szCs w:val="18"/>
              </w:rPr>
            </w:pPr>
            <w:r w:rsidRPr="00CE4330">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tcPr>
          <w:p w14:paraId="519470DC" w14:textId="09733D1D" w:rsidR="005E48D0" w:rsidRPr="00CE4330" w:rsidRDefault="005E48D0" w:rsidP="005E48D0">
            <w:pPr>
              <w:pStyle w:val="TableTextNoSpace"/>
              <w:jc w:val="center"/>
              <w:rPr>
                <w:rFonts w:cs="Arial"/>
                <w:sz w:val="18"/>
                <w:szCs w:val="18"/>
              </w:rPr>
            </w:pPr>
            <w:r w:rsidRPr="00CE4330">
              <w:rPr>
                <w:rFonts w:cs="Arial"/>
                <w:sz w:val="18"/>
                <w:szCs w:val="18"/>
              </w:rPr>
              <w:t>x</w:t>
            </w:r>
          </w:p>
        </w:tc>
        <w:tc>
          <w:tcPr>
            <w:tcW w:w="172" w:type="pct"/>
            <w:tcBorders>
              <w:top w:val="single" w:sz="2" w:space="0" w:color="0067AB"/>
              <w:left w:val="single" w:sz="2" w:space="0" w:color="0067AB"/>
              <w:bottom w:val="single" w:sz="2" w:space="0" w:color="0067AB"/>
              <w:right w:val="single" w:sz="2" w:space="0" w:color="0067AB"/>
            </w:tcBorders>
          </w:tcPr>
          <w:p w14:paraId="46BA7D1E" w14:textId="7A87B38B" w:rsidR="005E48D0" w:rsidRPr="00CE4330" w:rsidRDefault="005E48D0" w:rsidP="005E48D0">
            <w:pPr>
              <w:pStyle w:val="TableTextNoSpace"/>
              <w:jc w:val="center"/>
              <w:rPr>
                <w:rFonts w:cs="Arial"/>
                <w:sz w:val="18"/>
                <w:szCs w:val="18"/>
              </w:rPr>
            </w:pPr>
            <w:r w:rsidRPr="00CE4330">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tcPr>
          <w:p w14:paraId="7B5EAF87" w14:textId="6C517722" w:rsidR="005E48D0" w:rsidRPr="00CE4330" w:rsidRDefault="005E48D0" w:rsidP="005E48D0">
            <w:pPr>
              <w:pStyle w:val="TableTextNoSpace"/>
              <w:jc w:val="center"/>
              <w:rPr>
                <w:rFonts w:cs="Arial"/>
                <w:sz w:val="18"/>
                <w:szCs w:val="18"/>
              </w:rPr>
            </w:pPr>
            <w:r w:rsidRPr="00CE4330">
              <w:rPr>
                <w:rFonts w:cs="Arial"/>
                <w:sz w:val="18"/>
                <w:szCs w:val="18"/>
              </w:rPr>
              <w:t>x</w:t>
            </w:r>
          </w:p>
        </w:tc>
        <w:tc>
          <w:tcPr>
            <w:tcW w:w="185" w:type="pct"/>
            <w:tcBorders>
              <w:top w:val="single" w:sz="2" w:space="0" w:color="0067AB"/>
              <w:left w:val="single" w:sz="2" w:space="0" w:color="0067AB"/>
              <w:bottom w:val="single" w:sz="2" w:space="0" w:color="0067AB"/>
              <w:right w:val="single" w:sz="2" w:space="0" w:color="0067AB"/>
            </w:tcBorders>
          </w:tcPr>
          <w:p w14:paraId="7A80C0C1" w14:textId="19DFA2B8" w:rsidR="005E48D0" w:rsidRPr="00CE4330" w:rsidRDefault="005E48D0" w:rsidP="005E48D0">
            <w:pPr>
              <w:pStyle w:val="TableTextNoSpace"/>
              <w:jc w:val="center"/>
              <w:rPr>
                <w:rFonts w:cs="Arial"/>
                <w:sz w:val="18"/>
                <w:szCs w:val="18"/>
              </w:rPr>
            </w:pPr>
            <w:r w:rsidRPr="00CE4330">
              <w:rPr>
                <w:rFonts w:cs="Arial"/>
                <w:sz w:val="18"/>
                <w:szCs w:val="18"/>
              </w:rPr>
              <w:t>x</w:t>
            </w:r>
          </w:p>
        </w:tc>
        <w:tc>
          <w:tcPr>
            <w:tcW w:w="177" w:type="pct"/>
            <w:tcBorders>
              <w:top w:val="single" w:sz="2" w:space="0" w:color="0067AB"/>
              <w:left w:val="single" w:sz="2" w:space="0" w:color="0067AB"/>
              <w:bottom w:val="single" w:sz="2" w:space="0" w:color="0067AB"/>
              <w:right w:val="single" w:sz="2" w:space="0" w:color="0067AB"/>
            </w:tcBorders>
          </w:tcPr>
          <w:p w14:paraId="386FAFEA" w14:textId="3C79D986" w:rsidR="005E48D0" w:rsidRPr="00CE4330" w:rsidRDefault="005E48D0" w:rsidP="005E48D0">
            <w:pPr>
              <w:pStyle w:val="TableTextNoSpace"/>
              <w:jc w:val="center"/>
              <w:rPr>
                <w:rFonts w:cs="Arial"/>
                <w:sz w:val="18"/>
                <w:szCs w:val="18"/>
              </w:rPr>
            </w:pPr>
            <w:r w:rsidRPr="00CE4330">
              <w:rPr>
                <w:rFonts w:cs="Arial"/>
                <w:sz w:val="18"/>
                <w:szCs w:val="18"/>
              </w:rPr>
              <w:t>x</w:t>
            </w:r>
          </w:p>
        </w:tc>
        <w:tc>
          <w:tcPr>
            <w:tcW w:w="171" w:type="pct"/>
            <w:tcBorders>
              <w:top w:val="single" w:sz="2" w:space="0" w:color="0067AB"/>
              <w:left w:val="single" w:sz="2" w:space="0" w:color="0067AB"/>
              <w:bottom w:val="single" w:sz="2" w:space="0" w:color="0067AB"/>
              <w:right w:val="single" w:sz="2" w:space="0" w:color="0067AB"/>
            </w:tcBorders>
          </w:tcPr>
          <w:p w14:paraId="2FBC6AF7" w14:textId="2DB6A03F" w:rsidR="005E48D0" w:rsidRPr="00CE4330" w:rsidRDefault="005E48D0" w:rsidP="005E48D0">
            <w:pPr>
              <w:pStyle w:val="TableTextNoSpace"/>
              <w:jc w:val="center"/>
              <w:rPr>
                <w:rFonts w:cs="Arial"/>
                <w:sz w:val="18"/>
                <w:szCs w:val="18"/>
              </w:rPr>
            </w:pPr>
            <w:r w:rsidRPr="00CE4330">
              <w:rPr>
                <w:rFonts w:cs="Arial"/>
                <w:sz w:val="18"/>
                <w:szCs w:val="18"/>
              </w:rPr>
              <w:t>x</w:t>
            </w:r>
          </w:p>
        </w:tc>
        <w:tc>
          <w:tcPr>
            <w:tcW w:w="171" w:type="pct"/>
            <w:tcBorders>
              <w:top w:val="single" w:sz="2" w:space="0" w:color="0067AB"/>
              <w:left w:val="single" w:sz="2" w:space="0" w:color="0067AB"/>
              <w:bottom w:val="single" w:sz="2" w:space="0" w:color="0067AB"/>
              <w:right w:val="single" w:sz="2" w:space="0" w:color="0067AB"/>
            </w:tcBorders>
          </w:tcPr>
          <w:p w14:paraId="6A606017" w14:textId="557A0484" w:rsidR="005E48D0" w:rsidRPr="00CE4330" w:rsidRDefault="005E48D0" w:rsidP="005E48D0">
            <w:pPr>
              <w:pStyle w:val="TableTextNoSpace"/>
              <w:jc w:val="center"/>
              <w:rPr>
                <w:rFonts w:cs="Arial"/>
                <w:sz w:val="18"/>
                <w:szCs w:val="18"/>
              </w:rPr>
            </w:pPr>
            <w:r w:rsidRPr="00CE4330">
              <w:rPr>
                <w:rFonts w:cs="Arial"/>
                <w:sz w:val="18"/>
                <w:szCs w:val="18"/>
              </w:rPr>
              <w:t>x</w:t>
            </w:r>
          </w:p>
        </w:tc>
        <w:tc>
          <w:tcPr>
            <w:tcW w:w="167" w:type="pct"/>
            <w:tcBorders>
              <w:top w:val="single" w:sz="2" w:space="0" w:color="0067AB"/>
              <w:left w:val="single" w:sz="2" w:space="0" w:color="0067AB"/>
              <w:bottom w:val="single" w:sz="2" w:space="0" w:color="0067AB"/>
              <w:right w:val="single" w:sz="12" w:space="0" w:color="0067AB"/>
            </w:tcBorders>
          </w:tcPr>
          <w:p w14:paraId="0E5354CF" w14:textId="7B3143FA" w:rsidR="005E48D0" w:rsidRPr="00CE4330" w:rsidRDefault="005E48D0" w:rsidP="005E48D0">
            <w:pPr>
              <w:pStyle w:val="TableTextNoSpace"/>
              <w:jc w:val="center"/>
              <w:rPr>
                <w:rFonts w:cs="Arial"/>
                <w:sz w:val="18"/>
                <w:szCs w:val="18"/>
              </w:rPr>
            </w:pPr>
            <w:r w:rsidRPr="00CE4330">
              <w:rPr>
                <w:rFonts w:cs="Arial"/>
                <w:sz w:val="18"/>
                <w:szCs w:val="18"/>
              </w:rPr>
              <w:t>x</w:t>
            </w:r>
          </w:p>
        </w:tc>
        <w:tc>
          <w:tcPr>
            <w:tcW w:w="159" w:type="pct"/>
            <w:tcBorders>
              <w:top w:val="single" w:sz="2" w:space="0" w:color="0067AB"/>
              <w:left w:val="single" w:sz="12" w:space="0" w:color="0067AB"/>
              <w:bottom w:val="single" w:sz="2" w:space="0" w:color="0067AB"/>
              <w:right w:val="single" w:sz="2" w:space="0" w:color="0067AB"/>
            </w:tcBorders>
          </w:tcPr>
          <w:p w14:paraId="2DE945BE" w14:textId="1F429910" w:rsidR="005E48D0" w:rsidRPr="00CE4330" w:rsidRDefault="005E48D0" w:rsidP="005E48D0">
            <w:pPr>
              <w:pStyle w:val="TableTextNoSpace"/>
              <w:jc w:val="center"/>
              <w:rPr>
                <w:rFonts w:cs="Arial"/>
                <w:sz w:val="18"/>
                <w:szCs w:val="18"/>
              </w:rPr>
            </w:pPr>
            <w:r w:rsidRPr="00B26E50">
              <w:rPr>
                <w:rFonts w:cs="Arial"/>
                <w:b/>
                <w:sz w:val="18"/>
                <w:szCs w:val="18"/>
              </w:rPr>
              <w:t>X</w:t>
            </w:r>
          </w:p>
        </w:tc>
        <w:tc>
          <w:tcPr>
            <w:tcW w:w="154" w:type="pct"/>
            <w:tcBorders>
              <w:top w:val="single" w:sz="2" w:space="0" w:color="0067AB"/>
              <w:left w:val="single" w:sz="2" w:space="0" w:color="0067AB"/>
              <w:bottom w:val="single" w:sz="2" w:space="0" w:color="0067AB"/>
              <w:right w:val="single" w:sz="2" w:space="0" w:color="0067AB"/>
            </w:tcBorders>
          </w:tcPr>
          <w:p w14:paraId="69255ADE" w14:textId="350DDD9A" w:rsidR="005E48D0" w:rsidRPr="00CE4330" w:rsidRDefault="005E48D0" w:rsidP="005E48D0">
            <w:pPr>
              <w:pStyle w:val="TableTextNoSpace"/>
              <w:jc w:val="center"/>
              <w:rPr>
                <w:rFonts w:cs="Arial"/>
                <w:sz w:val="18"/>
                <w:szCs w:val="18"/>
              </w:rPr>
            </w:pPr>
            <w:r w:rsidRPr="00CE4330">
              <w:rPr>
                <w:rFonts w:cs="Arial"/>
                <w:sz w:val="18"/>
                <w:szCs w:val="18"/>
              </w:rPr>
              <w:t>x</w:t>
            </w:r>
          </w:p>
        </w:tc>
        <w:tc>
          <w:tcPr>
            <w:tcW w:w="147" w:type="pct"/>
            <w:tcBorders>
              <w:top w:val="single" w:sz="2" w:space="0" w:color="0067AB"/>
              <w:left w:val="single" w:sz="2" w:space="0" w:color="0067AB"/>
              <w:bottom w:val="single" w:sz="2" w:space="0" w:color="0067AB"/>
              <w:right w:val="single" w:sz="2" w:space="0" w:color="0067AB"/>
            </w:tcBorders>
          </w:tcPr>
          <w:p w14:paraId="591BF67A" w14:textId="1888DDE3" w:rsidR="005E48D0" w:rsidRPr="00CE4330" w:rsidRDefault="00153642" w:rsidP="005E48D0">
            <w:pPr>
              <w:pStyle w:val="TableTextNoSpace"/>
              <w:jc w:val="center"/>
              <w:rPr>
                <w:rFonts w:cs="Arial"/>
                <w:sz w:val="18"/>
                <w:szCs w:val="18"/>
              </w:rPr>
            </w:pPr>
            <w:r w:rsidRPr="00CE4330">
              <w:rPr>
                <w:rFonts w:cs="Arial"/>
                <w:sz w:val="18"/>
                <w:szCs w:val="18"/>
              </w:rPr>
              <w:t>x</w:t>
            </w:r>
          </w:p>
        </w:tc>
        <w:tc>
          <w:tcPr>
            <w:tcW w:w="123" w:type="pct"/>
            <w:tcBorders>
              <w:top w:val="single" w:sz="2" w:space="0" w:color="0067AB"/>
              <w:left w:val="single" w:sz="2" w:space="0" w:color="0067AB"/>
              <w:bottom w:val="single" w:sz="2" w:space="0" w:color="0067AB"/>
              <w:right w:val="single" w:sz="2" w:space="0" w:color="0067AB"/>
            </w:tcBorders>
          </w:tcPr>
          <w:p w14:paraId="20CB7B84" w14:textId="07758F17" w:rsidR="005E48D0" w:rsidRPr="005E48D0" w:rsidRDefault="005E48D0" w:rsidP="005E48D0">
            <w:pPr>
              <w:pStyle w:val="TableTextNoSpace"/>
              <w:jc w:val="center"/>
              <w:rPr>
                <w:rFonts w:cs="Arial"/>
                <w:b/>
                <w:sz w:val="18"/>
                <w:szCs w:val="18"/>
              </w:rPr>
            </w:pPr>
            <w:r w:rsidRPr="00B26E50">
              <w:rPr>
                <w:rFonts w:cs="Arial"/>
                <w:b/>
                <w:sz w:val="18"/>
                <w:szCs w:val="18"/>
              </w:rPr>
              <w:t>X</w:t>
            </w:r>
          </w:p>
        </w:tc>
      </w:tr>
      <w:tr w:rsidR="000C6C9E" w14:paraId="4271DE4A" w14:textId="77777777" w:rsidTr="00C807FA">
        <w:tc>
          <w:tcPr>
            <w:tcW w:w="783" w:type="pct"/>
            <w:tcBorders>
              <w:top w:val="single" w:sz="2" w:space="0" w:color="0067AB"/>
              <w:left w:val="single" w:sz="2" w:space="0" w:color="0067AB"/>
              <w:bottom w:val="single" w:sz="2" w:space="0" w:color="0067AB"/>
              <w:right w:val="single" w:sz="2" w:space="0" w:color="0067AB"/>
            </w:tcBorders>
            <w:shd w:val="clear" w:color="auto" w:fill="auto"/>
          </w:tcPr>
          <w:p w14:paraId="480259A6" w14:textId="210B7102" w:rsidR="000C6C9E" w:rsidRDefault="000C6C9E" w:rsidP="00120495">
            <w:pPr>
              <w:pStyle w:val="TableTextNoSpace"/>
              <w:jc w:val="left"/>
              <w:rPr>
                <w:rFonts w:asciiTheme="minorHAnsi" w:hAnsiTheme="minorHAnsi"/>
                <w:sz w:val="18"/>
                <w:szCs w:val="18"/>
              </w:rPr>
            </w:pPr>
            <w:r>
              <w:rPr>
                <w:rFonts w:asciiTheme="minorHAnsi" w:hAnsiTheme="minorHAnsi"/>
                <w:sz w:val="18"/>
                <w:szCs w:val="18"/>
              </w:rPr>
              <w:t>ESF</w:t>
            </w:r>
          </w:p>
        </w:tc>
        <w:tc>
          <w:tcPr>
            <w:tcW w:w="171" w:type="pct"/>
            <w:tcBorders>
              <w:top w:val="single" w:sz="2" w:space="0" w:color="0067AB"/>
              <w:left w:val="single" w:sz="2" w:space="0" w:color="0067AB"/>
              <w:bottom w:val="single" w:sz="2" w:space="0" w:color="0067AB"/>
              <w:right w:val="single" w:sz="2" w:space="0" w:color="0067AB"/>
            </w:tcBorders>
            <w:shd w:val="clear" w:color="auto" w:fill="auto"/>
          </w:tcPr>
          <w:p w14:paraId="1D360ACD" w14:textId="77777777" w:rsidR="000C6C9E" w:rsidRPr="00B26E50" w:rsidRDefault="000C6C9E" w:rsidP="000C6C9E">
            <w:pPr>
              <w:pStyle w:val="TableTextNoSpace"/>
              <w:jc w:val="center"/>
              <w:rPr>
                <w:rFonts w:cs="Arial"/>
                <w:b/>
                <w:sz w:val="18"/>
                <w:szCs w:val="18"/>
              </w:rPr>
            </w:pPr>
          </w:p>
        </w:tc>
        <w:tc>
          <w:tcPr>
            <w:tcW w:w="172" w:type="pct"/>
            <w:tcBorders>
              <w:top w:val="single" w:sz="2" w:space="0" w:color="0067AB"/>
              <w:left w:val="single" w:sz="2" w:space="0" w:color="0067AB"/>
              <w:bottom w:val="single" w:sz="2" w:space="0" w:color="0067AB"/>
              <w:right w:val="single" w:sz="2" w:space="0" w:color="0067AB"/>
            </w:tcBorders>
            <w:shd w:val="clear" w:color="auto" w:fill="auto"/>
          </w:tcPr>
          <w:p w14:paraId="3D49179D" w14:textId="1C08EE31" w:rsidR="000C6C9E" w:rsidRPr="00B26E50" w:rsidRDefault="00153642" w:rsidP="000C6C9E">
            <w:pPr>
              <w:pStyle w:val="TableTextNoSpace"/>
              <w:jc w:val="center"/>
              <w:rPr>
                <w:rFonts w:cs="Arial"/>
                <w:b/>
                <w:sz w:val="18"/>
                <w:szCs w:val="18"/>
              </w:rPr>
            </w:pPr>
            <w:r w:rsidRPr="00CE4330">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shd w:val="clear" w:color="auto" w:fill="auto"/>
          </w:tcPr>
          <w:p w14:paraId="381BC444" w14:textId="77777777" w:rsidR="000C6C9E" w:rsidRPr="00B26E50" w:rsidRDefault="000C6C9E" w:rsidP="000C6C9E">
            <w:pPr>
              <w:pStyle w:val="TableTextNoSpace"/>
              <w:jc w:val="center"/>
              <w:rPr>
                <w:rFonts w:cs="Arial"/>
                <w:b/>
                <w:sz w:val="18"/>
                <w:szCs w:val="18"/>
              </w:rPr>
            </w:pPr>
          </w:p>
        </w:tc>
        <w:tc>
          <w:tcPr>
            <w:tcW w:w="174" w:type="pct"/>
            <w:tcBorders>
              <w:top w:val="single" w:sz="2" w:space="0" w:color="0067AB"/>
              <w:left w:val="single" w:sz="2" w:space="0" w:color="0067AB"/>
              <w:bottom w:val="single" w:sz="2" w:space="0" w:color="0067AB"/>
              <w:right w:val="single" w:sz="12" w:space="0" w:color="0067AB"/>
            </w:tcBorders>
            <w:shd w:val="clear" w:color="auto" w:fill="auto"/>
          </w:tcPr>
          <w:p w14:paraId="1C454391" w14:textId="1224BF52" w:rsidR="000C6C9E" w:rsidRPr="00B26E50" w:rsidRDefault="000C6C9E" w:rsidP="000C6C9E">
            <w:pPr>
              <w:pStyle w:val="TableTextNoSpace"/>
              <w:jc w:val="center"/>
              <w:rPr>
                <w:rFonts w:cs="Arial"/>
                <w:b/>
                <w:sz w:val="18"/>
                <w:szCs w:val="18"/>
              </w:rPr>
            </w:pPr>
            <w:r w:rsidRPr="00CE4330">
              <w:rPr>
                <w:rFonts w:cs="Arial"/>
                <w:sz w:val="18"/>
                <w:szCs w:val="18"/>
              </w:rPr>
              <w:t>x</w:t>
            </w:r>
          </w:p>
        </w:tc>
        <w:tc>
          <w:tcPr>
            <w:tcW w:w="172" w:type="pct"/>
            <w:tcBorders>
              <w:top w:val="single" w:sz="2" w:space="0" w:color="0067AB"/>
              <w:left w:val="single" w:sz="12" w:space="0" w:color="0067AB"/>
              <w:bottom w:val="single" w:sz="2" w:space="0" w:color="0067AB"/>
              <w:right w:val="single" w:sz="2" w:space="0" w:color="0067AB"/>
            </w:tcBorders>
            <w:shd w:val="clear" w:color="auto" w:fill="auto"/>
          </w:tcPr>
          <w:p w14:paraId="283DC381" w14:textId="26CC73E6" w:rsidR="000C6C9E" w:rsidRPr="00B26E50" w:rsidRDefault="000C6C9E" w:rsidP="000C6C9E">
            <w:pPr>
              <w:pStyle w:val="TableTextNoSpace"/>
              <w:jc w:val="center"/>
              <w:rPr>
                <w:rFonts w:cs="Arial"/>
                <w:b/>
                <w:sz w:val="18"/>
                <w:szCs w:val="18"/>
              </w:rPr>
            </w:pPr>
            <w:r w:rsidRPr="00CE4330">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shd w:val="clear" w:color="auto" w:fill="auto"/>
          </w:tcPr>
          <w:p w14:paraId="6481FDAF" w14:textId="77777777" w:rsidR="000C6C9E" w:rsidRPr="00B26E50" w:rsidRDefault="000C6C9E" w:rsidP="000C6C9E">
            <w:pPr>
              <w:pStyle w:val="TableTextNoSpace"/>
              <w:jc w:val="center"/>
              <w:rPr>
                <w:rFonts w:cs="Arial"/>
                <w:b/>
                <w:sz w:val="18"/>
                <w:szCs w:val="18"/>
              </w:rPr>
            </w:pPr>
          </w:p>
        </w:tc>
        <w:tc>
          <w:tcPr>
            <w:tcW w:w="172" w:type="pct"/>
            <w:tcBorders>
              <w:top w:val="single" w:sz="2" w:space="0" w:color="0067AB"/>
              <w:left w:val="single" w:sz="2" w:space="0" w:color="0067AB"/>
              <w:bottom w:val="single" w:sz="2" w:space="0" w:color="0067AB"/>
              <w:right w:val="single" w:sz="2" w:space="0" w:color="0067AB"/>
            </w:tcBorders>
            <w:shd w:val="clear" w:color="auto" w:fill="auto"/>
          </w:tcPr>
          <w:p w14:paraId="69EE09E6" w14:textId="0C87007F" w:rsidR="000C6C9E" w:rsidRPr="00B26E50" w:rsidRDefault="000C6C9E" w:rsidP="000C6C9E">
            <w:pPr>
              <w:pStyle w:val="TableTextNoSpace"/>
              <w:jc w:val="center"/>
              <w:rPr>
                <w:rFonts w:cs="Arial"/>
                <w:b/>
                <w:sz w:val="18"/>
                <w:szCs w:val="18"/>
              </w:rPr>
            </w:pPr>
            <w:r w:rsidRPr="00CE4330">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shd w:val="clear" w:color="auto" w:fill="auto"/>
          </w:tcPr>
          <w:p w14:paraId="6BFEA8E6" w14:textId="322AB59F" w:rsidR="000C6C9E" w:rsidRPr="00B26E50" w:rsidRDefault="000C6C9E" w:rsidP="000C6C9E">
            <w:pPr>
              <w:pStyle w:val="TableTextNoSpace"/>
              <w:jc w:val="center"/>
              <w:rPr>
                <w:rFonts w:cs="Arial"/>
                <w:b/>
                <w:sz w:val="18"/>
                <w:szCs w:val="18"/>
              </w:rPr>
            </w:pPr>
            <w:r w:rsidRPr="00CE4330">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shd w:val="clear" w:color="auto" w:fill="auto"/>
          </w:tcPr>
          <w:p w14:paraId="23A2726C" w14:textId="2B86520E" w:rsidR="000C6C9E" w:rsidRPr="00B26E50" w:rsidRDefault="000C6C9E" w:rsidP="000C6C9E">
            <w:pPr>
              <w:pStyle w:val="TableTextNoSpace"/>
              <w:jc w:val="center"/>
              <w:rPr>
                <w:rFonts w:cs="Arial"/>
                <w:b/>
                <w:sz w:val="18"/>
                <w:szCs w:val="18"/>
              </w:rPr>
            </w:pPr>
            <w:r w:rsidRPr="00CE4330">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shd w:val="clear" w:color="auto" w:fill="auto"/>
          </w:tcPr>
          <w:p w14:paraId="2A0C5E3F" w14:textId="5B06ACE4" w:rsidR="000C6C9E" w:rsidRPr="00B26E50" w:rsidRDefault="000C6C9E" w:rsidP="000C6C9E">
            <w:pPr>
              <w:pStyle w:val="TableTextNoSpace"/>
              <w:jc w:val="center"/>
              <w:rPr>
                <w:rFonts w:cs="Arial"/>
                <w:b/>
                <w:sz w:val="18"/>
                <w:szCs w:val="18"/>
              </w:rPr>
            </w:pPr>
            <w:r w:rsidRPr="00CE4330">
              <w:rPr>
                <w:rFonts w:cs="Arial"/>
                <w:sz w:val="18"/>
                <w:szCs w:val="18"/>
              </w:rPr>
              <w:t>x</w:t>
            </w:r>
          </w:p>
        </w:tc>
        <w:tc>
          <w:tcPr>
            <w:tcW w:w="172" w:type="pct"/>
            <w:tcBorders>
              <w:top w:val="single" w:sz="2" w:space="0" w:color="0067AB"/>
              <w:left w:val="single" w:sz="2" w:space="0" w:color="0067AB"/>
              <w:bottom w:val="single" w:sz="2" w:space="0" w:color="0067AB"/>
              <w:right w:val="single" w:sz="12" w:space="0" w:color="0067AB"/>
            </w:tcBorders>
            <w:shd w:val="clear" w:color="auto" w:fill="auto"/>
          </w:tcPr>
          <w:p w14:paraId="37885587" w14:textId="2A237D72" w:rsidR="000C6C9E" w:rsidRPr="00B26E50" w:rsidRDefault="000C6C9E" w:rsidP="000C6C9E">
            <w:pPr>
              <w:pStyle w:val="TableTextNoSpace"/>
              <w:jc w:val="center"/>
              <w:rPr>
                <w:rFonts w:cs="Arial"/>
                <w:b/>
                <w:sz w:val="18"/>
                <w:szCs w:val="18"/>
              </w:rPr>
            </w:pPr>
            <w:r w:rsidRPr="00CE4330">
              <w:rPr>
                <w:rFonts w:cs="Arial"/>
                <w:sz w:val="18"/>
                <w:szCs w:val="18"/>
              </w:rPr>
              <w:t>x</w:t>
            </w:r>
          </w:p>
        </w:tc>
        <w:tc>
          <w:tcPr>
            <w:tcW w:w="174" w:type="pct"/>
            <w:gridSpan w:val="2"/>
            <w:tcBorders>
              <w:top w:val="single" w:sz="2" w:space="0" w:color="0067AB"/>
              <w:left w:val="single" w:sz="12" w:space="0" w:color="0067AB"/>
              <w:bottom w:val="single" w:sz="2" w:space="0" w:color="0067AB"/>
              <w:right w:val="single" w:sz="2" w:space="0" w:color="0067AB"/>
            </w:tcBorders>
            <w:shd w:val="clear" w:color="auto" w:fill="auto"/>
          </w:tcPr>
          <w:p w14:paraId="0445F031" w14:textId="77777777" w:rsidR="000C6C9E" w:rsidRPr="00B26E50" w:rsidRDefault="000C6C9E" w:rsidP="000C6C9E">
            <w:pPr>
              <w:pStyle w:val="TableTextNoSpace"/>
              <w:jc w:val="center"/>
              <w:rPr>
                <w:rFonts w:cs="Arial"/>
                <w:b/>
                <w:sz w:val="18"/>
                <w:szCs w:val="18"/>
              </w:rPr>
            </w:pPr>
          </w:p>
        </w:tc>
        <w:tc>
          <w:tcPr>
            <w:tcW w:w="173" w:type="pct"/>
            <w:tcBorders>
              <w:top w:val="single" w:sz="2" w:space="0" w:color="0067AB"/>
              <w:left w:val="single" w:sz="2" w:space="0" w:color="0067AB"/>
              <w:bottom w:val="single" w:sz="2" w:space="0" w:color="0067AB"/>
              <w:right w:val="single" w:sz="2" w:space="0" w:color="0067AB"/>
            </w:tcBorders>
            <w:shd w:val="clear" w:color="auto" w:fill="auto"/>
          </w:tcPr>
          <w:p w14:paraId="0A1C3A9B" w14:textId="77777777" w:rsidR="000C6C9E" w:rsidRPr="00B26E50" w:rsidRDefault="000C6C9E" w:rsidP="000C6C9E">
            <w:pPr>
              <w:pStyle w:val="TableTextNoSpace"/>
              <w:jc w:val="center"/>
              <w:rPr>
                <w:rFonts w:cs="Arial"/>
                <w:b/>
                <w:sz w:val="18"/>
                <w:szCs w:val="18"/>
              </w:rPr>
            </w:pPr>
          </w:p>
        </w:tc>
        <w:tc>
          <w:tcPr>
            <w:tcW w:w="173" w:type="pct"/>
            <w:tcBorders>
              <w:top w:val="single" w:sz="2" w:space="0" w:color="0067AB"/>
              <w:left w:val="single" w:sz="2" w:space="0" w:color="0067AB"/>
              <w:bottom w:val="single" w:sz="2" w:space="0" w:color="0067AB"/>
              <w:right w:val="single" w:sz="2" w:space="0" w:color="0067AB"/>
            </w:tcBorders>
            <w:shd w:val="clear" w:color="auto" w:fill="auto"/>
          </w:tcPr>
          <w:p w14:paraId="780105A0" w14:textId="77777777" w:rsidR="000C6C9E" w:rsidRPr="00B26E50" w:rsidRDefault="000C6C9E" w:rsidP="000C6C9E">
            <w:pPr>
              <w:pStyle w:val="TableTextNoSpace"/>
              <w:jc w:val="center"/>
              <w:rPr>
                <w:rFonts w:cs="Arial"/>
                <w:b/>
                <w:sz w:val="18"/>
                <w:szCs w:val="18"/>
              </w:rPr>
            </w:pPr>
          </w:p>
        </w:tc>
        <w:tc>
          <w:tcPr>
            <w:tcW w:w="172" w:type="pct"/>
            <w:tcBorders>
              <w:top w:val="single" w:sz="2" w:space="0" w:color="0067AB"/>
              <w:left w:val="single" w:sz="2" w:space="0" w:color="0067AB"/>
              <w:bottom w:val="single" w:sz="2" w:space="0" w:color="0067AB"/>
              <w:right w:val="single" w:sz="2" w:space="0" w:color="0067AB"/>
            </w:tcBorders>
            <w:shd w:val="clear" w:color="auto" w:fill="auto"/>
          </w:tcPr>
          <w:p w14:paraId="5A41C99A" w14:textId="2E90575B" w:rsidR="000C6C9E" w:rsidRPr="00B26E50" w:rsidRDefault="000C6C9E" w:rsidP="000C6C9E">
            <w:pPr>
              <w:pStyle w:val="TableTextNoSpace"/>
              <w:jc w:val="center"/>
              <w:rPr>
                <w:rFonts w:cs="Arial"/>
                <w:b/>
                <w:sz w:val="18"/>
                <w:szCs w:val="18"/>
              </w:rPr>
            </w:pPr>
            <w:r w:rsidRPr="00CE4330">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shd w:val="clear" w:color="auto" w:fill="auto"/>
          </w:tcPr>
          <w:p w14:paraId="28E00A2A" w14:textId="77777777" w:rsidR="000C6C9E" w:rsidRPr="00B26E50" w:rsidRDefault="000C6C9E" w:rsidP="000C6C9E">
            <w:pPr>
              <w:pStyle w:val="TableTextNoSpace"/>
              <w:jc w:val="center"/>
              <w:rPr>
                <w:rFonts w:cs="Arial"/>
                <w:b/>
                <w:sz w:val="18"/>
                <w:szCs w:val="18"/>
              </w:rPr>
            </w:pPr>
          </w:p>
        </w:tc>
        <w:tc>
          <w:tcPr>
            <w:tcW w:w="185" w:type="pct"/>
            <w:tcBorders>
              <w:top w:val="single" w:sz="2" w:space="0" w:color="0067AB"/>
              <w:left w:val="single" w:sz="2" w:space="0" w:color="0067AB"/>
              <w:bottom w:val="single" w:sz="2" w:space="0" w:color="0067AB"/>
              <w:right w:val="single" w:sz="2" w:space="0" w:color="0067AB"/>
            </w:tcBorders>
            <w:shd w:val="clear" w:color="auto" w:fill="auto"/>
          </w:tcPr>
          <w:p w14:paraId="35F2B258" w14:textId="727408D6" w:rsidR="000C6C9E" w:rsidRPr="00B26E50" w:rsidRDefault="000C6C9E" w:rsidP="000C6C9E">
            <w:pPr>
              <w:pStyle w:val="TableTextNoSpace"/>
              <w:jc w:val="center"/>
              <w:rPr>
                <w:rFonts w:cs="Arial"/>
                <w:b/>
                <w:sz w:val="18"/>
                <w:szCs w:val="18"/>
              </w:rPr>
            </w:pPr>
            <w:r w:rsidRPr="00CE4330">
              <w:rPr>
                <w:rFonts w:cs="Arial"/>
                <w:sz w:val="18"/>
                <w:szCs w:val="18"/>
              </w:rPr>
              <w:t>x</w:t>
            </w:r>
          </w:p>
        </w:tc>
        <w:tc>
          <w:tcPr>
            <w:tcW w:w="177" w:type="pct"/>
            <w:tcBorders>
              <w:top w:val="single" w:sz="2" w:space="0" w:color="0067AB"/>
              <w:left w:val="single" w:sz="2" w:space="0" w:color="0067AB"/>
              <w:bottom w:val="single" w:sz="2" w:space="0" w:color="0067AB"/>
              <w:right w:val="single" w:sz="2" w:space="0" w:color="0067AB"/>
            </w:tcBorders>
            <w:shd w:val="clear" w:color="auto" w:fill="auto"/>
          </w:tcPr>
          <w:p w14:paraId="3AB09F94" w14:textId="6883DE38" w:rsidR="000C6C9E" w:rsidRPr="00B26E50" w:rsidRDefault="000C6C9E" w:rsidP="000C6C9E">
            <w:pPr>
              <w:pStyle w:val="TableTextNoSpace"/>
              <w:jc w:val="center"/>
              <w:rPr>
                <w:rFonts w:cs="Arial"/>
                <w:b/>
                <w:sz w:val="18"/>
                <w:szCs w:val="18"/>
              </w:rPr>
            </w:pPr>
            <w:r w:rsidRPr="00CE4330">
              <w:rPr>
                <w:rFonts w:cs="Arial"/>
                <w:sz w:val="18"/>
                <w:szCs w:val="18"/>
              </w:rPr>
              <w:t>x</w:t>
            </w:r>
          </w:p>
        </w:tc>
        <w:tc>
          <w:tcPr>
            <w:tcW w:w="171" w:type="pct"/>
            <w:tcBorders>
              <w:top w:val="single" w:sz="2" w:space="0" w:color="0067AB"/>
              <w:left w:val="single" w:sz="2" w:space="0" w:color="0067AB"/>
              <w:bottom w:val="single" w:sz="2" w:space="0" w:color="0067AB"/>
              <w:right w:val="single" w:sz="2" w:space="0" w:color="0067AB"/>
            </w:tcBorders>
            <w:shd w:val="clear" w:color="auto" w:fill="auto"/>
          </w:tcPr>
          <w:p w14:paraId="24E6C0CB" w14:textId="77777777" w:rsidR="000C6C9E" w:rsidRPr="00B26E50" w:rsidRDefault="000C6C9E" w:rsidP="000C6C9E">
            <w:pPr>
              <w:pStyle w:val="TableTextNoSpace"/>
              <w:jc w:val="center"/>
              <w:rPr>
                <w:rFonts w:cs="Arial"/>
                <w:b/>
                <w:sz w:val="18"/>
                <w:szCs w:val="18"/>
              </w:rPr>
            </w:pPr>
          </w:p>
        </w:tc>
        <w:tc>
          <w:tcPr>
            <w:tcW w:w="171" w:type="pct"/>
            <w:tcBorders>
              <w:top w:val="single" w:sz="2" w:space="0" w:color="0067AB"/>
              <w:left w:val="single" w:sz="2" w:space="0" w:color="0067AB"/>
              <w:bottom w:val="single" w:sz="2" w:space="0" w:color="0067AB"/>
              <w:right w:val="single" w:sz="2" w:space="0" w:color="0067AB"/>
            </w:tcBorders>
            <w:shd w:val="clear" w:color="auto" w:fill="auto"/>
          </w:tcPr>
          <w:p w14:paraId="437EDEEC" w14:textId="25F0FA83" w:rsidR="000C6C9E" w:rsidRPr="00B26E50" w:rsidRDefault="000C6C9E" w:rsidP="000C6C9E">
            <w:pPr>
              <w:pStyle w:val="TableTextNoSpace"/>
              <w:jc w:val="center"/>
              <w:rPr>
                <w:rFonts w:cs="Arial"/>
                <w:b/>
                <w:sz w:val="18"/>
                <w:szCs w:val="18"/>
              </w:rPr>
            </w:pPr>
            <w:r w:rsidRPr="00CE4330">
              <w:rPr>
                <w:rFonts w:cs="Arial"/>
                <w:sz w:val="18"/>
                <w:szCs w:val="18"/>
              </w:rPr>
              <w:t>x</w:t>
            </w:r>
          </w:p>
        </w:tc>
        <w:tc>
          <w:tcPr>
            <w:tcW w:w="167" w:type="pct"/>
            <w:tcBorders>
              <w:top w:val="single" w:sz="2" w:space="0" w:color="0067AB"/>
              <w:left w:val="single" w:sz="2" w:space="0" w:color="0067AB"/>
              <w:bottom w:val="single" w:sz="2" w:space="0" w:color="0067AB"/>
              <w:right w:val="single" w:sz="12" w:space="0" w:color="0067AB"/>
            </w:tcBorders>
            <w:shd w:val="clear" w:color="auto" w:fill="auto"/>
          </w:tcPr>
          <w:p w14:paraId="753ADFE5" w14:textId="28C74A35"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59" w:type="pct"/>
            <w:tcBorders>
              <w:top w:val="single" w:sz="2" w:space="0" w:color="0067AB"/>
              <w:left w:val="single" w:sz="12" w:space="0" w:color="0067AB"/>
              <w:bottom w:val="single" w:sz="2" w:space="0" w:color="0067AB"/>
              <w:right w:val="single" w:sz="2" w:space="0" w:color="0067AB"/>
            </w:tcBorders>
            <w:shd w:val="clear" w:color="auto" w:fill="auto"/>
          </w:tcPr>
          <w:p w14:paraId="6EAC3E10" w14:textId="0076AC33" w:rsidR="000C6C9E" w:rsidRPr="00B26E50" w:rsidRDefault="000C6C9E" w:rsidP="000C6C9E">
            <w:pPr>
              <w:pStyle w:val="TableTextNoSpace"/>
              <w:jc w:val="center"/>
              <w:rPr>
                <w:rFonts w:cs="Arial"/>
                <w:b/>
                <w:sz w:val="18"/>
                <w:szCs w:val="18"/>
              </w:rPr>
            </w:pPr>
            <w:r w:rsidRPr="00CE4330">
              <w:rPr>
                <w:rFonts w:cs="Arial"/>
                <w:sz w:val="18"/>
                <w:szCs w:val="18"/>
              </w:rPr>
              <w:t>x</w:t>
            </w:r>
          </w:p>
        </w:tc>
        <w:tc>
          <w:tcPr>
            <w:tcW w:w="154" w:type="pct"/>
            <w:tcBorders>
              <w:top w:val="single" w:sz="2" w:space="0" w:color="0067AB"/>
              <w:left w:val="single" w:sz="2" w:space="0" w:color="0067AB"/>
              <w:bottom w:val="single" w:sz="2" w:space="0" w:color="0067AB"/>
              <w:right w:val="single" w:sz="2" w:space="0" w:color="0067AB"/>
            </w:tcBorders>
            <w:shd w:val="clear" w:color="auto" w:fill="auto"/>
          </w:tcPr>
          <w:p w14:paraId="60D5DEFA" w14:textId="77777777" w:rsidR="000C6C9E" w:rsidRPr="00B26E50" w:rsidRDefault="000C6C9E" w:rsidP="000C6C9E">
            <w:pPr>
              <w:pStyle w:val="TableTextNoSpace"/>
              <w:jc w:val="center"/>
              <w:rPr>
                <w:rFonts w:cs="Arial"/>
                <w:b/>
                <w:sz w:val="18"/>
                <w:szCs w:val="18"/>
              </w:rPr>
            </w:pPr>
          </w:p>
        </w:tc>
        <w:tc>
          <w:tcPr>
            <w:tcW w:w="147" w:type="pct"/>
            <w:tcBorders>
              <w:top w:val="single" w:sz="2" w:space="0" w:color="0067AB"/>
              <w:left w:val="single" w:sz="2" w:space="0" w:color="0067AB"/>
              <w:bottom w:val="single" w:sz="2" w:space="0" w:color="0067AB"/>
              <w:right w:val="single" w:sz="2" w:space="0" w:color="0067AB"/>
            </w:tcBorders>
            <w:shd w:val="clear" w:color="auto" w:fill="auto"/>
          </w:tcPr>
          <w:p w14:paraId="07D7FDB5" w14:textId="77777777" w:rsidR="000C6C9E" w:rsidRPr="00B26E50" w:rsidRDefault="000C6C9E" w:rsidP="000C6C9E">
            <w:pPr>
              <w:pStyle w:val="TableTextNoSpace"/>
              <w:jc w:val="center"/>
              <w:rPr>
                <w:rFonts w:cs="Arial"/>
                <w:b/>
                <w:sz w:val="18"/>
                <w:szCs w:val="18"/>
              </w:rPr>
            </w:pPr>
          </w:p>
        </w:tc>
        <w:tc>
          <w:tcPr>
            <w:tcW w:w="123" w:type="pct"/>
            <w:tcBorders>
              <w:top w:val="single" w:sz="2" w:space="0" w:color="0067AB"/>
              <w:left w:val="single" w:sz="2" w:space="0" w:color="0067AB"/>
              <w:bottom w:val="single" w:sz="2" w:space="0" w:color="0067AB"/>
              <w:right w:val="single" w:sz="2" w:space="0" w:color="0067AB"/>
            </w:tcBorders>
            <w:shd w:val="clear" w:color="auto" w:fill="auto"/>
          </w:tcPr>
          <w:p w14:paraId="042CB6EA" w14:textId="77777777" w:rsidR="000C6C9E" w:rsidRPr="00B26E50" w:rsidRDefault="000C6C9E" w:rsidP="000C6C9E">
            <w:pPr>
              <w:pStyle w:val="TableTextNoSpace"/>
              <w:jc w:val="center"/>
              <w:rPr>
                <w:rFonts w:cs="Arial"/>
                <w:b/>
                <w:sz w:val="18"/>
                <w:szCs w:val="18"/>
              </w:rPr>
            </w:pPr>
          </w:p>
        </w:tc>
      </w:tr>
      <w:tr w:rsidR="000C6C9E" w14:paraId="0EA62FF1" w14:textId="77777777" w:rsidTr="00C807FA">
        <w:tc>
          <w:tcPr>
            <w:tcW w:w="783" w:type="pct"/>
            <w:tcBorders>
              <w:top w:val="single" w:sz="2" w:space="0" w:color="0067AB"/>
              <w:left w:val="single" w:sz="2" w:space="0" w:color="0067AB"/>
              <w:bottom w:val="single" w:sz="2" w:space="0" w:color="0067AB"/>
              <w:right w:val="single" w:sz="2" w:space="0" w:color="0067AB"/>
            </w:tcBorders>
            <w:shd w:val="clear" w:color="auto" w:fill="auto"/>
          </w:tcPr>
          <w:p w14:paraId="45F470E9" w14:textId="78A94238" w:rsidR="000C6C9E" w:rsidRPr="00D60446" w:rsidRDefault="000C6C9E" w:rsidP="00120495">
            <w:pPr>
              <w:pStyle w:val="TableTextNoSpace"/>
              <w:jc w:val="left"/>
              <w:rPr>
                <w:rFonts w:asciiTheme="minorHAnsi" w:hAnsiTheme="minorHAnsi"/>
                <w:sz w:val="18"/>
                <w:szCs w:val="18"/>
              </w:rPr>
            </w:pPr>
            <w:r>
              <w:rPr>
                <w:rFonts w:asciiTheme="minorHAnsi" w:hAnsiTheme="minorHAnsi"/>
                <w:sz w:val="18"/>
                <w:szCs w:val="18"/>
              </w:rPr>
              <w:t>LIFE</w:t>
            </w:r>
          </w:p>
        </w:tc>
        <w:tc>
          <w:tcPr>
            <w:tcW w:w="171" w:type="pct"/>
            <w:tcBorders>
              <w:top w:val="single" w:sz="2" w:space="0" w:color="0067AB"/>
              <w:left w:val="single" w:sz="2" w:space="0" w:color="0067AB"/>
              <w:bottom w:val="single" w:sz="2" w:space="0" w:color="0067AB"/>
              <w:right w:val="single" w:sz="2" w:space="0" w:color="0067AB"/>
            </w:tcBorders>
            <w:shd w:val="clear" w:color="auto" w:fill="auto"/>
          </w:tcPr>
          <w:p w14:paraId="4D9C7382" w14:textId="58628EE2"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2" w:type="pct"/>
            <w:tcBorders>
              <w:top w:val="single" w:sz="2" w:space="0" w:color="0067AB"/>
              <w:left w:val="single" w:sz="2" w:space="0" w:color="0067AB"/>
              <w:bottom w:val="single" w:sz="2" w:space="0" w:color="0067AB"/>
              <w:right w:val="single" w:sz="2" w:space="0" w:color="0067AB"/>
            </w:tcBorders>
            <w:shd w:val="clear" w:color="auto" w:fill="auto"/>
          </w:tcPr>
          <w:p w14:paraId="06082C67" w14:textId="12EE329C"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shd w:val="clear" w:color="auto" w:fill="auto"/>
          </w:tcPr>
          <w:p w14:paraId="029C2DA9" w14:textId="24E11243"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4" w:type="pct"/>
            <w:tcBorders>
              <w:top w:val="single" w:sz="2" w:space="0" w:color="0067AB"/>
              <w:left w:val="single" w:sz="2" w:space="0" w:color="0067AB"/>
              <w:bottom w:val="single" w:sz="2" w:space="0" w:color="0067AB"/>
              <w:right w:val="single" w:sz="12" w:space="0" w:color="0067AB"/>
            </w:tcBorders>
            <w:shd w:val="clear" w:color="auto" w:fill="auto"/>
          </w:tcPr>
          <w:p w14:paraId="3C904F63" w14:textId="61CFD12B"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2" w:type="pct"/>
            <w:tcBorders>
              <w:top w:val="single" w:sz="2" w:space="0" w:color="0067AB"/>
              <w:left w:val="single" w:sz="12" w:space="0" w:color="0067AB"/>
              <w:bottom w:val="single" w:sz="2" w:space="0" w:color="0067AB"/>
              <w:right w:val="single" w:sz="2" w:space="0" w:color="0067AB"/>
            </w:tcBorders>
            <w:shd w:val="clear" w:color="auto" w:fill="auto"/>
          </w:tcPr>
          <w:p w14:paraId="07425C24" w14:textId="4E13F167"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shd w:val="clear" w:color="auto" w:fill="auto"/>
          </w:tcPr>
          <w:p w14:paraId="17D58D06" w14:textId="02E96B44"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2" w:type="pct"/>
            <w:tcBorders>
              <w:top w:val="single" w:sz="2" w:space="0" w:color="0067AB"/>
              <w:left w:val="single" w:sz="2" w:space="0" w:color="0067AB"/>
              <w:bottom w:val="single" w:sz="2" w:space="0" w:color="0067AB"/>
              <w:right w:val="single" w:sz="2" w:space="0" w:color="0067AB"/>
            </w:tcBorders>
            <w:shd w:val="clear" w:color="auto" w:fill="auto"/>
          </w:tcPr>
          <w:p w14:paraId="768FDEA4" w14:textId="2BC19191"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shd w:val="clear" w:color="auto" w:fill="auto"/>
          </w:tcPr>
          <w:p w14:paraId="085D3404" w14:textId="0A88CCDF"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shd w:val="clear" w:color="auto" w:fill="auto"/>
          </w:tcPr>
          <w:p w14:paraId="7AA1296F" w14:textId="187809EF" w:rsidR="000C6C9E" w:rsidRPr="00B26E50" w:rsidRDefault="00153642" w:rsidP="000C6C9E">
            <w:pPr>
              <w:pStyle w:val="TableTextNoSpace"/>
              <w:jc w:val="center"/>
              <w:rPr>
                <w:rFonts w:cs="Arial"/>
                <w:b/>
                <w:sz w:val="18"/>
                <w:szCs w:val="18"/>
              </w:rPr>
            </w:pPr>
            <w:r w:rsidRPr="00CE4330">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shd w:val="clear" w:color="auto" w:fill="auto"/>
          </w:tcPr>
          <w:p w14:paraId="13BF7912" w14:textId="73775132"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2" w:type="pct"/>
            <w:tcBorders>
              <w:top w:val="single" w:sz="2" w:space="0" w:color="0067AB"/>
              <w:left w:val="single" w:sz="2" w:space="0" w:color="0067AB"/>
              <w:bottom w:val="single" w:sz="2" w:space="0" w:color="0067AB"/>
              <w:right w:val="single" w:sz="12" w:space="0" w:color="0067AB"/>
            </w:tcBorders>
            <w:shd w:val="clear" w:color="auto" w:fill="auto"/>
          </w:tcPr>
          <w:p w14:paraId="339450D3" w14:textId="55A5C834"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4" w:type="pct"/>
            <w:gridSpan w:val="2"/>
            <w:tcBorders>
              <w:top w:val="single" w:sz="2" w:space="0" w:color="0067AB"/>
              <w:left w:val="single" w:sz="12" w:space="0" w:color="0067AB"/>
              <w:bottom w:val="single" w:sz="2" w:space="0" w:color="0067AB"/>
              <w:right w:val="single" w:sz="2" w:space="0" w:color="0067AB"/>
            </w:tcBorders>
            <w:shd w:val="clear" w:color="auto" w:fill="auto"/>
          </w:tcPr>
          <w:p w14:paraId="5BED8BB6" w14:textId="0AC9352A"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shd w:val="clear" w:color="auto" w:fill="auto"/>
          </w:tcPr>
          <w:p w14:paraId="4315B5E2" w14:textId="528915DF"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shd w:val="clear" w:color="auto" w:fill="auto"/>
          </w:tcPr>
          <w:p w14:paraId="32EF871A" w14:textId="1161E4CF"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2" w:type="pct"/>
            <w:tcBorders>
              <w:top w:val="single" w:sz="2" w:space="0" w:color="0067AB"/>
              <w:left w:val="single" w:sz="2" w:space="0" w:color="0067AB"/>
              <w:bottom w:val="single" w:sz="2" w:space="0" w:color="0067AB"/>
              <w:right w:val="single" w:sz="2" w:space="0" w:color="0067AB"/>
            </w:tcBorders>
            <w:shd w:val="clear" w:color="auto" w:fill="auto"/>
          </w:tcPr>
          <w:p w14:paraId="2A1ECEC8" w14:textId="69D655FF"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shd w:val="clear" w:color="auto" w:fill="auto"/>
          </w:tcPr>
          <w:p w14:paraId="7AEF9C6E" w14:textId="7BFBCF9F"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85" w:type="pct"/>
            <w:tcBorders>
              <w:top w:val="single" w:sz="2" w:space="0" w:color="0067AB"/>
              <w:left w:val="single" w:sz="2" w:space="0" w:color="0067AB"/>
              <w:bottom w:val="single" w:sz="2" w:space="0" w:color="0067AB"/>
              <w:right w:val="single" w:sz="2" w:space="0" w:color="0067AB"/>
            </w:tcBorders>
            <w:shd w:val="clear" w:color="auto" w:fill="auto"/>
          </w:tcPr>
          <w:p w14:paraId="555116A1" w14:textId="3823AFD7"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7" w:type="pct"/>
            <w:tcBorders>
              <w:top w:val="single" w:sz="2" w:space="0" w:color="0067AB"/>
              <w:left w:val="single" w:sz="2" w:space="0" w:color="0067AB"/>
              <w:bottom w:val="single" w:sz="2" w:space="0" w:color="0067AB"/>
              <w:right w:val="single" w:sz="2" w:space="0" w:color="0067AB"/>
            </w:tcBorders>
            <w:shd w:val="clear" w:color="auto" w:fill="auto"/>
          </w:tcPr>
          <w:p w14:paraId="22DE0345" w14:textId="0809CDA9"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1" w:type="pct"/>
            <w:tcBorders>
              <w:top w:val="single" w:sz="2" w:space="0" w:color="0067AB"/>
              <w:left w:val="single" w:sz="2" w:space="0" w:color="0067AB"/>
              <w:bottom w:val="single" w:sz="2" w:space="0" w:color="0067AB"/>
              <w:right w:val="single" w:sz="2" w:space="0" w:color="0067AB"/>
            </w:tcBorders>
            <w:shd w:val="clear" w:color="auto" w:fill="auto"/>
          </w:tcPr>
          <w:p w14:paraId="3A302D4E" w14:textId="144B9783"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1" w:type="pct"/>
            <w:tcBorders>
              <w:top w:val="single" w:sz="2" w:space="0" w:color="0067AB"/>
              <w:left w:val="single" w:sz="2" w:space="0" w:color="0067AB"/>
              <w:bottom w:val="single" w:sz="2" w:space="0" w:color="0067AB"/>
              <w:right w:val="single" w:sz="2" w:space="0" w:color="0067AB"/>
            </w:tcBorders>
            <w:shd w:val="clear" w:color="auto" w:fill="auto"/>
          </w:tcPr>
          <w:p w14:paraId="6546EEDD" w14:textId="28B2BDEB"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67" w:type="pct"/>
            <w:tcBorders>
              <w:top w:val="single" w:sz="2" w:space="0" w:color="0067AB"/>
              <w:left w:val="single" w:sz="2" w:space="0" w:color="0067AB"/>
              <w:bottom w:val="single" w:sz="2" w:space="0" w:color="0067AB"/>
              <w:right w:val="single" w:sz="12" w:space="0" w:color="0067AB"/>
            </w:tcBorders>
            <w:shd w:val="clear" w:color="auto" w:fill="auto"/>
          </w:tcPr>
          <w:p w14:paraId="6D4672D8" w14:textId="0B288639"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59" w:type="pct"/>
            <w:tcBorders>
              <w:top w:val="single" w:sz="2" w:space="0" w:color="0067AB"/>
              <w:left w:val="single" w:sz="12" w:space="0" w:color="0067AB"/>
              <w:bottom w:val="single" w:sz="2" w:space="0" w:color="0067AB"/>
              <w:right w:val="single" w:sz="2" w:space="0" w:color="0067AB"/>
            </w:tcBorders>
            <w:shd w:val="clear" w:color="auto" w:fill="auto"/>
          </w:tcPr>
          <w:p w14:paraId="42B0AB26" w14:textId="166E5530"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54" w:type="pct"/>
            <w:tcBorders>
              <w:top w:val="single" w:sz="2" w:space="0" w:color="0067AB"/>
              <w:left w:val="single" w:sz="2" w:space="0" w:color="0067AB"/>
              <w:bottom w:val="single" w:sz="2" w:space="0" w:color="0067AB"/>
              <w:right w:val="single" w:sz="2" w:space="0" w:color="0067AB"/>
            </w:tcBorders>
            <w:shd w:val="clear" w:color="auto" w:fill="auto"/>
          </w:tcPr>
          <w:p w14:paraId="0EA2B330" w14:textId="426FEAA0"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47" w:type="pct"/>
            <w:tcBorders>
              <w:top w:val="single" w:sz="2" w:space="0" w:color="0067AB"/>
              <w:left w:val="single" w:sz="2" w:space="0" w:color="0067AB"/>
              <w:bottom w:val="single" w:sz="2" w:space="0" w:color="0067AB"/>
              <w:right w:val="single" w:sz="2" w:space="0" w:color="0067AB"/>
            </w:tcBorders>
            <w:shd w:val="clear" w:color="auto" w:fill="auto"/>
          </w:tcPr>
          <w:p w14:paraId="12C0FEE0" w14:textId="67F2DC60"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23" w:type="pct"/>
            <w:tcBorders>
              <w:top w:val="single" w:sz="2" w:space="0" w:color="0067AB"/>
              <w:left w:val="single" w:sz="2" w:space="0" w:color="0067AB"/>
              <w:bottom w:val="single" w:sz="2" w:space="0" w:color="0067AB"/>
              <w:right w:val="single" w:sz="2" w:space="0" w:color="0067AB"/>
            </w:tcBorders>
            <w:shd w:val="clear" w:color="auto" w:fill="auto"/>
          </w:tcPr>
          <w:p w14:paraId="10FE80F7" w14:textId="1854461F" w:rsidR="000C6C9E" w:rsidRPr="00B26E50" w:rsidRDefault="000C6C9E" w:rsidP="000C6C9E">
            <w:pPr>
              <w:pStyle w:val="TableTextNoSpace"/>
              <w:jc w:val="center"/>
              <w:rPr>
                <w:rFonts w:cs="Arial"/>
                <w:b/>
                <w:sz w:val="18"/>
                <w:szCs w:val="18"/>
              </w:rPr>
            </w:pPr>
            <w:r w:rsidRPr="00B26E50">
              <w:rPr>
                <w:rFonts w:cs="Arial"/>
                <w:b/>
                <w:sz w:val="18"/>
                <w:szCs w:val="18"/>
              </w:rPr>
              <w:t>X</w:t>
            </w:r>
          </w:p>
        </w:tc>
      </w:tr>
      <w:tr w:rsidR="000C6C9E" w14:paraId="3A87472E" w14:textId="77777777" w:rsidTr="006D06B0">
        <w:tc>
          <w:tcPr>
            <w:tcW w:w="783" w:type="pct"/>
            <w:tcBorders>
              <w:top w:val="single" w:sz="2" w:space="0" w:color="0067AB"/>
              <w:left w:val="single" w:sz="2" w:space="0" w:color="0067AB"/>
              <w:bottom w:val="single" w:sz="2" w:space="0" w:color="0067AB"/>
              <w:right w:val="single" w:sz="2" w:space="0" w:color="0067AB"/>
            </w:tcBorders>
          </w:tcPr>
          <w:p w14:paraId="46F1527F" w14:textId="57BC649F" w:rsidR="000C6C9E" w:rsidRDefault="000C6C9E" w:rsidP="00120495">
            <w:pPr>
              <w:pStyle w:val="TableTextNoSpace"/>
              <w:jc w:val="left"/>
              <w:rPr>
                <w:rFonts w:asciiTheme="minorHAnsi" w:hAnsiTheme="minorHAnsi"/>
                <w:sz w:val="18"/>
                <w:szCs w:val="18"/>
              </w:rPr>
            </w:pPr>
            <w:r>
              <w:rPr>
                <w:rFonts w:asciiTheme="minorHAnsi" w:hAnsiTheme="minorHAnsi"/>
                <w:sz w:val="18"/>
                <w:szCs w:val="18"/>
              </w:rPr>
              <w:t>Horizon 2020</w:t>
            </w:r>
          </w:p>
        </w:tc>
        <w:tc>
          <w:tcPr>
            <w:tcW w:w="171" w:type="pct"/>
            <w:tcBorders>
              <w:top w:val="single" w:sz="2" w:space="0" w:color="0067AB"/>
              <w:left w:val="single" w:sz="2" w:space="0" w:color="0067AB"/>
              <w:bottom w:val="single" w:sz="2" w:space="0" w:color="0067AB"/>
              <w:right w:val="single" w:sz="2" w:space="0" w:color="0067AB"/>
            </w:tcBorders>
          </w:tcPr>
          <w:p w14:paraId="32F6AE73" w14:textId="77777777" w:rsidR="000C6C9E" w:rsidRPr="00CE4330" w:rsidRDefault="000C6C9E" w:rsidP="000C6C9E">
            <w:pPr>
              <w:pStyle w:val="TableTextNoSpace"/>
              <w:jc w:val="center"/>
              <w:rPr>
                <w:rFonts w:cs="Arial"/>
                <w:sz w:val="18"/>
                <w:szCs w:val="18"/>
              </w:rPr>
            </w:pPr>
          </w:p>
        </w:tc>
        <w:tc>
          <w:tcPr>
            <w:tcW w:w="172" w:type="pct"/>
            <w:tcBorders>
              <w:top w:val="single" w:sz="2" w:space="0" w:color="0067AB"/>
              <w:left w:val="single" w:sz="2" w:space="0" w:color="0067AB"/>
              <w:bottom w:val="single" w:sz="2" w:space="0" w:color="0067AB"/>
              <w:right w:val="single" w:sz="2" w:space="0" w:color="0067AB"/>
            </w:tcBorders>
          </w:tcPr>
          <w:p w14:paraId="3C8F433A" w14:textId="24B5A117"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tcPr>
          <w:p w14:paraId="5F12CC8E" w14:textId="6C6A2C85" w:rsidR="000C6C9E" w:rsidRPr="00CE4330" w:rsidRDefault="000C6C9E" w:rsidP="000C6C9E">
            <w:pPr>
              <w:pStyle w:val="TableTextNoSpace"/>
              <w:jc w:val="center"/>
              <w:rPr>
                <w:rFonts w:cs="Arial"/>
                <w:sz w:val="18"/>
                <w:szCs w:val="18"/>
              </w:rPr>
            </w:pPr>
          </w:p>
        </w:tc>
        <w:tc>
          <w:tcPr>
            <w:tcW w:w="174" w:type="pct"/>
            <w:tcBorders>
              <w:top w:val="single" w:sz="2" w:space="0" w:color="0067AB"/>
              <w:left w:val="single" w:sz="2" w:space="0" w:color="0067AB"/>
              <w:bottom w:val="single" w:sz="2" w:space="0" w:color="0067AB"/>
              <w:right w:val="single" w:sz="12" w:space="0" w:color="0067AB"/>
            </w:tcBorders>
          </w:tcPr>
          <w:p w14:paraId="6F3E3E2C" w14:textId="588ABFE5" w:rsidR="000C6C9E" w:rsidRPr="00B26E50" w:rsidRDefault="000C6C9E" w:rsidP="000C6C9E">
            <w:pPr>
              <w:pStyle w:val="TableTextNoSpace"/>
              <w:jc w:val="center"/>
              <w:rPr>
                <w:rFonts w:cs="Arial"/>
                <w:b/>
                <w:sz w:val="18"/>
                <w:szCs w:val="18"/>
              </w:rPr>
            </w:pPr>
            <w:r>
              <w:rPr>
                <w:rFonts w:cs="Arial"/>
                <w:b/>
                <w:sz w:val="18"/>
                <w:szCs w:val="18"/>
              </w:rPr>
              <w:t>X</w:t>
            </w:r>
          </w:p>
        </w:tc>
        <w:tc>
          <w:tcPr>
            <w:tcW w:w="172" w:type="pct"/>
            <w:tcBorders>
              <w:top w:val="single" w:sz="2" w:space="0" w:color="0067AB"/>
              <w:left w:val="single" w:sz="12" w:space="0" w:color="0067AB"/>
              <w:bottom w:val="single" w:sz="2" w:space="0" w:color="0067AB"/>
              <w:right w:val="single" w:sz="2" w:space="0" w:color="0067AB"/>
            </w:tcBorders>
          </w:tcPr>
          <w:p w14:paraId="41E40EFA" w14:textId="403AED4B" w:rsidR="000C6C9E" w:rsidRPr="00CE4330" w:rsidRDefault="000C6C9E" w:rsidP="000C6C9E">
            <w:pPr>
              <w:pStyle w:val="TableTextNoSpace"/>
              <w:jc w:val="center"/>
              <w:rPr>
                <w:rFonts w:cs="Arial"/>
                <w:sz w:val="18"/>
                <w:szCs w:val="18"/>
              </w:rPr>
            </w:pPr>
          </w:p>
        </w:tc>
        <w:tc>
          <w:tcPr>
            <w:tcW w:w="173" w:type="pct"/>
            <w:tcBorders>
              <w:top w:val="single" w:sz="2" w:space="0" w:color="0067AB"/>
              <w:left w:val="single" w:sz="2" w:space="0" w:color="0067AB"/>
              <w:bottom w:val="single" w:sz="2" w:space="0" w:color="0067AB"/>
              <w:right w:val="single" w:sz="2" w:space="0" w:color="0067AB"/>
            </w:tcBorders>
          </w:tcPr>
          <w:p w14:paraId="651F635C" w14:textId="2FAE1D34" w:rsidR="000C6C9E" w:rsidRPr="00CE4330" w:rsidRDefault="000C6C9E" w:rsidP="000C6C9E">
            <w:pPr>
              <w:pStyle w:val="TableTextNoSpace"/>
              <w:jc w:val="center"/>
              <w:rPr>
                <w:rFonts w:cs="Arial"/>
                <w:sz w:val="18"/>
                <w:szCs w:val="18"/>
              </w:rPr>
            </w:pPr>
          </w:p>
        </w:tc>
        <w:tc>
          <w:tcPr>
            <w:tcW w:w="172" w:type="pct"/>
            <w:tcBorders>
              <w:top w:val="single" w:sz="2" w:space="0" w:color="0067AB"/>
              <w:left w:val="single" w:sz="2" w:space="0" w:color="0067AB"/>
              <w:bottom w:val="single" w:sz="2" w:space="0" w:color="0067AB"/>
              <w:right w:val="single" w:sz="2" w:space="0" w:color="0067AB"/>
            </w:tcBorders>
          </w:tcPr>
          <w:p w14:paraId="0033B8C3" w14:textId="5D2F2854" w:rsidR="000C6C9E" w:rsidRPr="00CE4330" w:rsidRDefault="000C6C9E" w:rsidP="000C6C9E">
            <w:pPr>
              <w:pStyle w:val="TableTextNoSpace"/>
              <w:jc w:val="center"/>
              <w:rPr>
                <w:rFonts w:cs="Arial"/>
                <w:sz w:val="18"/>
                <w:szCs w:val="18"/>
              </w:rPr>
            </w:pPr>
            <w:r w:rsidRPr="00CE4330">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tcPr>
          <w:p w14:paraId="5B43B960" w14:textId="752AFC66" w:rsidR="000C6C9E" w:rsidRPr="00CE4330" w:rsidRDefault="000C6C9E" w:rsidP="000C6C9E">
            <w:pPr>
              <w:pStyle w:val="TableTextNoSpace"/>
              <w:jc w:val="center"/>
              <w:rPr>
                <w:rFonts w:cs="Arial"/>
                <w:sz w:val="18"/>
                <w:szCs w:val="18"/>
              </w:rPr>
            </w:pPr>
            <w:r w:rsidRPr="00CE4330">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tcPr>
          <w:p w14:paraId="502B7BFB" w14:textId="45A32E41" w:rsidR="000C6C9E" w:rsidRPr="00CE4330" w:rsidRDefault="000C6C9E" w:rsidP="000C6C9E">
            <w:pPr>
              <w:pStyle w:val="TableTextNoSpace"/>
              <w:jc w:val="center"/>
              <w:rPr>
                <w:rFonts w:cs="Arial"/>
                <w:sz w:val="18"/>
                <w:szCs w:val="18"/>
              </w:rPr>
            </w:pPr>
          </w:p>
        </w:tc>
        <w:tc>
          <w:tcPr>
            <w:tcW w:w="173" w:type="pct"/>
            <w:tcBorders>
              <w:top w:val="single" w:sz="2" w:space="0" w:color="0067AB"/>
              <w:left w:val="single" w:sz="2" w:space="0" w:color="0067AB"/>
              <w:bottom w:val="single" w:sz="2" w:space="0" w:color="0067AB"/>
              <w:right w:val="single" w:sz="2" w:space="0" w:color="0067AB"/>
            </w:tcBorders>
          </w:tcPr>
          <w:p w14:paraId="2F4027D2" w14:textId="20324FB4" w:rsidR="000C6C9E" w:rsidRPr="00CE4330" w:rsidRDefault="000C6C9E" w:rsidP="000C6C9E">
            <w:pPr>
              <w:pStyle w:val="TableTextNoSpace"/>
              <w:jc w:val="center"/>
              <w:rPr>
                <w:rFonts w:cs="Arial"/>
                <w:sz w:val="18"/>
                <w:szCs w:val="18"/>
              </w:rPr>
            </w:pPr>
          </w:p>
        </w:tc>
        <w:tc>
          <w:tcPr>
            <w:tcW w:w="172" w:type="pct"/>
            <w:tcBorders>
              <w:top w:val="single" w:sz="2" w:space="0" w:color="0067AB"/>
              <w:left w:val="single" w:sz="2" w:space="0" w:color="0067AB"/>
              <w:bottom w:val="single" w:sz="2" w:space="0" w:color="0067AB"/>
              <w:right w:val="single" w:sz="12" w:space="0" w:color="0067AB"/>
            </w:tcBorders>
          </w:tcPr>
          <w:p w14:paraId="4B4482BF" w14:textId="54E47A8C" w:rsidR="000C6C9E" w:rsidRPr="00CE4330" w:rsidRDefault="000C6C9E" w:rsidP="000C6C9E">
            <w:pPr>
              <w:pStyle w:val="TableTextNoSpace"/>
              <w:jc w:val="center"/>
              <w:rPr>
                <w:rFonts w:cs="Arial"/>
                <w:sz w:val="18"/>
                <w:szCs w:val="18"/>
              </w:rPr>
            </w:pPr>
          </w:p>
        </w:tc>
        <w:tc>
          <w:tcPr>
            <w:tcW w:w="174" w:type="pct"/>
            <w:gridSpan w:val="2"/>
            <w:tcBorders>
              <w:top w:val="single" w:sz="2" w:space="0" w:color="0067AB"/>
              <w:left w:val="single" w:sz="12" w:space="0" w:color="0067AB"/>
              <w:bottom w:val="single" w:sz="2" w:space="0" w:color="0067AB"/>
              <w:right w:val="single" w:sz="2" w:space="0" w:color="0067AB"/>
            </w:tcBorders>
          </w:tcPr>
          <w:p w14:paraId="1E58C2F7" w14:textId="39231BEB" w:rsidR="000C6C9E" w:rsidRPr="00CE4330" w:rsidRDefault="000C6C9E" w:rsidP="000C6C9E">
            <w:pPr>
              <w:pStyle w:val="TableTextNoSpace"/>
              <w:jc w:val="center"/>
              <w:rPr>
                <w:rFonts w:cs="Arial"/>
                <w:sz w:val="18"/>
                <w:szCs w:val="18"/>
              </w:rPr>
            </w:pPr>
            <w:r w:rsidRPr="00CE4330">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tcPr>
          <w:p w14:paraId="4E3C2E95" w14:textId="12F2D234" w:rsidR="000C6C9E" w:rsidRPr="00CE4330" w:rsidRDefault="000C6C9E" w:rsidP="000C6C9E">
            <w:pPr>
              <w:pStyle w:val="TableTextNoSpace"/>
              <w:jc w:val="center"/>
              <w:rPr>
                <w:rFonts w:cs="Arial"/>
                <w:sz w:val="18"/>
                <w:szCs w:val="18"/>
              </w:rPr>
            </w:pPr>
            <w:r w:rsidRPr="00CE4330">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tcPr>
          <w:p w14:paraId="75D3F473" w14:textId="0876C17A" w:rsidR="000C6C9E" w:rsidRPr="00CE4330" w:rsidRDefault="000C6C9E" w:rsidP="000C6C9E">
            <w:pPr>
              <w:pStyle w:val="TableTextNoSpace"/>
              <w:jc w:val="center"/>
              <w:rPr>
                <w:rFonts w:cs="Arial"/>
                <w:sz w:val="18"/>
                <w:szCs w:val="18"/>
              </w:rPr>
            </w:pPr>
            <w:r w:rsidRPr="00CE4330">
              <w:rPr>
                <w:rFonts w:cs="Arial"/>
                <w:sz w:val="18"/>
                <w:szCs w:val="18"/>
              </w:rPr>
              <w:t>x</w:t>
            </w:r>
          </w:p>
        </w:tc>
        <w:tc>
          <w:tcPr>
            <w:tcW w:w="172" w:type="pct"/>
            <w:tcBorders>
              <w:top w:val="single" w:sz="2" w:space="0" w:color="0067AB"/>
              <w:left w:val="single" w:sz="2" w:space="0" w:color="0067AB"/>
              <w:bottom w:val="single" w:sz="2" w:space="0" w:color="0067AB"/>
              <w:right w:val="single" w:sz="2" w:space="0" w:color="0067AB"/>
            </w:tcBorders>
          </w:tcPr>
          <w:p w14:paraId="5F55D650" w14:textId="3A4E69AC" w:rsidR="000C6C9E" w:rsidRPr="00CE4330" w:rsidRDefault="000C6C9E" w:rsidP="000C6C9E">
            <w:pPr>
              <w:pStyle w:val="TableTextNoSpace"/>
              <w:jc w:val="center"/>
              <w:rPr>
                <w:rFonts w:cs="Arial"/>
                <w:sz w:val="18"/>
                <w:szCs w:val="18"/>
              </w:rPr>
            </w:pPr>
            <w:r w:rsidRPr="00CE4330">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tcPr>
          <w:p w14:paraId="7B0BA2AF" w14:textId="6D38C4F2" w:rsidR="000C6C9E" w:rsidRPr="00CE4330" w:rsidRDefault="000C6C9E" w:rsidP="000C6C9E">
            <w:pPr>
              <w:pStyle w:val="TableTextNoSpace"/>
              <w:jc w:val="center"/>
              <w:rPr>
                <w:rFonts w:cs="Arial"/>
                <w:sz w:val="18"/>
                <w:szCs w:val="18"/>
              </w:rPr>
            </w:pPr>
          </w:p>
        </w:tc>
        <w:tc>
          <w:tcPr>
            <w:tcW w:w="185" w:type="pct"/>
            <w:tcBorders>
              <w:top w:val="single" w:sz="2" w:space="0" w:color="0067AB"/>
              <w:left w:val="single" w:sz="2" w:space="0" w:color="0067AB"/>
              <w:bottom w:val="single" w:sz="2" w:space="0" w:color="0067AB"/>
              <w:right w:val="single" w:sz="2" w:space="0" w:color="0067AB"/>
            </w:tcBorders>
          </w:tcPr>
          <w:p w14:paraId="086D1BCC" w14:textId="2B15C2C8" w:rsidR="000C6C9E" w:rsidRPr="00CE4330" w:rsidRDefault="000C6C9E" w:rsidP="000C6C9E">
            <w:pPr>
              <w:pStyle w:val="TableTextNoSpace"/>
              <w:jc w:val="center"/>
              <w:rPr>
                <w:rFonts w:cs="Arial"/>
                <w:sz w:val="18"/>
                <w:szCs w:val="18"/>
              </w:rPr>
            </w:pPr>
            <w:r w:rsidRPr="00CE4330">
              <w:rPr>
                <w:rFonts w:cs="Arial"/>
                <w:sz w:val="18"/>
                <w:szCs w:val="18"/>
              </w:rPr>
              <w:t>x</w:t>
            </w:r>
          </w:p>
        </w:tc>
        <w:tc>
          <w:tcPr>
            <w:tcW w:w="177" w:type="pct"/>
            <w:tcBorders>
              <w:top w:val="single" w:sz="2" w:space="0" w:color="0067AB"/>
              <w:left w:val="single" w:sz="2" w:space="0" w:color="0067AB"/>
              <w:bottom w:val="single" w:sz="2" w:space="0" w:color="0067AB"/>
              <w:right w:val="single" w:sz="2" w:space="0" w:color="0067AB"/>
            </w:tcBorders>
          </w:tcPr>
          <w:p w14:paraId="5CD01D46" w14:textId="7CDE4F7D" w:rsidR="000C6C9E" w:rsidRPr="00CE4330" w:rsidRDefault="000C6C9E" w:rsidP="000C6C9E">
            <w:pPr>
              <w:pStyle w:val="TableTextNoSpace"/>
              <w:jc w:val="center"/>
              <w:rPr>
                <w:rFonts w:cs="Arial"/>
                <w:sz w:val="18"/>
                <w:szCs w:val="18"/>
              </w:rPr>
            </w:pPr>
            <w:r w:rsidRPr="00CE4330">
              <w:rPr>
                <w:rFonts w:cs="Arial"/>
                <w:sz w:val="18"/>
                <w:szCs w:val="18"/>
              </w:rPr>
              <w:t>x</w:t>
            </w:r>
          </w:p>
        </w:tc>
        <w:tc>
          <w:tcPr>
            <w:tcW w:w="171" w:type="pct"/>
            <w:tcBorders>
              <w:top w:val="single" w:sz="2" w:space="0" w:color="0067AB"/>
              <w:left w:val="single" w:sz="2" w:space="0" w:color="0067AB"/>
              <w:bottom w:val="single" w:sz="2" w:space="0" w:color="0067AB"/>
              <w:right w:val="single" w:sz="2" w:space="0" w:color="0067AB"/>
            </w:tcBorders>
          </w:tcPr>
          <w:p w14:paraId="3700012A" w14:textId="35E87379" w:rsidR="000C6C9E" w:rsidRPr="00CE4330" w:rsidRDefault="000C6C9E" w:rsidP="000C6C9E">
            <w:pPr>
              <w:pStyle w:val="TableTextNoSpace"/>
              <w:jc w:val="center"/>
              <w:rPr>
                <w:rFonts w:cs="Arial"/>
                <w:sz w:val="18"/>
                <w:szCs w:val="18"/>
              </w:rPr>
            </w:pPr>
          </w:p>
        </w:tc>
        <w:tc>
          <w:tcPr>
            <w:tcW w:w="171" w:type="pct"/>
            <w:tcBorders>
              <w:top w:val="single" w:sz="2" w:space="0" w:color="0067AB"/>
              <w:left w:val="single" w:sz="2" w:space="0" w:color="0067AB"/>
              <w:bottom w:val="single" w:sz="2" w:space="0" w:color="0067AB"/>
              <w:right w:val="single" w:sz="2" w:space="0" w:color="0067AB"/>
            </w:tcBorders>
          </w:tcPr>
          <w:p w14:paraId="16396FF8" w14:textId="4799EB5D" w:rsidR="000C6C9E" w:rsidRPr="00CE4330" w:rsidRDefault="000C6C9E" w:rsidP="000C6C9E">
            <w:pPr>
              <w:pStyle w:val="TableTextNoSpace"/>
              <w:jc w:val="center"/>
              <w:rPr>
                <w:rFonts w:cs="Arial"/>
                <w:sz w:val="18"/>
                <w:szCs w:val="18"/>
              </w:rPr>
            </w:pPr>
            <w:r w:rsidRPr="00CE4330">
              <w:rPr>
                <w:rFonts w:cs="Arial"/>
                <w:sz w:val="18"/>
                <w:szCs w:val="18"/>
              </w:rPr>
              <w:t>x</w:t>
            </w:r>
          </w:p>
        </w:tc>
        <w:tc>
          <w:tcPr>
            <w:tcW w:w="167" w:type="pct"/>
            <w:tcBorders>
              <w:top w:val="single" w:sz="2" w:space="0" w:color="0067AB"/>
              <w:left w:val="single" w:sz="2" w:space="0" w:color="0067AB"/>
              <w:bottom w:val="single" w:sz="2" w:space="0" w:color="0067AB"/>
              <w:right w:val="single" w:sz="12" w:space="0" w:color="0067AB"/>
            </w:tcBorders>
          </w:tcPr>
          <w:p w14:paraId="34892A0D" w14:textId="76E73A01" w:rsidR="000C6C9E" w:rsidRPr="00CE4330" w:rsidRDefault="000C6C9E" w:rsidP="000C6C9E">
            <w:pPr>
              <w:pStyle w:val="TableTextNoSpace"/>
              <w:jc w:val="center"/>
              <w:rPr>
                <w:rFonts w:cs="Arial"/>
                <w:sz w:val="18"/>
                <w:szCs w:val="18"/>
              </w:rPr>
            </w:pPr>
            <w:r w:rsidRPr="00CE4330">
              <w:rPr>
                <w:rFonts w:cs="Arial"/>
                <w:sz w:val="18"/>
                <w:szCs w:val="18"/>
              </w:rPr>
              <w:t>x</w:t>
            </w:r>
          </w:p>
        </w:tc>
        <w:tc>
          <w:tcPr>
            <w:tcW w:w="159" w:type="pct"/>
            <w:tcBorders>
              <w:top w:val="single" w:sz="2" w:space="0" w:color="0067AB"/>
              <w:left w:val="single" w:sz="12" w:space="0" w:color="0067AB"/>
              <w:bottom w:val="single" w:sz="2" w:space="0" w:color="0067AB"/>
              <w:right w:val="single" w:sz="2" w:space="0" w:color="0067AB"/>
            </w:tcBorders>
          </w:tcPr>
          <w:p w14:paraId="0D1F0DF7" w14:textId="31A2B0AA" w:rsidR="000C6C9E" w:rsidRPr="00CE4330" w:rsidRDefault="000C6C9E" w:rsidP="000C6C9E">
            <w:pPr>
              <w:pStyle w:val="TableTextNoSpace"/>
              <w:jc w:val="center"/>
              <w:rPr>
                <w:rFonts w:cs="Arial"/>
                <w:sz w:val="18"/>
                <w:szCs w:val="18"/>
              </w:rPr>
            </w:pPr>
          </w:p>
        </w:tc>
        <w:tc>
          <w:tcPr>
            <w:tcW w:w="154" w:type="pct"/>
            <w:tcBorders>
              <w:top w:val="single" w:sz="2" w:space="0" w:color="0067AB"/>
              <w:left w:val="single" w:sz="2" w:space="0" w:color="0067AB"/>
              <w:bottom w:val="single" w:sz="2" w:space="0" w:color="0067AB"/>
              <w:right w:val="single" w:sz="2" w:space="0" w:color="0067AB"/>
            </w:tcBorders>
          </w:tcPr>
          <w:p w14:paraId="7B677D04" w14:textId="768A9883" w:rsidR="000C6C9E" w:rsidRPr="00CE4330" w:rsidRDefault="000C6C9E" w:rsidP="000C6C9E">
            <w:pPr>
              <w:pStyle w:val="TableTextNoSpace"/>
              <w:jc w:val="center"/>
              <w:rPr>
                <w:rFonts w:cs="Arial"/>
                <w:sz w:val="18"/>
                <w:szCs w:val="18"/>
              </w:rPr>
            </w:pPr>
          </w:p>
        </w:tc>
        <w:tc>
          <w:tcPr>
            <w:tcW w:w="147" w:type="pct"/>
            <w:tcBorders>
              <w:top w:val="single" w:sz="2" w:space="0" w:color="0067AB"/>
              <w:left w:val="single" w:sz="2" w:space="0" w:color="0067AB"/>
              <w:bottom w:val="single" w:sz="2" w:space="0" w:color="0067AB"/>
              <w:right w:val="single" w:sz="2" w:space="0" w:color="0067AB"/>
            </w:tcBorders>
          </w:tcPr>
          <w:p w14:paraId="4C33FCD0" w14:textId="034F1B77" w:rsidR="000C6C9E" w:rsidRPr="00CE4330" w:rsidRDefault="000C6C9E" w:rsidP="000C6C9E">
            <w:pPr>
              <w:pStyle w:val="TableTextNoSpace"/>
              <w:jc w:val="center"/>
              <w:rPr>
                <w:rFonts w:cs="Arial"/>
                <w:sz w:val="18"/>
                <w:szCs w:val="18"/>
              </w:rPr>
            </w:pPr>
            <w:r w:rsidRPr="00CE4330">
              <w:rPr>
                <w:rFonts w:cs="Arial"/>
                <w:sz w:val="18"/>
                <w:szCs w:val="18"/>
              </w:rPr>
              <w:t>x</w:t>
            </w:r>
          </w:p>
        </w:tc>
        <w:tc>
          <w:tcPr>
            <w:tcW w:w="123" w:type="pct"/>
            <w:tcBorders>
              <w:top w:val="single" w:sz="2" w:space="0" w:color="0067AB"/>
              <w:left w:val="single" w:sz="2" w:space="0" w:color="0067AB"/>
              <w:bottom w:val="single" w:sz="2" w:space="0" w:color="0067AB"/>
              <w:right w:val="single" w:sz="2" w:space="0" w:color="0067AB"/>
            </w:tcBorders>
          </w:tcPr>
          <w:p w14:paraId="017682DF" w14:textId="0C140182" w:rsidR="000C6C9E" w:rsidRPr="00CE4330" w:rsidRDefault="000C6C9E" w:rsidP="000C6C9E">
            <w:pPr>
              <w:pStyle w:val="TableTextNoSpace"/>
              <w:jc w:val="center"/>
              <w:rPr>
                <w:rFonts w:cs="Arial"/>
                <w:sz w:val="18"/>
                <w:szCs w:val="18"/>
              </w:rPr>
            </w:pPr>
          </w:p>
        </w:tc>
      </w:tr>
      <w:tr w:rsidR="000C6C9E" w14:paraId="2500481E" w14:textId="77777777" w:rsidTr="000C6C9E">
        <w:tc>
          <w:tcPr>
            <w:tcW w:w="5000" w:type="pct"/>
            <w:gridSpan w:val="27"/>
            <w:tcBorders>
              <w:top w:val="single" w:sz="2" w:space="0" w:color="0067AB"/>
              <w:left w:val="single" w:sz="2" w:space="0" w:color="0067AB"/>
              <w:bottom w:val="single" w:sz="2" w:space="0" w:color="0067AB"/>
              <w:right w:val="single" w:sz="2" w:space="0" w:color="0067AB"/>
            </w:tcBorders>
            <w:shd w:val="clear" w:color="auto" w:fill="F2F2F2" w:themeFill="background1" w:themeFillShade="F2"/>
          </w:tcPr>
          <w:p w14:paraId="5A0C4D59" w14:textId="6AD63204" w:rsidR="000C6C9E" w:rsidRPr="00CE4330" w:rsidRDefault="000C6C9E" w:rsidP="00120495">
            <w:pPr>
              <w:pStyle w:val="TableTextNoSpace"/>
              <w:jc w:val="left"/>
              <w:rPr>
                <w:rFonts w:cs="Arial"/>
                <w:sz w:val="18"/>
                <w:szCs w:val="18"/>
              </w:rPr>
            </w:pPr>
            <w:r>
              <w:rPr>
                <w:rFonts w:asciiTheme="minorHAnsi" w:hAnsiTheme="minorHAnsi"/>
                <w:b/>
                <w:sz w:val="18"/>
                <w:szCs w:val="18"/>
              </w:rPr>
              <w:t>Other sector plans, strategies and public funds</w:t>
            </w:r>
          </w:p>
        </w:tc>
      </w:tr>
      <w:tr w:rsidR="000C6C9E" w14:paraId="696D372D" w14:textId="77777777" w:rsidTr="00B96E61">
        <w:tc>
          <w:tcPr>
            <w:tcW w:w="783" w:type="pct"/>
            <w:tcBorders>
              <w:top w:val="single" w:sz="2" w:space="0" w:color="0067AB"/>
              <w:left w:val="single" w:sz="2" w:space="0" w:color="0067AB"/>
              <w:bottom w:val="single" w:sz="2" w:space="0" w:color="0067AB"/>
              <w:right w:val="single" w:sz="2" w:space="0" w:color="0067AB"/>
            </w:tcBorders>
            <w:shd w:val="clear" w:color="auto" w:fill="auto"/>
          </w:tcPr>
          <w:p w14:paraId="6D2FE088" w14:textId="085E3A8C" w:rsidR="000C6C9E" w:rsidRDefault="000C6C9E" w:rsidP="00120495">
            <w:pPr>
              <w:pStyle w:val="TableTextNoSpace"/>
              <w:jc w:val="left"/>
              <w:rPr>
                <w:rFonts w:asciiTheme="minorHAnsi" w:hAnsiTheme="minorHAnsi"/>
                <w:b/>
                <w:sz w:val="18"/>
                <w:szCs w:val="18"/>
              </w:rPr>
            </w:pPr>
            <w:r>
              <w:rPr>
                <w:rFonts w:asciiTheme="minorHAnsi" w:hAnsiTheme="minorHAnsi"/>
                <w:sz w:val="18"/>
                <w:szCs w:val="18"/>
              </w:rPr>
              <w:t>Other sector plans</w:t>
            </w:r>
          </w:p>
        </w:tc>
        <w:tc>
          <w:tcPr>
            <w:tcW w:w="171" w:type="pct"/>
            <w:tcBorders>
              <w:top w:val="single" w:sz="2" w:space="0" w:color="0067AB"/>
              <w:left w:val="single" w:sz="2" w:space="0" w:color="0067AB"/>
              <w:bottom w:val="single" w:sz="2" w:space="0" w:color="0067AB"/>
              <w:right w:val="single" w:sz="2" w:space="0" w:color="0067AB"/>
            </w:tcBorders>
            <w:shd w:val="clear" w:color="auto" w:fill="auto"/>
            <w:vAlign w:val="center"/>
          </w:tcPr>
          <w:p w14:paraId="60C5A522" w14:textId="77777777" w:rsidR="000C6C9E" w:rsidRPr="00CE4330" w:rsidRDefault="000C6C9E" w:rsidP="000C6C9E">
            <w:pPr>
              <w:pStyle w:val="TableTextNoSpace"/>
              <w:jc w:val="center"/>
              <w:rPr>
                <w:rFonts w:cs="Arial"/>
                <w:sz w:val="18"/>
                <w:szCs w:val="18"/>
              </w:rPr>
            </w:pPr>
          </w:p>
        </w:tc>
        <w:tc>
          <w:tcPr>
            <w:tcW w:w="172" w:type="pct"/>
            <w:tcBorders>
              <w:top w:val="single" w:sz="2" w:space="0" w:color="0067AB"/>
              <w:left w:val="single" w:sz="2" w:space="0" w:color="0067AB"/>
              <w:bottom w:val="single" w:sz="2" w:space="0" w:color="0067AB"/>
              <w:right w:val="single" w:sz="2" w:space="0" w:color="0067AB"/>
            </w:tcBorders>
            <w:shd w:val="clear" w:color="auto" w:fill="auto"/>
            <w:vAlign w:val="center"/>
          </w:tcPr>
          <w:p w14:paraId="195D0091" w14:textId="77777777" w:rsidR="000C6C9E" w:rsidRPr="00CE4330" w:rsidRDefault="000C6C9E" w:rsidP="000C6C9E">
            <w:pPr>
              <w:pStyle w:val="TableTextNoSpace"/>
              <w:jc w:val="center"/>
              <w:rPr>
                <w:rFonts w:cs="Arial"/>
                <w:sz w:val="18"/>
                <w:szCs w:val="18"/>
              </w:rPr>
            </w:pPr>
          </w:p>
        </w:tc>
        <w:tc>
          <w:tcPr>
            <w:tcW w:w="173" w:type="pct"/>
            <w:tcBorders>
              <w:top w:val="single" w:sz="2" w:space="0" w:color="0067AB"/>
              <w:left w:val="single" w:sz="2" w:space="0" w:color="0067AB"/>
              <w:bottom w:val="single" w:sz="2" w:space="0" w:color="0067AB"/>
              <w:right w:val="single" w:sz="2" w:space="0" w:color="0067AB"/>
            </w:tcBorders>
            <w:shd w:val="clear" w:color="auto" w:fill="auto"/>
            <w:vAlign w:val="center"/>
          </w:tcPr>
          <w:p w14:paraId="1FEB6DC7" w14:textId="7D1EF103" w:rsidR="000C6C9E" w:rsidRPr="00CE4330" w:rsidRDefault="00213A9E" w:rsidP="000C6C9E">
            <w:pPr>
              <w:pStyle w:val="TableTextNoSpace"/>
              <w:jc w:val="center"/>
              <w:rPr>
                <w:rFonts w:cs="Arial"/>
                <w:sz w:val="18"/>
                <w:szCs w:val="18"/>
              </w:rPr>
            </w:pPr>
            <w:r w:rsidRPr="00CE4330">
              <w:rPr>
                <w:rFonts w:cs="Arial"/>
                <w:sz w:val="18"/>
                <w:szCs w:val="18"/>
              </w:rPr>
              <w:t>x</w:t>
            </w:r>
          </w:p>
        </w:tc>
        <w:tc>
          <w:tcPr>
            <w:tcW w:w="174" w:type="pct"/>
            <w:tcBorders>
              <w:top w:val="single" w:sz="2" w:space="0" w:color="0067AB"/>
              <w:left w:val="single" w:sz="2" w:space="0" w:color="0067AB"/>
              <w:bottom w:val="single" w:sz="2" w:space="0" w:color="0067AB"/>
              <w:right w:val="single" w:sz="12" w:space="0" w:color="0067AB"/>
            </w:tcBorders>
            <w:shd w:val="clear" w:color="auto" w:fill="auto"/>
            <w:vAlign w:val="center"/>
          </w:tcPr>
          <w:p w14:paraId="25DF407D" w14:textId="4EE58B17"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2" w:type="pct"/>
            <w:tcBorders>
              <w:top w:val="single" w:sz="2" w:space="0" w:color="0067AB"/>
              <w:left w:val="single" w:sz="12" w:space="0" w:color="0067AB"/>
              <w:bottom w:val="single" w:sz="2" w:space="0" w:color="0067AB"/>
              <w:right w:val="single" w:sz="2" w:space="0" w:color="0067AB"/>
            </w:tcBorders>
            <w:shd w:val="clear" w:color="auto" w:fill="auto"/>
            <w:vAlign w:val="center"/>
          </w:tcPr>
          <w:p w14:paraId="00B9C30C" w14:textId="27110790" w:rsidR="000C6C9E" w:rsidRPr="00CE4330" w:rsidRDefault="00213A9E" w:rsidP="000C6C9E">
            <w:pPr>
              <w:pStyle w:val="TableTextNoSpace"/>
              <w:jc w:val="center"/>
              <w:rPr>
                <w:rFonts w:cs="Arial"/>
                <w:sz w:val="18"/>
                <w:szCs w:val="18"/>
              </w:rPr>
            </w:pPr>
            <w:r w:rsidRPr="00CE4330">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shd w:val="clear" w:color="auto" w:fill="auto"/>
            <w:vAlign w:val="center"/>
          </w:tcPr>
          <w:p w14:paraId="717C4958" w14:textId="535BE25F" w:rsidR="000C6C9E" w:rsidRPr="00CE4330" w:rsidRDefault="00213A9E" w:rsidP="000C6C9E">
            <w:pPr>
              <w:pStyle w:val="TableTextNoSpace"/>
              <w:jc w:val="center"/>
              <w:rPr>
                <w:rFonts w:cs="Arial"/>
                <w:sz w:val="18"/>
                <w:szCs w:val="18"/>
              </w:rPr>
            </w:pPr>
            <w:r w:rsidRPr="00CE4330">
              <w:rPr>
                <w:rFonts w:cs="Arial"/>
                <w:sz w:val="18"/>
                <w:szCs w:val="18"/>
              </w:rPr>
              <w:t>x</w:t>
            </w:r>
          </w:p>
        </w:tc>
        <w:tc>
          <w:tcPr>
            <w:tcW w:w="172" w:type="pct"/>
            <w:tcBorders>
              <w:top w:val="single" w:sz="2" w:space="0" w:color="0067AB"/>
              <w:left w:val="single" w:sz="2" w:space="0" w:color="0067AB"/>
              <w:bottom w:val="single" w:sz="2" w:space="0" w:color="0067AB"/>
              <w:right w:val="single" w:sz="2" w:space="0" w:color="0067AB"/>
            </w:tcBorders>
            <w:shd w:val="clear" w:color="auto" w:fill="auto"/>
            <w:vAlign w:val="center"/>
          </w:tcPr>
          <w:p w14:paraId="4816B8B2" w14:textId="724DC8D8" w:rsidR="000C6C9E" w:rsidRPr="00CE4330" w:rsidRDefault="000C6C9E" w:rsidP="000C6C9E">
            <w:pPr>
              <w:pStyle w:val="TableTextNoSpace"/>
              <w:jc w:val="center"/>
              <w:rPr>
                <w:rFonts w:cs="Arial"/>
                <w:sz w:val="18"/>
                <w:szCs w:val="18"/>
              </w:rPr>
            </w:pPr>
            <w:r>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shd w:val="clear" w:color="auto" w:fill="auto"/>
            <w:vAlign w:val="center"/>
          </w:tcPr>
          <w:p w14:paraId="2AB8501E" w14:textId="28BCEB10" w:rsidR="000C6C9E" w:rsidRPr="00CE4330" w:rsidRDefault="000C6C9E" w:rsidP="000C6C9E">
            <w:pPr>
              <w:pStyle w:val="TableTextNoSpace"/>
              <w:jc w:val="center"/>
              <w:rPr>
                <w:rFonts w:cs="Arial"/>
                <w:sz w:val="18"/>
                <w:szCs w:val="18"/>
              </w:rPr>
            </w:pPr>
            <w:r>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shd w:val="clear" w:color="auto" w:fill="auto"/>
            <w:vAlign w:val="center"/>
          </w:tcPr>
          <w:p w14:paraId="7BE6655D" w14:textId="07084629" w:rsidR="000C6C9E" w:rsidRPr="00CE4330" w:rsidRDefault="00213A9E" w:rsidP="000C6C9E">
            <w:pPr>
              <w:pStyle w:val="TableTextNoSpace"/>
              <w:jc w:val="center"/>
              <w:rPr>
                <w:rFonts w:cs="Arial"/>
                <w:sz w:val="18"/>
                <w:szCs w:val="18"/>
              </w:rPr>
            </w:pPr>
            <w:r w:rsidRPr="00CE4330">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shd w:val="clear" w:color="auto" w:fill="auto"/>
            <w:vAlign w:val="center"/>
          </w:tcPr>
          <w:p w14:paraId="50CB9227" w14:textId="77777777" w:rsidR="000C6C9E" w:rsidRPr="00CE4330" w:rsidRDefault="000C6C9E" w:rsidP="000C6C9E">
            <w:pPr>
              <w:pStyle w:val="TableTextNoSpace"/>
              <w:jc w:val="center"/>
              <w:rPr>
                <w:rFonts w:cs="Arial"/>
                <w:sz w:val="18"/>
                <w:szCs w:val="18"/>
              </w:rPr>
            </w:pPr>
          </w:p>
        </w:tc>
        <w:tc>
          <w:tcPr>
            <w:tcW w:w="172" w:type="pct"/>
            <w:tcBorders>
              <w:top w:val="single" w:sz="2" w:space="0" w:color="0067AB"/>
              <w:left w:val="single" w:sz="2" w:space="0" w:color="0067AB"/>
              <w:bottom w:val="single" w:sz="2" w:space="0" w:color="0067AB"/>
              <w:right w:val="single" w:sz="12" w:space="0" w:color="0067AB"/>
            </w:tcBorders>
            <w:shd w:val="clear" w:color="auto" w:fill="auto"/>
            <w:vAlign w:val="center"/>
          </w:tcPr>
          <w:p w14:paraId="2CB2B544" w14:textId="77777777" w:rsidR="000C6C9E" w:rsidRPr="00CE4330" w:rsidRDefault="000C6C9E" w:rsidP="000C6C9E">
            <w:pPr>
              <w:pStyle w:val="TableTextNoSpace"/>
              <w:jc w:val="center"/>
              <w:rPr>
                <w:rFonts w:cs="Arial"/>
                <w:sz w:val="18"/>
                <w:szCs w:val="18"/>
              </w:rPr>
            </w:pPr>
          </w:p>
        </w:tc>
        <w:tc>
          <w:tcPr>
            <w:tcW w:w="174" w:type="pct"/>
            <w:gridSpan w:val="2"/>
            <w:tcBorders>
              <w:top w:val="single" w:sz="2" w:space="0" w:color="0067AB"/>
              <w:left w:val="single" w:sz="12" w:space="0" w:color="0067AB"/>
              <w:bottom w:val="single" w:sz="2" w:space="0" w:color="0067AB"/>
              <w:right w:val="single" w:sz="2" w:space="0" w:color="0067AB"/>
            </w:tcBorders>
            <w:shd w:val="clear" w:color="auto" w:fill="auto"/>
            <w:vAlign w:val="center"/>
          </w:tcPr>
          <w:p w14:paraId="5EE0B609" w14:textId="42191C2D"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shd w:val="clear" w:color="auto" w:fill="auto"/>
            <w:vAlign w:val="center"/>
          </w:tcPr>
          <w:p w14:paraId="6DB46A48" w14:textId="62CE2879"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shd w:val="clear" w:color="auto" w:fill="auto"/>
            <w:vAlign w:val="center"/>
          </w:tcPr>
          <w:p w14:paraId="3D5E4564" w14:textId="24AE93DA"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2" w:type="pct"/>
            <w:tcBorders>
              <w:top w:val="single" w:sz="2" w:space="0" w:color="0067AB"/>
              <w:left w:val="single" w:sz="2" w:space="0" w:color="0067AB"/>
              <w:bottom w:val="single" w:sz="2" w:space="0" w:color="0067AB"/>
              <w:right w:val="single" w:sz="2" w:space="0" w:color="0067AB"/>
            </w:tcBorders>
            <w:shd w:val="clear" w:color="auto" w:fill="auto"/>
            <w:vAlign w:val="center"/>
          </w:tcPr>
          <w:p w14:paraId="6498E345" w14:textId="42414DFB" w:rsidR="000C6C9E" w:rsidRPr="00B26E50" w:rsidRDefault="00213A9E" w:rsidP="000C6C9E">
            <w:pPr>
              <w:pStyle w:val="TableTextNoSpace"/>
              <w:jc w:val="center"/>
              <w:rPr>
                <w:rFonts w:cs="Arial"/>
                <w:b/>
                <w:sz w:val="18"/>
                <w:szCs w:val="18"/>
              </w:rPr>
            </w:pPr>
            <w:r w:rsidRPr="00CE4330">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shd w:val="clear" w:color="auto" w:fill="auto"/>
            <w:vAlign w:val="center"/>
          </w:tcPr>
          <w:p w14:paraId="5853B504" w14:textId="77777777" w:rsidR="000C6C9E" w:rsidRPr="00B26E50" w:rsidRDefault="000C6C9E" w:rsidP="000C6C9E">
            <w:pPr>
              <w:pStyle w:val="TableTextNoSpace"/>
              <w:jc w:val="center"/>
              <w:rPr>
                <w:rFonts w:cs="Arial"/>
                <w:b/>
                <w:sz w:val="18"/>
                <w:szCs w:val="18"/>
              </w:rPr>
            </w:pPr>
          </w:p>
        </w:tc>
        <w:tc>
          <w:tcPr>
            <w:tcW w:w="185" w:type="pct"/>
            <w:tcBorders>
              <w:top w:val="single" w:sz="2" w:space="0" w:color="0067AB"/>
              <w:left w:val="single" w:sz="2" w:space="0" w:color="0067AB"/>
              <w:bottom w:val="single" w:sz="2" w:space="0" w:color="0067AB"/>
              <w:right w:val="single" w:sz="2" w:space="0" w:color="0067AB"/>
            </w:tcBorders>
            <w:shd w:val="clear" w:color="auto" w:fill="auto"/>
            <w:vAlign w:val="center"/>
          </w:tcPr>
          <w:p w14:paraId="1E544A53" w14:textId="77777777" w:rsidR="000C6C9E" w:rsidRPr="00B26E50" w:rsidRDefault="000C6C9E" w:rsidP="000C6C9E">
            <w:pPr>
              <w:pStyle w:val="TableTextNoSpace"/>
              <w:jc w:val="center"/>
              <w:rPr>
                <w:rFonts w:cs="Arial"/>
                <w:b/>
                <w:sz w:val="18"/>
                <w:szCs w:val="18"/>
              </w:rPr>
            </w:pPr>
          </w:p>
        </w:tc>
        <w:tc>
          <w:tcPr>
            <w:tcW w:w="177" w:type="pct"/>
            <w:tcBorders>
              <w:top w:val="single" w:sz="2" w:space="0" w:color="0067AB"/>
              <w:left w:val="single" w:sz="2" w:space="0" w:color="0067AB"/>
              <w:bottom w:val="single" w:sz="2" w:space="0" w:color="0067AB"/>
              <w:right w:val="single" w:sz="2" w:space="0" w:color="0067AB"/>
            </w:tcBorders>
            <w:shd w:val="clear" w:color="auto" w:fill="auto"/>
            <w:vAlign w:val="center"/>
          </w:tcPr>
          <w:p w14:paraId="22B40CE6" w14:textId="5DFEB453"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1" w:type="pct"/>
            <w:tcBorders>
              <w:top w:val="single" w:sz="2" w:space="0" w:color="0067AB"/>
              <w:left w:val="single" w:sz="2" w:space="0" w:color="0067AB"/>
              <w:bottom w:val="single" w:sz="2" w:space="0" w:color="0067AB"/>
              <w:right w:val="single" w:sz="2" w:space="0" w:color="0067AB"/>
            </w:tcBorders>
            <w:shd w:val="clear" w:color="auto" w:fill="auto"/>
            <w:vAlign w:val="center"/>
          </w:tcPr>
          <w:p w14:paraId="705F969D" w14:textId="5E597B69" w:rsidR="000C6C9E" w:rsidRPr="00B26E50" w:rsidRDefault="00213A9E" w:rsidP="000C6C9E">
            <w:pPr>
              <w:pStyle w:val="TableTextNoSpace"/>
              <w:jc w:val="center"/>
              <w:rPr>
                <w:rFonts w:cs="Arial"/>
                <w:b/>
                <w:sz w:val="18"/>
                <w:szCs w:val="18"/>
              </w:rPr>
            </w:pPr>
            <w:r w:rsidRPr="00CE4330">
              <w:rPr>
                <w:rFonts w:cs="Arial"/>
                <w:sz w:val="18"/>
                <w:szCs w:val="18"/>
              </w:rPr>
              <w:t>x</w:t>
            </w:r>
          </w:p>
        </w:tc>
        <w:tc>
          <w:tcPr>
            <w:tcW w:w="171" w:type="pct"/>
            <w:tcBorders>
              <w:top w:val="single" w:sz="2" w:space="0" w:color="0067AB"/>
              <w:left w:val="single" w:sz="2" w:space="0" w:color="0067AB"/>
              <w:bottom w:val="single" w:sz="2" w:space="0" w:color="0067AB"/>
              <w:right w:val="single" w:sz="2" w:space="0" w:color="0067AB"/>
            </w:tcBorders>
            <w:shd w:val="clear" w:color="auto" w:fill="auto"/>
            <w:vAlign w:val="center"/>
          </w:tcPr>
          <w:p w14:paraId="1E21F4AE" w14:textId="29E05432" w:rsidR="000C6C9E" w:rsidRPr="00B26E50" w:rsidRDefault="00213A9E" w:rsidP="000C6C9E">
            <w:pPr>
              <w:pStyle w:val="TableTextNoSpace"/>
              <w:jc w:val="center"/>
              <w:rPr>
                <w:rFonts w:cs="Arial"/>
                <w:b/>
                <w:sz w:val="18"/>
                <w:szCs w:val="18"/>
              </w:rPr>
            </w:pPr>
            <w:r w:rsidRPr="00CE4330">
              <w:rPr>
                <w:rFonts w:cs="Arial"/>
                <w:sz w:val="18"/>
                <w:szCs w:val="18"/>
              </w:rPr>
              <w:t>x</w:t>
            </w:r>
          </w:p>
        </w:tc>
        <w:tc>
          <w:tcPr>
            <w:tcW w:w="167" w:type="pct"/>
            <w:tcBorders>
              <w:top w:val="single" w:sz="2" w:space="0" w:color="0067AB"/>
              <w:left w:val="single" w:sz="2" w:space="0" w:color="0067AB"/>
              <w:bottom w:val="single" w:sz="2" w:space="0" w:color="0067AB"/>
              <w:right w:val="single" w:sz="12" w:space="0" w:color="0067AB"/>
            </w:tcBorders>
            <w:shd w:val="clear" w:color="auto" w:fill="auto"/>
            <w:vAlign w:val="center"/>
          </w:tcPr>
          <w:p w14:paraId="17B48391" w14:textId="77777777" w:rsidR="000C6C9E" w:rsidRPr="00B26E50" w:rsidRDefault="000C6C9E" w:rsidP="000C6C9E">
            <w:pPr>
              <w:pStyle w:val="TableTextNoSpace"/>
              <w:jc w:val="center"/>
              <w:rPr>
                <w:rFonts w:cs="Arial"/>
                <w:b/>
                <w:sz w:val="18"/>
                <w:szCs w:val="18"/>
              </w:rPr>
            </w:pPr>
          </w:p>
        </w:tc>
        <w:tc>
          <w:tcPr>
            <w:tcW w:w="159" w:type="pct"/>
            <w:tcBorders>
              <w:top w:val="single" w:sz="2" w:space="0" w:color="0067AB"/>
              <w:left w:val="single" w:sz="12" w:space="0" w:color="0067AB"/>
              <w:bottom w:val="single" w:sz="2" w:space="0" w:color="0067AB"/>
              <w:right w:val="single" w:sz="2" w:space="0" w:color="0067AB"/>
            </w:tcBorders>
            <w:shd w:val="clear" w:color="auto" w:fill="auto"/>
            <w:vAlign w:val="center"/>
          </w:tcPr>
          <w:p w14:paraId="032808AD" w14:textId="7EA14528"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54" w:type="pct"/>
            <w:tcBorders>
              <w:top w:val="single" w:sz="2" w:space="0" w:color="0067AB"/>
              <w:left w:val="single" w:sz="2" w:space="0" w:color="0067AB"/>
              <w:bottom w:val="single" w:sz="2" w:space="0" w:color="0067AB"/>
              <w:right w:val="single" w:sz="2" w:space="0" w:color="0067AB"/>
            </w:tcBorders>
            <w:shd w:val="clear" w:color="auto" w:fill="auto"/>
            <w:vAlign w:val="center"/>
          </w:tcPr>
          <w:p w14:paraId="31E194C3" w14:textId="77777777" w:rsidR="000C6C9E" w:rsidRPr="00B26E50" w:rsidRDefault="000C6C9E" w:rsidP="000C6C9E">
            <w:pPr>
              <w:pStyle w:val="TableTextNoSpace"/>
              <w:jc w:val="center"/>
              <w:rPr>
                <w:rFonts w:cs="Arial"/>
                <w:b/>
                <w:sz w:val="18"/>
                <w:szCs w:val="18"/>
              </w:rPr>
            </w:pPr>
          </w:p>
        </w:tc>
        <w:tc>
          <w:tcPr>
            <w:tcW w:w="147" w:type="pct"/>
            <w:tcBorders>
              <w:top w:val="single" w:sz="2" w:space="0" w:color="0067AB"/>
              <w:left w:val="single" w:sz="2" w:space="0" w:color="0067AB"/>
              <w:bottom w:val="single" w:sz="2" w:space="0" w:color="0067AB"/>
              <w:right w:val="single" w:sz="2" w:space="0" w:color="0067AB"/>
            </w:tcBorders>
            <w:shd w:val="clear" w:color="auto" w:fill="auto"/>
            <w:vAlign w:val="center"/>
          </w:tcPr>
          <w:p w14:paraId="3614D45C" w14:textId="625D7F1F"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23" w:type="pct"/>
            <w:tcBorders>
              <w:top w:val="single" w:sz="2" w:space="0" w:color="0067AB"/>
              <w:left w:val="single" w:sz="2" w:space="0" w:color="0067AB"/>
              <w:bottom w:val="single" w:sz="2" w:space="0" w:color="0067AB"/>
              <w:right w:val="single" w:sz="2" w:space="0" w:color="0067AB"/>
            </w:tcBorders>
            <w:shd w:val="clear" w:color="auto" w:fill="auto"/>
            <w:vAlign w:val="center"/>
          </w:tcPr>
          <w:p w14:paraId="58239DE5" w14:textId="5D6CDA0A" w:rsidR="000C6C9E" w:rsidRPr="00B26E50" w:rsidRDefault="000C6C9E" w:rsidP="000C6C9E">
            <w:pPr>
              <w:pStyle w:val="TableTextNoSpace"/>
              <w:jc w:val="center"/>
              <w:rPr>
                <w:rFonts w:cs="Arial"/>
                <w:b/>
                <w:sz w:val="18"/>
                <w:szCs w:val="18"/>
              </w:rPr>
            </w:pPr>
            <w:r w:rsidRPr="00B26E50">
              <w:rPr>
                <w:rFonts w:cs="Arial"/>
                <w:b/>
                <w:sz w:val="18"/>
                <w:szCs w:val="18"/>
              </w:rPr>
              <w:t>X</w:t>
            </w:r>
          </w:p>
        </w:tc>
      </w:tr>
      <w:tr w:rsidR="000C6C9E" w14:paraId="54795AE1" w14:textId="77777777" w:rsidTr="00B96E61">
        <w:tc>
          <w:tcPr>
            <w:tcW w:w="783" w:type="pct"/>
            <w:tcBorders>
              <w:top w:val="single" w:sz="2" w:space="0" w:color="0067AB"/>
              <w:left w:val="single" w:sz="2" w:space="0" w:color="0067AB"/>
              <w:bottom w:val="single" w:sz="2" w:space="0" w:color="0067AB"/>
              <w:right w:val="single" w:sz="2" w:space="0" w:color="0067AB"/>
            </w:tcBorders>
            <w:shd w:val="clear" w:color="auto" w:fill="auto"/>
          </w:tcPr>
          <w:p w14:paraId="65480711" w14:textId="49A9AAF2" w:rsidR="000C6C9E" w:rsidRDefault="000C6C9E" w:rsidP="00120495">
            <w:pPr>
              <w:pStyle w:val="TableTextNoSpace"/>
              <w:jc w:val="left"/>
              <w:rPr>
                <w:rFonts w:asciiTheme="minorHAnsi" w:hAnsiTheme="minorHAnsi"/>
                <w:sz w:val="18"/>
                <w:szCs w:val="18"/>
              </w:rPr>
            </w:pPr>
            <w:r w:rsidRPr="00D60446">
              <w:rPr>
                <w:rFonts w:asciiTheme="minorHAnsi" w:hAnsiTheme="minorHAnsi"/>
                <w:sz w:val="18"/>
                <w:szCs w:val="18"/>
              </w:rPr>
              <w:t>Research grants</w:t>
            </w:r>
          </w:p>
        </w:tc>
        <w:tc>
          <w:tcPr>
            <w:tcW w:w="171" w:type="pct"/>
            <w:tcBorders>
              <w:top w:val="single" w:sz="2" w:space="0" w:color="0067AB"/>
              <w:left w:val="single" w:sz="2" w:space="0" w:color="0067AB"/>
              <w:bottom w:val="single" w:sz="2" w:space="0" w:color="0067AB"/>
              <w:right w:val="single" w:sz="2" w:space="0" w:color="0067AB"/>
            </w:tcBorders>
            <w:shd w:val="clear" w:color="auto" w:fill="auto"/>
            <w:vAlign w:val="center"/>
          </w:tcPr>
          <w:p w14:paraId="174412A9" w14:textId="77777777" w:rsidR="000C6C9E" w:rsidRPr="00CE4330" w:rsidRDefault="000C6C9E" w:rsidP="000C6C9E">
            <w:pPr>
              <w:pStyle w:val="TableTextNoSpace"/>
              <w:jc w:val="center"/>
              <w:rPr>
                <w:rFonts w:cs="Arial"/>
                <w:sz w:val="18"/>
                <w:szCs w:val="18"/>
              </w:rPr>
            </w:pPr>
          </w:p>
        </w:tc>
        <w:tc>
          <w:tcPr>
            <w:tcW w:w="172" w:type="pct"/>
            <w:tcBorders>
              <w:top w:val="single" w:sz="2" w:space="0" w:color="0067AB"/>
              <w:left w:val="single" w:sz="2" w:space="0" w:color="0067AB"/>
              <w:bottom w:val="single" w:sz="2" w:space="0" w:color="0067AB"/>
              <w:right w:val="single" w:sz="2" w:space="0" w:color="0067AB"/>
            </w:tcBorders>
            <w:shd w:val="clear" w:color="auto" w:fill="auto"/>
            <w:vAlign w:val="center"/>
          </w:tcPr>
          <w:p w14:paraId="298C9E0F" w14:textId="0D0FE9A6" w:rsidR="000C6C9E" w:rsidRPr="00CE4330" w:rsidRDefault="000C6C9E" w:rsidP="000C6C9E">
            <w:pPr>
              <w:pStyle w:val="TableTextNoSpace"/>
              <w:jc w:val="center"/>
              <w:rPr>
                <w:rFonts w:cs="Arial"/>
                <w:sz w:val="18"/>
                <w:szCs w:val="18"/>
              </w:rPr>
            </w:pPr>
            <w:r>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shd w:val="clear" w:color="auto" w:fill="auto"/>
            <w:vAlign w:val="center"/>
          </w:tcPr>
          <w:p w14:paraId="129875ED" w14:textId="77777777" w:rsidR="000C6C9E" w:rsidRPr="00CE4330" w:rsidRDefault="000C6C9E" w:rsidP="000C6C9E">
            <w:pPr>
              <w:pStyle w:val="TableTextNoSpace"/>
              <w:jc w:val="center"/>
              <w:rPr>
                <w:rFonts w:cs="Arial"/>
                <w:sz w:val="18"/>
                <w:szCs w:val="18"/>
              </w:rPr>
            </w:pPr>
          </w:p>
        </w:tc>
        <w:tc>
          <w:tcPr>
            <w:tcW w:w="174" w:type="pct"/>
            <w:tcBorders>
              <w:top w:val="single" w:sz="2" w:space="0" w:color="0067AB"/>
              <w:left w:val="single" w:sz="2" w:space="0" w:color="0067AB"/>
              <w:bottom w:val="single" w:sz="2" w:space="0" w:color="0067AB"/>
              <w:right w:val="single" w:sz="12" w:space="0" w:color="0067AB"/>
            </w:tcBorders>
            <w:shd w:val="clear" w:color="auto" w:fill="auto"/>
            <w:vAlign w:val="center"/>
          </w:tcPr>
          <w:p w14:paraId="7DF0BBB8" w14:textId="36832FB7" w:rsidR="000C6C9E" w:rsidRPr="00B26E50" w:rsidRDefault="000C6C9E" w:rsidP="000C6C9E">
            <w:pPr>
              <w:pStyle w:val="TableTextNoSpace"/>
              <w:jc w:val="center"/>
              <w:rPr>
                <w:rFonts w:cs="Arial"/>
                <w:b/>
                <w:sz w:val="18"/>
                <w:szCs w:val="18"/>
              </w:rPr>
            </w:pPr>
            <w:r>
              <w:rPr>
                <w:rFonts w:cs="Arial"/>
                <w:b/>
                <w:sz w:val="18"/>
                <w:szCs w:val="18"/>
              </w:rPr>
              <w:t>X</w:t>
            </w:r>
          </w:p>
        </w:tc>
        <w:tc>
          <w:tcPr>
            <w:tcW w:w="172" w:type="pct"/>
            <w:tcBorders>
              <w:top w:val="single" w:sz="2" w:space="0" w:color="0067AB"/>
              <w:left w:val="single" w:sz="12" w:space="0" w:color="0067AB"/>
              <w:bottom w:val="single" w:sz="2" w:space="0" w:color="0067AB"/>
              <w:right w:val="single" w:sz="2" w:space="0" w:color="0067AB"/>
            </w:tcBorders>
            <w:shd w:val="clear" w:color="auto" w:fill="auto"/>
            <w:vAlign w:val="center"/>
          </w:tcPr>
          <w:p w14:paraId="175E6BA5" w14:textId="77777777" w:rsidR="000C6C9E" w:rsidRPr="00CE4330" w:rsidRDefault="000C6C9E" w:rsidP="000C6C9E">
            <w:pPr>
              <w:pStyle w:val="TableTextNoSpace"/>
              <w:jc w:val="center"/>
              <w:rPr>
                <w:rFonts w:cs="Arial"/>
                <w:sz w:val="18"/>
                <w:szCs w:val="18"/>
              </w:rPr>
            </w:pPr>
          </w:p>
        </w:tc>
        <w:tc>
          <w:tcPr>
            <w:tcW w:w="173" w:type="pct"/>
            <w:tcBorders>
              <w:top w:val="single" w:sz="2" w:space="0" w:color="0067AB"/>
              <w:left w:val="single" w:sz="2" w:space="0" w:color="0067AB"/>
              <w:bottom w:val="single" w:sz="2" w:space="0" w:color="0067AB"/>
              <w:right w:val="single" w:sz="2" w:space="0" w:color="0067AB"/>
            </w:tcBorders>
            <w:shd w:val="clear" w:color="auto" w:fill="auto"/>
            <w:vAlign w:val="center"/>
          </w:tcPr>
          <w:p w14:paraId="1C545EB4" w14:textId="77777777" w:rsidR="000C6C9E" w:rsidRPr="00CE4330" w:rsidRDefault="000C6C9E" w:rsidP="000C6C9E">
            <w:pPr>
              <w:pStyle w:val="TableTextNoSpace"/>
              <w:jc w:val="center"/>
              <w:rPr>
                <w:rFonts w:cs="Arial"/>
                <w:sz w:val="18"/>
                <w:szCs w:val="18"/>
              </w:rPr>
            </w:pPr>
          </w:p>
        </w:tc>
        <w:tc>
          <w:tcPr>
            <w:tcW w:w="172" w:type="pct"/>
            <w:tcBorders>
              <w:top w:val="single" w:sz="2" w:space="0" w:color="0067AB"/>
              <w:left w:val="single" w:sz="2" w:space="0" w:color="0067AB"/>
              <w:bottom w:val="single" w:sz="2" w:space="0" w:color="0067AB"/>
              <w:right w:val="single" w:sz="2" w:space="0" w:color="0067AB"/>
            </w:tcBorders>
            <w:shd w:val="clear" w:color="auto" w:fill="auto"/>
            <w:vAlign w:val="center"/>
          </w:tcPr>
          <w:p w14:paraId="6BC1D6FC" w14:textId="77777777" w:rsidR="000C6C9E" w:rsidRDefault="000C6C9E" w:rsidP="000C6C9E">
            <w:pPr>
              <w:pStyle w:val="TableTextNoSpace"/>
              <w:jc w:val="center"/>
              <w:rPr>
                <w:rFonts w:cs="Arial"/>
                <w:sz w:val="18"/>
                <w:szCs w:val="18"/>
              </w:rPr>
            </w:pPr>
          </w:p>
        </w:tc>
        <w:tc>
          <w:tcPr>
            <w:tcW w:w="173" w:type="pct"/>
            <w:tcBorders>
              <w:top w:val="single" w:sz="2" w:space="0" w:color="0067AB"/>
              <w:left w:val="single" w:sz="2" w:space="0" w:color="0067AB"/>
              <w:bottom w:val="single" w:sz="2" w:space="0" w:color="0067AB"/>
              <w:right w:val="single" w:sz="2" w:space="0" w:color="0067AB"/>
            </w:tcBorders>
            <w:shd w:val="clear" w:color="auto" w:fill="auto"/>
            <w:vAlign w:val="center"/>
          </w:tcPr>
          <w:p w14:paraId="06617936" w14:textId="77777777" w:rsidR="000C6C9E" w:rsidRDefault="000C6C9E" w:rsidP="000C6C9E">
            <w:pPr>
              <w:pStyle w:val="TableTextNoSpace"/>
              <w:jc w:val="center"/>
              <w:rPr>
                <w:rFonts w:cs="Arial"/>
                <w:sz w:val="18"/>
                <w:szCs w:val="18"/>
              </w:rPr>
            </w:pPr>
          </w:p>
        </w:tc>
        <w:tc>
          <w:tcPr>
            <w:tcW w:w="173" w:type="pct"/>
            <w:tcBorders>
              <w:top w:val="single" w:sz="2" w:space="0" w:color="0067AB"/>
              <w:left w:val="single" w:sz="2" w:space="0" w:color="0067AB"/>
              <w:bottom w:val="single" w:sz="2" w:space="0" w:color="0067AB"/>
              <w:right w:val="single" w:sz="2" w:space="0" w:color="0067AB"/>
            </w:tcBorders>
            <w:shd w:val="clear" w:color="auto" w:fill="auto"/>
            <w:vAlign w:val="center"/>
          </w:tcPr>
          <w:p w14:paraId="6473C33D" w14:textId="77777777" w:rsidR="000C6C9E" w:rsidRPr="00CE4330" w:rsidRDefault="000C6C9E" w:rsidP="000C6C9E">
            <w:pPr>
              <w:pStyle w:val="TableTextNoSpace"/>
              <w:jc w:val="center"/>
              <w:rPr>
                <w:rFonts w:cs="Arial"/>
                <w:sz w:val="18"/>
                <w:szCs w:val="18"/>
              </w:rPr>
            </w:pPr>
          </w:p>
        </w:tc>
        <w:tc>
          <w:tcPr>
            <w:tcW w:w="173" w:type="pct"/>
            <w:tcBorders>
              <w:top w:val="single" w:sz="2" w:space="0" w:color="0067AB"/>
              <w:left w:val="single" w:sz="2" w:space="0" w:color="0067AB"/>
              <w:bottom w:val="single" w:sz="2" w:space="0" w:color="0067AB"/>
              <w:right w:val="single" w:sz="2" w:space="0" w:color="0067AB"/>
            </w:tcBorders>
            <w:shd w:val="clear" w:color="auto" w:fill="auto"/>
            <w:vAlign w:val="center"/>
          </w:tcPr>
          <w:p w14:paraId="4815E4F5" w14:textId="77777777" w:rsidR="000C6C9E" w:rsidRPr="00CE4330" w:rsidRDefault="000C6C9E" w:rsidP="000C6C9E">
            <w:pPr>
              <w:pStyle w:val="TableTextNoSpace"/>
              <w:jc w:val="center"/>
              <w:rPr>
                <w:rFonts w:cs="Arial"/>
                <w:sz w:val="18"/>
                <w:szCs w:val="18"/>
              </w:rPr>
            </w:pPr>
          </w:p>
        </w:tc>
        <w:tc>
          <w:tcPr>
            <w:tcW w:w="172" w:type="pct"/>
            <w:tcBorders>
              <w:top w:val="single" w:sz="2" w:space="0" w:color="0067AB"/>
              <w:left w:val="single" w:sz="2" w:space="0" w:color="0067AB"/>
              <w:bottom w:val="single" w:sz="2" w:space="0" w:color="0067AB"/>
              <w:right w:val="single" w:sz="12" w:space="0" w:color="0067AB"/>
            </w:tcBorders>
            <w:shd w:val="clear" w:color="auto" w:fill="auto"/>
            <w:vAlign w:val="center"/>
          </w:tcPr>
          <w:p w14:paraId="0AFD7721" w14:textId="77777777" w:rsidR="000C6C9E" w:rsidRPr="00CE4330" w:rsidRDefault="000C6C9E" w:rsidP="000C6C9E">
            <w:pPr>
              <w:pStyle w:val="TableTextNoSpace"/>
              <w:jc w:val="center"/>
              <w:rPr>
                <w:rFonts w:cs="Arial"/>
                <w:sz w:val="18"/>
                <w:szCs w:val="18"/>
              </w:rPr>
            </w:pPr>
          </w:p>
        </w:tc>
        <w:tc>
          <w:tcPr>
            <w:tcW w:w="174" w:type="pct"/>
            <w:gridSpan w:val="2"/>
            <w:tcBorders>
              <w:top w:val="single" w:sz="2" w:space="0" w:color="0067AB"/>
              <w:left w:val="single" w:sz="12" w:space="0" w:color="0067AB"/>
              <w:bottom w:val="single" w:sz="2" w:space="0" w:color="0067AB"/>
              <w:right w:val="single" w:sz="2" w:space="0" w:color="0067AB"/>
            </w:tcBorders>
            <w:shd w:val="clear" w:color="auto" w:fill="auto"/>
            <w:vAlign w:val="center"/>
          </w:tcPr>
          <w:p w14:paraId="38CFE496" w14:textId="61CA51FA" w:rsidR="000C6C9E" w:rsidRPr="00B26E50" w:rsidRDefault="000C6C9E" w:rsidP="000C6C9E">
            <w:pPr>
              <w:pStyle w:val="TableTextNoSpace"/>
              <w:jc w:val="center"/>
              <w:rPr>
                <w:rFonts w:cs="Arial"/>
                <w:b/>
                <w:sz w:val="18"/>
                <w:szCs w:val="18"/>
              </w:rPr>
            </w:pPr>
            <w:r>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shd w:val="clear" w:color="auto" w:fill="auto"/>
            <w:vAlign w:val="center"/>
          </w:tcPr>
          <w:p w14:paraId="1A811FCB" w14:textId="29B7BD23" w:rsidR="000C6C9E" w:rsidRPr="00B26E50" w:rsidRDefault="000C6C9E" w:rsidP="000C6C9E">
            <w:pPr>
              <w:pStyle w:val="TableTextNoSpace"/>
              <w:jc w:val="center"/>
              <w:rPr>
                <w:rFonts w:cs="Arial"/>
                <w:b/>
                <w:sz w:val="18"/>
                <w:szCs w:val="18"/>
              </w:rPr>
            </w:pPr>
            <w:r>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shd w:val="clear" w:color="auto" w:fill="auto"/>
            <w:vAlign w:val="center"/>
          </w:tcPr>
          <w:p w14:paraId="66AD654B" w14:textId="08DFAEFA" w:rsidR="000C6C9E" w:rsidRPr="00B26E50" w:rsidRDefault="000C6C9E" w:rsidP="000C6C9E">
            <w:pPr>
              <w:pStyle w:val="TableTextNoSpace"/>
              <w:jc w:val="center"/>
              <w:rPr>
                <w:rFonts w:cs="Arial"/>
                <w:b/>
                <w:sz w:val="18"/>
                <w:szCs w:val="18"/>
              </w:rPr>
            </w:pPr>
            <w:r>
              <w:rPr>
                <w:rFonts w:cs="Arial"/>
                <w:sz w:val="18"/>
                <w:szCs w:val="18"/>
              </w:rPr>
              <w:t>x</w:t>
            </w:r>
          </w:p>
        </w:tc>
        <w:tc>
          <w:tcPr>
            <w:tcW w:w="172" w:type="pct"/>
            <w:tcBorders>
              <w:top w:val="single" w:sz="2" w:space="0" w:color="0067AB"/>
              <w:left w:val="single" w:sz="2" w:space="0" w:color="0067AB"/>
              <w:bottom w:val="single" w:sz="2" w:space="0" w:color="0067AB"/>
              <w:right w:val="single" w:sz="2" w:space="0" w:color="0067AB"/>
            </w:tcBorders>
            <w:shd w:val="clear" w:color="auto" w:fill="auto"/>
            <w:vAlign w:val="center"/>
          </w:tcPr>
          <w:p w14:paraId="2513D114" w14:textId="08485656" w:rsidR="000C6C9E" w:rsidRPr="00B26E50" w:rsidRDefault="000C6C9E" w:rsidP="000C6C9E">
            <w:pPr>
              <w:pStyle w:val="TableTextNoSpace"/>
              <w:jc w:val="center"/>
              <w:rPr>
                <w:rFonts w:cs="Arial"/>
                <w:b/>
                <w:sz w:val="18"/>
                <w:szCs w:val="18"/>
              </w:rPr>
            </w:pPr>
            <w:r w:rsidRPr="00CE4330">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shd w:val="clear" w:color="auto" w:fill="auto"/>
            <w:vAlign w:val="center"/>
          </w:tcPr>
          <w:p w14:paraId="0448B626" w14:textId="77777777" w:rsidR="000C6C9E" w:rsidRPr="00B26E50" w:rsidRDefault="000C6C9E" w:rsidP="000C6C9E">
            <w:pPr>
              <w:pStyle w:val="TableTextNoSpace"/>
              <w:jc w:val="center"/>
              <w:rPr>
                <w:rFonts w:cs="Arial"/>
                <w:b/>
                <w:sz w:val="18"/>
                <w:szCs w:val="18"/>
              </w:rPr>
            </w:pPr>
          </w:p>
        </w:tc>
        <w:tc>
          <w:tcPr>
            <w:tcW w:w="185" w:type="pct"/>
            <w:tcBorders>
              <w:top w:val="single" w:sz="2" w:space="0" w:color="0067AB"/>
              <w:left w:val="single" w:sz="2" w:space="0" w:color="0067AB"/>
              <w:bottom w:val="single" w:sz="2" w:space="0" w:color="0067AB"/>
              <w:right w:val="single" w:sz="2" w:space="0" w:color="0067AB"/>
            </w:tcBorders>
            <w:shd w:val="clear" w:color="auto" w:fill="auto"/>
            <w:vAlign w:val="center"/>
          </w:tcPr>
          <w:p w14:paraId="74808706" w14:textId="5A24C67B" w:rsidR="000C6C9E" w:rsidRPr="00B26E50" w:rsidRDefault="000C6C9E" w:rsidP="000C6C9E">
            <w:pPr>
              <w:pStyle w:val="TableTextNoSpace"/>
              <w:jc w:val="center"/>
              <w:rPr>
                <w:rFonts w:cs="Arial"/>
                <w:b/>
                <w:sz w:val="18"/>
                <w:szCs w:val="18"/>
              </w:rPr>
            </w:pPr>
            <w:r>
              <w:rPr>
                <w:rFonts w:cs="Arial"/>
                <w:sz w:val="18"/>
                <w:szCs w:val="18"/>
              </w:rPr>
              <w:t>x</w:t>
            </w:r>
          </w:p>
        </w:tc>
        <w:tc>
          <w:tcPr>
            <w:tcW w:w="177" w:type="pct"/>
            <w:tcBorders>
              <w:top w:val="single" w:sz="2" w:space="0" w:color="0067AB"/>
              <w:left w:val="single" w:sz="2" w:space="0" w:color="0067AB"/>
              <w:bottom w:val="single" w:sz="2" w:space="0" w:color="0067AB"/>
              <w:right w:val="single" w:sz="2" w:space="0" w:color="0067AB"/>
            </w:tcBorders>
            <w:shd w:val="clear" w:color="auto" w:fill="auto"/>
            <w:vAlign w:val="center"/>
          </w:tcPr>
          <w:p w14:paraId="01C8EC5E" w14:textId="77777777" w:rsidR="000C6C9E" w:rsidRPr="00B26E50" w:rsidRDefault="000C6C9E" w:rsidP="000C6C9E">
            <w:pPr>
              <w:pStyle w:val="TableTextNoSpace"/>
              <w:jc w:val="center"/>
              <w:rPr>
                <w:rFonts w:cs="Arial"/>
                <w:b/>
                <w:sz w:val="18"/>
                <w:szCs w:val="18"/>
              </w:rPr>
            </w:pPr>
          </w:p>
        </w:tc>
        <w:tc>
          <w:tcPr>
            <w:tcW w:w="171" w:type="pct"/>
            <w:tcBorders>
              <w:top w:val="single" w:sz="2" w:space="0" w:color="0067AB"/>
              <w:left w:val="single" w:sz="2" w:space="0" w:color="0067AB"/>
              <w:bottom w:val="single" w:sz="2" w:space="0" w:color="0067AB"/>
              <w:right w:val="single" w:sz="2" w:space="0" w:color="0067AB"/>
            </w:tcBorders>
            <w:shd w:val="clear" w:color="auto" w:fill="auto"/>
            <w:vAlign w:val="center"/>
          </w:tcPr>
          <w:p w14:paraId="142076F1" w14:textId="1E0ACEF8" w:rsidR="000C6C9E" w:rsidRPr="00B26E50" w:rsidRDefault="00213A9E" w:rsidP="000C6C9E">
            <w:pPr>
              <w:pStyle w:val="TableTextNoSpace"/>
              <w:jc w:val="center"/>
              <w:rPr>
                <w:rFonts w:cs="Arial"/>
                <w:b/>
                <w:sz w:val="18"/>
                <w:szCs w:val="18"/>
              </w:rPr>
            </w:pPr>
            <w:r w:rsidRPr="00CE4330">
              <w:rPr>
                <w:rFonts w:cs="Arial"/>
                <w:sz w:val="18"/>
                <w:szCs w:val="18"/>
              </w:rPr>
              <w:t>x</w:t>
            </w:r>
          </w:p>
        </w:tc>
        <w:tc>
          <w:tcPr>
            <w:tcW w:w="171" w:type="pct"/>
            <w:tcBorders>
              <w:top w:val="single" w:sz="2" w:space="0" w:color="0067AB"/>
              <w:left w:val="single" w:sz="2" w:space="0" w:color="0067AB"/>
              <w:bottom w:val="single" w:sz="2" w:space="0" w:color="0067AB"/>
              <w:right w:val="single" w:sz="2" w:space="0" w:color="0067AB"/>
            </w:tcBorders>
            <w:shd w:val="clear" w:color="auto" w:fill="auto"/>
            <w:vAlign w:val="center"/>
          </w:tcPr>
          <w:p w14:paraId="3C7FB626" w14:textId="4FDF4116" w:rsidR="000C6C9E" w:rsidRPr="00B26E50" w:rsidRDefault="000C6C9E" w:rsidP="000C6C9E">
            <w:pPr>
              <w:pStyle w:val="TableTextNoSpace"/>
              <w:jc w:val="center"/>
              <w:rPr>
                <w:rFonts w:cs="Arial"/>
                <w:b/>
                <w:sz w:val="18"/>
                <w:szCs w:val="18"/>
              </w:rPr>
            </w:pPr>
            <w:r>
              <w:rPr>
                <w:rFonts w:cs="Arial"/>
                <w:sz w:val="18"/>
                <w:szCs w:val="18"/>
              </w:rPr>
              <w:t>x</w:t>
            </w:r>
          </w:p>
        </w:tc>
        <w:tc>
          <w:tcPr>
            <w:tcW w:w="167" w:type="pct"/>
            <w:tcBorders>
              <w:top w:val="single" w:sz="2" w:space="0" w:color="0067AB"/>
              <w:left w:val="single" w:sz="2" w:space="0" w:color="0067AB"/>
              <w:bottom w:val="single" w:sz="2" w:space="0" w:color="0067AB"/>
              <w:right w:val="single" w:sz="12" w:space="0" w:color="0067AB"/>
            </w:tcBorders>
            <w:shd w:val="clear" w:color="auto" w:fill="auto"/>
            <w:vAlign w:val="center"/>
          </w:tcPr>
          <w:p w14:paraId="0A7B9BEF" w14:textId="42D0D21E" w:rsidR="000C6C9E" w:rsidRPr="00B26E50" w:rsidRDefault="000C6C9E" w:rsidP="000C6C9E">
            <w:pPr>
              <w:pStyle w:val="TableTextNoSpace"/>
              <w:jc w:val="center"/>
              <w:rPr>
                <w:rFonts w:cs="Arial"/>
                <w:b/>
                <w:sz w:val="18"/>
                <w:szCs w:val="18"/>
              </w:rPr>
            </w:pPr>
            <w:r>
              <w:rPr>
                <w:rFonts w:cs="Arial"/>
                <w:sz w:val="18"/>
                <w:szCs w:val="18"/>
              </w:rPr>
              <w:t>x</w:t>
            </w:r>
          </w:p>
        </w:tc>
        <w:tc>
          <w:tcPr>
            <w:tcW w:w="159" w:type="pct"/>
            <w:tcBorders>
              <w:top w:val="single" w:sz="2" w:space="0" w:color="0067AB"/>
              <w:left w:val="single" w:sz="12" w:space="0" w:color="0067AB"/>
              <w:bottom w:val="single" w:sz="2" w:space="0" w:color="0067AB"/>
              <w:right w:val="single" w:sz="2" w:space="0" w:color="0067AB"/>
            </w:tcBorders>
            <w:shd w:val="clear" w:color="auto" w:fill="auto"/>
            <w:vAlign w:val="center"/>
          </w:tcPr>
          <w:p w14:paraId="4319E848" w14:textId="77777777" w:rsidR="000C6C9E" w:rsidRPr="00B26E50" w:rsidRDefault="000C6C9E" w:rsidP="000C6C9E">
            <w:pPr>
              <w:pStyle w:val="TableTextNoSpace"/>
              <w:jc w:val="center"/>
              <w:rPr>
                <w:rFonts w:cs="Arial"/>
                <w:b/>
                <w:sz w:val="18"/>
                <w:szCs w:val="18"/>
              </w:rPr>
            </w:pPr>
          </w:p>
        </w:tc>
        <w:tc>
          <w:tcPr>
            <w:tcW w:w="154" w:type="pct"/>
            <w:tcBorders>
              <w:top w:val="single" w:sz="2" w:space="0" w:color="0067AB"/>
              <w:left w:val="single" w:sz="2" w:space="0" w:color="0067AB"/>
              <w:bottom w:val="single" w:sz="2" w:space="0" w:color="0067AB"/>
              <w:right w:val="single" w:sz="2" w:space="0" w:color="0067AB"/>
            </w:tcBorders>
            <w:shd w:val="clear" w:color="auto" w:fill="auto"/>
            <w:vAlign w:val="center"/>
          </w:tcPr>
          <w:p w14:paraId="53F0DE6F" w14:textId="77777777" w:rsidR="000C6C9E" w:rsidRPr="00B26E50" w:rsidRDefault="000C6C9E" w:rsidP="000C6C9E">
            <w:pPr>
              <w:pStyle w:val="TableTextNoSpace"/>
              <w:jc w:val="center"/>
              <w:rPr>
                <w:rFonts w:cs="Arial"/>
                <w:b/>
                <w:sz w:val="18"/>
                <w:szCs w:val="18"/>
              </w:rPr>
            </w:pPr>
          </w:p>
        </w:tc>
        <w:tc>
          <w:tcPr>
            <w:tcW w:w="147" w:type="pct"/>
            <w:tcBorders>
              <w:top w:val="single" w:sz="2" w:space="0" w:color="0067AB"/>
              <w:left w:val="single" w:sz="2" w:space="0" w:color="0067AB"/>
              <w:bottom w:val="single" w:sz="2" w:space="0" w:color="0067AB"/>
              <w:right w:val="single" w:sz="2" w:space="0" w:color="0067AB"/>
            </w:tcBorders>
            <w:shd w:val="clear" w:color="auto" w:fill="auto"/>
            <w:vAlign w:val="center"/>
          </w:tcPr>
          <w:p w14:paraId="5A921EB7" w14:textId="77777777" w:rsidR="000C6C9E" w:rsidRPr="00B26E50" w:rsidRDefault="000C6C9E" w:rsidP="000C6C9E">
            <w:pPr>
              <w:pStyle w:val="TableTextNoSpace"/>
              <w:jc w:val="center"/>
              <w:rPr>
                <w:rFonts w:cs="Arial"/>
                <w:b/>
                <w:sz w:val="18"/>
                <w:szCs w:val="18"/>
              </w:rPr>
            </w:pPr>
          </w:p>
        </w:tc>
        <w:tc>
          <w:tcPr>
            <w:tcW w:w="123" w:type="pct"/>
            <w:tcBorders>
              <w:top w:val="single" w:sz="2" w:space="0" w:color="0067AB"/>
              <w:left w:val="single" w:sz="2" w:space="0" w:color="0067AB"/>
              <w:bottom w:val="single" w:sz="2" w:space="0" w:color="0067AB"/>
              <w:right w:val="single" w:sz="2" w:space="0" w:color="0067AB"/>
            </w:tcBorders>
            <w:shd w:val="clear" w:color="auto" w:fill="auto"/>
            <w:vAlign w:val="center"/>
          </w:tcPr>
          <w:p w14:paraId="32B13CE1" w14:textId="77777777" w:rsidR="000C6C9E" w:rsidRPr="00B26E50" w:rsidRDefault="000C6C9E" w:rsidP="000C6C9E">
            <w:pPr>
              <w:pStyle w:val="TableTextNoSpace"/>
              <w:jc w:val="center"/>
              <w:rPr>
                <w:rFonts w:cs="Arial"/>
                <w:b/>
                <w:sz w:val="18"/>
                <w:szCs w:val="18"/>
              </w:rPr>
            </w:pPr>
          </w:p>
        </w:tc>
      </w:tr>
      <w:tr w:rsidR="000C6C9E" w14:paraId="5994FF56" w14:textId="77777777" w:rsidTr="000C6C9E">
        <w:tc>
          <w:tcPr>
            <w:tcW w:w="5000" w:type="pct"/>
            <w:gridSpan w:val="27"/>
            <w:tcBorders>
              <w:top w:val="single" w:sz="2" w:space="0" w:color="0067AB"/>
              <w:left w:val="single" w:sz="2" w:space="0" w:color="0067AB"/>
              <w:bottom w:val="single" w:sz="2" w:space="0" w:color="0067AB"/>
              <w:right w:val="single" w:sz="2" w:space="0" w:color="0067AB"/>
            </w:tcBorders>
            <w:shd w:val="clear" w:color="auto" w:fill="F2F2F2" w:themeFill="background1" w:themeFillShade="F2"/>
          </w:tcPr>
          <w:p w14:paraId="4572A0F0" w14:textId="3C830252" w:rsidR="000C6C9E" w:rsidRPr="00CE4330" w:rsidRDefault="000C6C9E" w:rsidP="00120495">
            <w:pPr>
              <w:pStyle w:val="TableTextNoSpace"/>
              <w:jc w:val="left"/>
              <w:rPr>
                <w:rFonts w:cs="Arial"/>
                <w:sz w:val="18"/>
                <w:szCs w:val="18"/>
              </w:rPr>
            </w:pPr>
            <w:r w:rsidRPr="000C6C9E">
              <w:rPr>
                <w:b/>
                <w:sz w:val="18"/>
                <w:szCs w:val="18"/>
              </w:rPr>
              <w:t>Private, voluntary sector and Lottery funds</w:t>
            </w:r>
          </w:p>
        </w:tc>
      </w:tr>
      <w:tr w:rsidR="000C6C9E" w14:paraId="6B64A706" w14:textId="77777777" w:rsidTr="002A5002">
        <w:tc>
          <w:tcPr>
            <w:tcW w:w="783" w:type="pct"/>
            <w:tcBorders>
              <w:top w:val="single" w:sz="2" w:space="0" w:color="0067AB"/>
              <w:left w:val="single" w:sz="2" w:space="0" w:color="0067AB"/>
              <w:bottom w:val="single" w:sz="2" w:space="0" w:color="0067AB"/>
              <w:right w:val="single" w:sz="2" w:space="0" w:color="0067AB"/>
            </w:tcBorders>
          </w:tcPr>
          <w:p w14:paraId="4BCFCED5" w14:textId="4E1535C1" w:rsidR="000C6C9E" w:rsidRPr="00D60446" w:rsidRDefault="000C6C9E" w:rsidP="00120495">
            <w:pPr>
              <w:pStyle w:val="TableTextNoSpace"/>
              <w:jc w:val="left"/>
              <w:rPr>
                <w:rFonts w:asciiTheme="minorHAnsi" w:hAnsiTheme="minorHAnsi"/>
                <w:sz w:val="18"/>
                <w:szCs w:val="18"/>
              </w:rPr>
            </w:pPr>
            <w:r w:rsidRPr="00D60446">
              <w:rPr>
                <w:rFonts w:asciiTheme="minorHAnsi" w:hAnsiTheme="minorHAnsi"/>
                <w:sz w:val="18"/>
                <w:szCs w:val="18"/>
              </w:rPr>
              <w:t>Business sponsorship</w:t>
            </w:r>
          </w:p>
        </w:tc>
        <w:tc>
          <w:tcPr>
            <w:tcW w:w="171" w:type="pct"/>
            <w:tcBorders>
              <w:top w:val="single" w:sz="2" w:space="0" w:color="0067AB"/>
              <w:left w:val="single" w:sz="2" w:space="0" w:color="0067AB"/>
              <w:bottom w:val="single" w:sz="2" w:space="0" w:color="0067AB"/>
              <w:right w:val="single" w:sz="2" w:space="0" w:color="0067AB"/>
            </w:tcBorders>
            <w:vAlign w:val="center"/>
          </w:tcPr>
          <w:p w14:paraId="7E3E9692" w14:textId="77777777" w:rsidR="000C6C9E" w:rsidRPr="00CE4330" w:rsidRDefault="000C6C9E" w:rsidP="000C6C9E">
            <w:pPr>
              <w:pStyle w:val="TableTextNoSpace"/>
              <w:jc w:val="center"/>
              <w:rPr>
                <w:rFonts w:cs="Arial"/>
                <w:sz w:val="18"/>
                <w:szCs w:val="18"/>
              </w:rPr>
            </w:pPr>
          </w:p>
        </w:tc>
        <w:tc>
          <w:tcPr>
            <w:tcW w:w="172" w:type="pct"/>
            <w:tcBorders>
              <w:top w:val="single" w:sz="2" w:space="0" w:color="0067AB"/>
              <w:left w:val="single" w:sz="2" w:space="0" w:color="0067AB"/>
              <w:bottom w:val="single" w:sz="2" w:space="0" w:color="0067AB"/>
              <w:right w:val="single" w:sz="2" w:space="0" w:color="0067AB"/>
            </w:tcBorders>
            <w:vAlign w:val="center"/>
          </w:tcPr>
          <w:p w14:paraId="42234D09" w14:textId="058D695A"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5F4F1E9F" w14:textId="2B37B86C"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4" w:type="pct"/>
            <w:tcBorders>
              <w:top w:val="single" w:sz="2" w:space="0" w:color="0067AB"/>
              <w:left w:val="single" w:sz="2" w:space="0" w:color="0067AB"/>
              <w:bottom w:val="single" w:sz="2" w:space="0" w:color="0067AB"/>
              <w:right w:val="single" w:sz="12" w:space="0" w:color="0067AB"/>
            </w:tcBorders>
            <w:vAlign w:val="center"/>
          </w:tcPr>
          <w:p w14:paraId="7956971F" w14:textId="580D4053"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2" w:type="pct"/>
            <w:tcBorders>
              <w:top w:val="single" w:sz="2" w:space="0" w:color="0067AB"/>
              <w:left w:val="single" w:sz="12" w:space="0" w:color="0067AB"/>
              <w:bottom w:val="single" w:sz="2" w:space="0" w:color="0067AB"/>
              <w:right w:val="single" w:sz="2" w:space="0" w:color="0067AB"/>
            </w:tcBorders>
            <w:vAlign w:val="center"/>
          </w:tcPr>
          <w:p w14:paraId="09F0668B" w14:textId="7EBEF64A"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669A93B9" w14:textId="67D26002"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2" w:type="pct"/>
            <w:tcBorders>
              <w:top w:val="single" w:sz="2" w:space="0" w:color="0067AB"/>
              <w:left w:val="single" w:sz="2" w:space="0" w:color="0067AB"/>
              <w:bottom w:val="single" w:sz="2" w:space="0" w:color="0067AB"/>
              <w:right w:val="single" w:sz="2" w:space="0" w:color="0067AB"/>
            </w:tcBorders>
            <w:vAlign w:val="center"/>
          </w:tcPr>
          <w:p w14:paraId="53220702" w14:textId="5A0A7E48"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5B73B9A8" w14:textId="6C23A06E"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01A64B62" w14:textId="68A33BF0"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63A6B0E9" w14:textId="6F030A9C"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2" w:type="pct"/>
            <w:tcBorders>
              <w:top w:val="single" w:sz="2" w:space="0" w:color="0067AB"/>
              <w:left w:val="single" w:sz="2" w:space="0" w:color="0067AB"/>
              <w:bottom w:val="single" w:sz="2" w:space="0" w:color="0067AB"/>
              <w:right w:val="single" w:sz="12" w:space="0" w:color="0067AB"/>
            </w:tcBorders>
            <w:vAlign w:val="center"/>
          </w:tcPr>
          <w:p w14:paraId="0CDDD156" w14:textId="3C24F4A4"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4" w:type="pct"/>
            <w:gridSpan w:val="2"/>
            <w:tcBorders>
              <w:top w:val="single" w:sz="2" w:space="0" w:color="0067AB"/>
              <w:left w:val="single" w:sz="12" w:space="0" w:color="0067AB"/>
              <w:bottom w:val="single" w:sz="2" w:space="0" w:color="0067AB"/>
              <w:right w:val="single" w:sz="2" w:space="0" w:color="0067AB"/>
            </w:tcBorders>
            <w:vAlign w:val="center"/>
          </w:tcPr>
          <w:p w14:paraId="34B48465" w14:textId="1313A728"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0C47DA5B" w14:textId="50D3FB2B"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3B90895C" w14:textId="0B71C1FD"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2" w:type="pct"/>
            <w:tcBorders>
              <w:top w:val="single" w:sz="2" w:space="0" w:color="0067AB"/>
              <w:left w:val="single" w:sz="2" w:space="0" w:color="0067AB"/>
              <w:bottom w:val="single" w:sz="2" w:space="0" w:color="0067AB"/>
              <w:right w:val="single" w:sz="2" w:space="0" w:color="0067AB"/>
            </w:tcBorders>
            <w:vAlign w:val="center"/>
          </w:tcPr>
          <w:p w14:paraId="32F26005" w14:textId="77FEA999"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175A723E" w14:textId="111ED48A" w:rsidR="000C6C9E" w:rsidRPr="00CE4330" w:rsidRDefault="000C6C9E" w:rsidP="000C6C9E">
            <w:pPr>
              <w:pStyle w:val="TableTextNoSpace"/>
              <w:jc w:val="center"/>
              <w:rPr>
                <w:rFonts w:cs="Arial"/>
                <w:sz w:val="18"/>
                <w:szCs w:val="18"/>
              </w:rPr>
            </w:pPr>
          </w:p>
        </w:tc>
        <w:tc>
          <w:tcPr>
            <w:tcW w:w="185" w:type="pct"/>
            <w:tcBorders>
              <w:top w:val="single" w:sz="2" w:space="0" w:color="0067AB"/>
              <w:left w:val="single" w:sz="2" w:space="0" w:color="0067AB"/>
              <w:bottom w:val="single" w:sz="2" w:space="0" w:color="0067AB"/>
              <w:right w:val="single" w:sz="2" w:space="0" w:color="0067AB"/>
            </w:tcBorders>
            <w:vAlign w:val="center"/>
          </w:tcPr>
          <w:p w14:paraId="03DD6083" w14:textId="16E54BF1"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7" w:type="pct"/>
            <w:tcBorders>
              <w:top w:val="single" w:sz="2" w:space="0" w:color="0067AB"/>
              <w:left w:val="single" w:sz="2" w:space="0" w:color="0067AB"/>
              <w:bottom w:val="single" w:sz="2" w:space="0" w:color="0067AB"/>
              <w:right w:val="single" w:sz="2" w:space="0" w:color="0067AB"/>
            </w:tcBorders>
            <w:vAlign w:val="center"/>
          </w:tcPr>
          <w:p w14:paraId="5ECC269A" w14:textId="4EF0410C"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1" w:type="pct"/>
            <w:tcBorders>
              <w:top w:val="single" w:sz="2" w:space="0" w:color="0067AB"/>
              <w:left w:val="single" w:sz="2" w:space="0" w:color="0067AB"/>
              <w:bottom w:val="single" w:sz="2" w:space="0" w:color="0067AB"/>
              <w:right w:val="single" w:sz="2" w:space="0" w:color="0067AB"/>
            </w:tcBorders>
            <w:vAlign w:val="center"/>
          </w:tcPr>
          <w:p w14:paraId="58F1D7CE" w14:textId="3031E115"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1" w:type="pct"/>
            <w:tcBorders>
              <w:top w:val="single" w:sz="2" w:space="0" w:color="0067AB"/>
              <w:left w:val="single" w:sz="2" w:space="0" w:color="0067AB"/>
              <w:bottom w:val="single" w:sz="2" w:space="0" w:color="0067AB"/>
              <w:right w:val="single" w:sz="2" w:space="0" w:color="0067AB"/>
            </w:tcBorders>
            <w:vAlign w:val="center"/>
          </w:tcPr>
          <w:p w14:paraId="50F0EF53" w14:textId="38E7295C"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67" w:type="pct"/>
            <w:tcBorders>
              <w:top w:val="single" w:sz="2" w:space="0" w:color="0067AB"/>
              <w:left w:val="single" w:sz="2" w:space="0" w:color="0067AB"/>
              <w:bottom w:val="single" w:sz="2" w:space="0" w:color="0067AB"/>
              <w:right w:val="single" w:sz="12" w:space="0" w:color="0067AB"/>
            </w:tcBorders>
            <w:vAlign w:val="center"/>
          </w:tcPr>
          <w:p w14:paraId="461A15CC" w14:textId="70C64C9F"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59" w:type="pct"/>
            <w:tcBorders>
              <w:top w:val="single" w:sz="2" w:space="0" w:color="0067AB"/>
              <w:left w:val="single" w:sz="12" w:space="0" w:color="0067AB"/>
              <w:bottom w:val="single" w:sz="2" w:space="0" w:color="0067AB"/>
              <w:right w:val="single" w:sz="2" w:space="0" w:color="0067AB"/>
            </w:tcBorders>
            <w:vAlign w:val="center"/>
          </w:tcPr>
          <w:p w14:paraId="71C31A5C" w14:textId="300CFE5B"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54" w:type="pct"/>
            <w:tcBorders>
              <w:top w:val="single" w:sz="2" w:space="0" w:color="0067AB"/>
              <w:left w:val="single" w:sz="2" w:space="0" w:color="0067AB"/>
              <w:bottom w:val="single" w:sz="2" w:space="0" w:color="0067AB"/>
              <w:right w:val="single" w:sz="2" w:space="0" w:color="0067AB"/>
            </w:tcBorders>
            <w:vAlign w:val="center"/>
          </w:tcPr>
          <w:p w14:paraId="64D720CC" w14:textId="5DF701C7"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47" w:type="pct"/>
            <w:tcBorders>
              <w:top w:val="single" w:sz="2" w:space="0" w:color="0067AB"/>
              <w:left w:val="single" w:sz="2" w:space="0" w:color="0067AB"/>
              <w:bottom w:val="single" w:sz="2" w:space="0" w:color="0067AB"/>
              <w:right w:val="single" w:sz="2" w:space="0" w:color="0067AB"/>
            </w:tcBorders>
            <w:vAlign w:val="center"/>
          </w:tcPr>
          <w:p w14:paraId="2C12292C" w14:textId="18FCEDC1"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23" w:type="pct"/>
            <w:tcBorders>
              <w:top w:val="single" w:sz="2" w:space="0" w:color="0067AB"/>
              <w:left w:val="single" w:sz="2" w:space="0" w:color="0067AB"/>
              <w:bottom w:val="single" w:sz="2" w:space="0" w:color="0067AB"/>
              <w:right w:val="single" w:sz="2" w:space="0" w:color="0067AB"/>
            </w:tcBorders>
            <w:vAlign w:val="center"/>
          </w:tcPr>
          <w:p w14:paraId="4FC24883" w14:textId="45F32C5C" w:rsidR="000C6C9E" w:rsidRPr="00213A9E" w:rsidRDefault="000C6C9E" w:rsidP="000C6C9E">
            <w:pPr>
              <w:pStyle w:val="TableTextNoSpace"/>
              <w:jc w:val="center"/>
              <w:rPr>
                <w:rFonts w:cs="Arial"/>
                <w:b/>
                <w:sz w:val="18"/>
                <w:szCs w:val="18"/>
              </w:rPr>
            </w:pPr>
            <w:r w:rsidRPr="00213A9E">
              <w:rPr>
                <w:rFonts w:cs="Arial"/>
                <w:b/>
                <w:sz w:val="18"/>
                <w:szCs w:val="18"/>
              </w:rPr>
              <w:t>X</w:t>
            </w:r>
          </w:p>
        </w:tc>
      </w:tr>
      <w:tr w:rsidR="00150EA7" w14:paraId="4ABA8C1F" w14:textId="77777777" w:rsidTr="002A5002">
        <w:tc>
          <w:tcPr>
            <w:tcW w:w="783" w:type="pct"/>
            <w:tcBorders>
              <w:top w:val="single" w:sz="2" w:space="0" w:color="0067AB"/>
              <w:left w:val="single" w:sz="2" w:space="0" w:color="0067AB"/>
              <w:bottom w:val="single" w:sz="2" w:space="0" w:color="0067AB"/>
              <w:right w:val="single" w:sz="2" w:space="0" w:color="0067AB"/>
            </w:tcBorders>
          </w:tcPr>
          <w:p w14:paraId="05920760" w14:textId="2D040214" w:rsidR="00150EA7" w:rsidRPr="00D60446" w:rsidRDefault="00150EA7" w:rsidP="00150EA7">
            <w:pPr>
              <w:pStyle w:val="TableTextNoSpace"/>
              <w:jc w:val="left"/>
              <w:rPr>
                <w:rFonts w:asciiTheme="minorHAnsi" w:hAnsiTheme="minorHAnsi"/>
                <w:sz w:val="18"/>
                <w:szCs w:val="18"/>
              </w:rPr>
            </w:pPr>
            <w:r>
              <w:rPr>
                <w:rFonts w:asciiTheme="minorHAnsi" w:hAnsiTheme="minorHAnsi"/>
                <w:sz w:val="18"/>
                <w:szCs w:val="18"/>
              </w:rPr>
              <w:t>Private, Lottery, voluntary sector:</w:t>
            </w:r>
            <w:r w:rsidRPr="00D60446">
              <w:rPr>
                <w:rFonts w:asciiTheme="minorHAnsi" w:hAnsiTheme="minorHAnsi"/>
                <w:sz w:val="18"/>
                <w:szCs w:val="18"/>
              </w:rPr>
              <w:t xml:space="preserve"> landscape </w:t>
            </w:r>
          </w:p>
        </w:tc>
        <w:tc>
          <w:tcPr>
            <w:tcW w:w="171" w:type="pct"/>
            <w:tcBorders>
              <w:top w:val="single" w:sz="2" w:space="0" w:color="0067AB"/>
              <w:left w:val="single" w:sz="2" w:space="0" w:color="0067AB"/>
              <w:bottom w:val="single" w:sz="2" w:space="0" w:color="0067AB"/>
              <w:right w:val="single" w:sz="2" w:space="0" w:color="0067AB"/>
            </w:tcBorders>
            <w:vAlign w:val="center"/>
          </w:tcPr>
          <w:p w14:paraId="4E319716" w14:textId="77777777" w:rsidR="00150EA7" w:rsidRPr="00CE4330" w:rsidRDefault="00150EA7" w:rsidP="00150EA7">
            <w:pPr>
              <w:pStyle w:val="TableTextNoSpace"/>
              <w:jc w:val="center"/>
              <w:rPr>
                <w:rFonts w:cs="Arial"/>
                <w:sz w:val="18"/>
                <w:szCs w:val="18"/>
              </w:rPr>
            </w:pPr>
          </w:p>
        </w:tc>
        <w:tc>
          <w:tcPr>
            <w:tcW w:w="172" w:type="pct"/>
            <w:tcBorders>
              <w:top w:val="single" w:sz="2" w:space="0" w:color="0067AB"/>
              <w:left w:val="single" w:sz="2" w:space="0" w:color="0067AB"/>
              <w:bottom w:val="single" w:sz="2" w:space="0" w:color="0067AB"/>
              <w:right w:val="single" w:sz="2" w:space="0" w:color="0067AB"/>
            </w:tcBorders>
            <w:vAlign w:val="center"/>
          </w:tcPr>
          <w:p w14:paraId="5F7DFD15" w14:textId="3140A8D5" w:rsidR="00150EA7" w:rsidRPr="00B26E50" w:rsidRDefault="00150EA7" w:rsidP="00150EA7">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7F630383" w14:textId="5904EA0E" w:rsidR="00150EA7" w:rsidRPr="00B26E50" w:rsidRDefault="00150EA7" w:rsidP="00150EA7">
            <w:pPr>
              <w:pStyle w:val="TableTextNoSpace"/>
              <w:jc w:val="center"/>
              <w:rPr>
                <w:rFonts w:cs="Arial"/>
                <w:b/>
                <w:sz w:val="18"/>
                <w:szCs w:val="18"/>
              </w:rPr>
            </w:pPr>
            <w:r w:rsidRPr="00B26E50">
              <w:rPr>
                <w:rFonts w:cs="Arial"/>
                <w:b/>
                <w:sz w:val="18"/>
                <w:szCs w:val="18"/>
              </w:rPr>
              <w:t>X</w:t>
            </w:r>
          </w:p>
        </w:tc>
        <w:tc>
          <w:tcPr>
            <w:tcW w:w="174" w:type="pct"/>
            <w:tcBorders>
              <w:top w:val="single" w:sz="2" w:space="0" w:color="0067AB"/>
              <w:left w:val="single" w:sz="2" w:space="0" w:color="0067AB"/>
              <w:bottom w:val="single" w:sz="2" w:space="0" w:color="0067AB"/>
              <w:right w:val="single" w:sz="12" w:space="0" w:color="0067AB"/>
            </w:tcBorders>
            <w:vAlign w:val="center"/>
          </w:tcPr>
          <w:p w14:paraId="148AC695" w14:textId="4FBCC615" w:rsidR="00150EA7" w:rsidRPr="00B26E50" w:rsidRDefault="00150EA7" w:rsidP="00150EA7">
            <w:pPr>
              <w:pStyle w:val="TableTextNoSpace"/>
              <w:jc w:val="center"/>
              <w:rPr>
                <w:rFonts w:cs="Arial"/>
                <w:b/>
                <w:sz w:val="18"/>
                <w:szCs w:val="18"/>
              </w:rPr>
            </w:pPr>
            <w:r w:rsidRPr="00B26E50">
              <w:rPr>
                <w:rFonts w:cs="Arial"/>
                <w:b/>
                <w:sz w:val="18"/>
                <w:szCs w:val="18"/>
              </w:rPr>
              <w:t>X</w:t>
            </w:r>
          </w:p>
        </w:tc>
        <w:tc>
          <w:tcPr>
            <w:tcW w:w="172" w:type="pct"/>
            <w:tcBorders>
              <w:top w:val="single" w:sz="2" w:space="0" w:color="0067AB"/>
              <w:left w:val="single" w:sz="12" w:space="0" w:color="0067AB"/>
              <w:bottom w:val="single" w:sz="2" w:space="0" w:color="0067AB"/>
              <w:right w:val="single" w:sz="2" w:space="0" w:color="0067AB"/>
            </w:tcBorders>
            <w:vAlign w:val="center"/>
          </w:tcPr>
          <w:p w14:paraId="2AF0FDB3" w14:textId="0417AE8C" w:rsidR="00150EA7" w:rsidRPr="00B26E50" w:rsidRDefault="00150EA7" w:rsidP="00150EA7">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7A417F03" w14:textId="749A59C2" w:rsidR="00150EA7" w:rsidRPr="00B26E50" w:rsidRDefault="00150EA7" w:rsidP="00150EA7">
            <w:pPr>
              <w:pStyle w:val="TableTextNoSpace"/>
              <w:jc w:val="center"/>
              <w:rPr>
                <w:rFonts w:cs="Arial"/>
                <w:b/>
                <w:sz w:val="18"/>
                <w:szCs w:val="18"/>
              </w:rPr>
            </w:pPr>
            <w:r w:rsidRPr="00B26E50">
              <w:rPr>
                <w:rFonts w:cs="Arial"/>
                <w:b/>
                <w:sz w:val="18"/>
                <w:szCs w:val="18"/>
              </w:rPr>
              <w:t>X</w:t>
            </w:r>
          </w:p>
        </w:tc>
        <w:tc>
          <w:tcPr>
            <w:tcW w:w="172" w:type="pct"/>
            <w:tcBorders>
              <w:top w:val="single" w:sz="2" w:space="0" w:color="0067AB"/>
              <w:left w:val="single" w:sz="2" w:space="0" w:color="0067AB"/>
              <w:bottom w:val="single" w:sz="2" w:space="0" w:color="0067AB"/>
              <w:right w:val="single" w:sz="2" w:space="0" w:color="0067AB"/>
            </w:tcBorders>
            <w:vAlign w:val="center"/>
          </w:tcPr>
          <w:p w14:paraId="3DB27EC4" w14:textId="676FD7D9" w:rsidR="00150EA7" w:rsidRPr="00B26E50" w:rsidRDefault="00150EA7" w:rsidP="00150EA7">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03B5F59B" w14:textId="3DE21CF1" w:rsidR="00150EA7" w:rsidRPr="00B26E50" w:rsidRDefault="00150EA7" w:rsidP="00150EA7">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769BEAF6" w14:textId="1C2111E2" w:rsidR="00150EA7" w:rsidRPr="00B26E50" w:rsidRDefault="00150EA7" w:rsidP="00150EA7">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5691CD49" w14:textId="5C1A278A" w:rsidR="00150EA7" w:rsidRPr="00B26E50" w:rsidRDefault="00150EA7" w:rsidP="00150EA7">
            <w:pPr>
              <w:pStyle w:val="TableTextNoSpace"/>
              <w:jc w:val="center"/>
              <w:rPr>
                <w:rFonts w:cs="Arial"/>
                <w:b/>
                <w:sz w:val="18"/>
                <w:szCs w:val="18"/>
              </w:rPr>
            </w:pPr>
            <w:r w:rsidRPr="00B26E50">
              <w:rPr>
                <w:rFonts w:cs="Arial"/>
                <w:b/>
                <w:sz w:val="18"/>
                <w:szCs w:val="18"/>
              </w:rPr>
              <w:t>X</w:t>
            </w:r>
          </w:p>
        </w:tc>
        <w:tc>
          <w:tcPr>
            <w:tcW w:w="172" w:type="pct"/>
            <w:tcBorders>
              <w:top w:val="single" w:sz="2" w:space="0" w:color="0067AB"/>
              <w:left w:val="single" w:sz="2" w:space="0" w:color="0067AB"/>
              <w:bottom w:val="single" w:sz="2" w:space="0" w:color="0067AB"/>
              <w:right w:val="single" w:sz="12" w:space="0" w:color="0067AB"/>
            </w:tcBorders>
            <w:vAlign w:val="center"/>
          </w:tcPr>
          <w:p w14:paraId="327D5558" w14:textId="3E82E7E8" w:rsidR="00150EA7" w:rsidRPr="00B26E50" w:rsidRDefault="00150EA7" w:rsidP="00150EA7">
            <w:pPr>
              <w:pStyle w:val="TableTextNoSpace"/>
              <w:jc w:val="center"/>
              <w:rPr>
                <w:rFonts w:cs="Arial"/>
                <w:b/>
                <w:sz w:val="18"/>
                <w:szCs w:val="18"/>
              </w:rPr>
            </w:pPr>
          </w:p>
        </w:tc>
        <w:tc>
          <w:tcPr>
            <w:tcW w:w="174" w:type="pct"/>
            <w:gridSpan w:val="2"/>
            <w:tcBorders>
              <w:top w:val="single" w:sz="2" w:space="0" w:color="0067AB"/>
              <w:left w:val="single" w:sz="12" w:space="0" w:color="0067AB"/>
              <w:bottom w:val="single" w:sz="2" w:space="0" w:color="0067AB"/>
              <w:right w:val="single" w:sz="2" w:space="0" w:color="0067AB"/>
            </w:tcBorders>
            <w:vAlign w:val="center"/>
          </w:tcPr>
          <w:p w14:paraId="0D3FD30F" w14:textId="11BC31DF" w:rsidR="00150EA7" w:rsidRPr="00B26E50" w:rsidRDefault="00150EA7" w:rsidP="00150EA7">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6490A1DE" w14:textId="6C8C80FA" w:rsidR="00150EA7" w:rsidRPr="00B26E50" w:rsidRDefault="00150EA7" w:rsidP="00150EA7">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1B9E9D10" w14:textId="78F780D4" w:rsidR="00150EA7" w:rsidRPr="00B26E50" w:rsidRDefault="00150EA7" w:rsidP="00150EA7">
            <w:pPr>
              <w:pStyle w:val="TableTextNoSpace"/>
              <w:jc w:val="center"/>
              <w:rPr>
                <w:rFonts w:cs="Arial"/>
                <w:b/>
                <w:sz w:val="18"/>
                <w:szCs w:val="18"/>
              </w:rPr>
            </w:pPr>
            <w:r w:rsidRPr="00B26E50">
              <w:rPr>
                <w:rFonts w:cs="Arial"/>
                <w:b/>
                <w:sz w:val="18"/>
                <w:szCs w:val="18"/>
              </w:rPr>
              <w:t>X</w:t>
            </w:r>
          </w:p>
        </w:tc>
        <w:tc>
          <w:tcPr>
            <w:tcW w:w="172" w:type="pct"/>
            <w:tcBorders>
              <w:top w:val="single" w:sz="2" w:space="0" w:color="0067AB"/>
              <w:left w:val="single" w:sz="2" w:space="0" w:color="0067AB"/>
              <w:bottom w:val="single" w:sz="2" w:space="0" w:color="0067AB"/>
              <w:right w:val="single" w:sz="2" w:space="0" w:color="0067AB"/>
            </w:tcBorders>
            <w:vAlign w:val="center"/>
          </w:tcPr>
          <w:p w14:paraId="2EFC395E" w14:textId="546638AD" w:rsidR="00150EA7" w:rsidRPr="00CE4330" w:rsidRDefault="00150EA7" w:rsidP="00150EA7">
            <w:pPr>
              <w:pStyle w:val="TableTextNoSpace"/>
              <w:jc w:val="center"/>
              <w:rPr>
                <w:rFonts w:cs="Arial"/>
                <w:sz w:val="18"/>
                <w:szCs w:val="18"/>
              </w:rPr>
            </w:pPr>
            <w:r>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1D319ABA" w14:textId="77777777" w:rsidR="00150EA7" w:rsidRPr="00CE4330" w:rsidRDefault="00150EA7" w:rsidP="00150EA7">
            <w:pPr>
              <w:pStyle w:val="TableTextNoSpace"/>
              <w:jc w:val="center"/>
              <w:rPr>
                <w:rFonts w:cs="Arial"/>
                <w:sz w:val="18"/>
                <w:szCs w:val="18"/>
              </w:rPr>
            </w:pPr>
          </w:p>
        </w:tc>
        <w:tc>
          <w:tcPr>
            <w:tcW w:w="185" w:type="pct"/>
            <w:tcBorders>
              <w:top w:val="single" w:sz="2" w:space="0" w:color="0067AB"/>
              <w:left w:val="single" w:sz="2" w:space="0" w:color="0067AB"/>
              <w:bottom w:val="single" w:sz="2" w:space="0" w:color="0067AB"/>
              <w:right w:val="single" w:sz="2" w:space="0" w:color="0067AB"/>
            </w:tcBorders>
            <w:vAlign w:val="center"/>
          </w:tcPr>
          <w:p w14:paraId="1309814D" w14:textId="3E0039DB" w:rsidR="00150EA7" w:rsidRPr="00B26E50" w:rsidRDefault="00150EA7" w:rsidP="00150EA7">
            <w:pPr>
              <w:pStyle w:val="TableTextNoSpace"/>
              <w:jc w:val="center"/>
              <w:rPr>
                <w:rFonts w:cs="Arial"/>
                <w:b/>
                <w:sz w:val="18"/>
                <w:szCs w:val="18"/>
              </w:rPr>
            </w:pPr>
            <w:r w:rsidRPr="00B26E50">
              <w:rPr>
                <w:rFonts w:cs="Arial"/>
                <w:b/>
                <w:sz w:val="18"/>
                <w:szCs w:val="18"/>
              </w:rPr>
              <w:t>X</w:t>
            </w:r>
          </w:p>
        </w:tc>
        <w:tc>
          <w:tcPr>
            <w:tcW w:w="177" w:type="pct"/>
            <w:tcBorders>
              <w:top w:val="single" w:sz="2" w:space="0" w:color="0067AB"/>
              <w:left w:val="single" w:sz="2" w:space="0" w:color="0067AB"/>
              <w:bottom w:val="single" w:sz="2" w:space="0" w:color="0067AB"/>
              <w:right w:val="single" w:sz="2" w:space="0" w:color="0067AB"/>
            </w:tcBorders>
            <w:vAlign w:val="center"/>
          </w:tcPr>
          <w:p w14:paraId="6EB2357F" w14:textId="497F7E30" w:rsidR="00150EA7" w:rsidRPr="00B26E50" w:rsidRDefault="00150EA7" w:rsidP="00150EA7">
            <w:pPr>
              <w:pStyle w:val="TableTextNoSpace"/>
              <w:jc w:val="center"/>
              <w:rPr>
                <w:rFonts w:cs="Arial"/>
                <w:b/>
                <w:sz w:val="18"/>
                <w:szCs w:val="18"/>
              </w:rPr>
            </w:pPr>
            <w:r w:rsidRPr="00B26E50">
              <w:rPr>
                <w:rFonts w:cs="Arial"/>
                <w:b/>
                <w:sz w:val="18"/>
                <w:szCs w:val="18"/>
              </w:rPr>
              <w:t>X</w:t>
            </w:r>
          </w:p>
        </w:tc>
        <w:tc>
          <w:tcPr>
            <w:tcW w:w="171" w:type="pct"/>
            <w:tcBorders>
              <w:top w:val="single" w:sz="2" w:space="0" w:color="0067AB"/>
              <w:left w:val="single" w:sz="2" w:space="0" w:color="0067AB"/>
              <w:bottom w:val="single" w:sz="2" w:space="0" w:color="0067AB"/>
              <w:right w:val="single" w:sz="2" w:space="0" w:color="0067AB"/>
            </w:tcBorders>
            <w:vAlign w:val="center"/>
          </w:tcPr>
          <w:p w14:paraId="45BB30C3" w14:textId="3CD33EE9" w:rsidR="00150EA7" w:rsidRPr="00B26E50" w:rsidRDefault="00150EA7" w:rsidP="00150EA7">
            <w:pPr>
              <w:pStyle w:val="TableTextNoSpace"/>
              <w:jc w:val="center"/>
              <w:rPr>
                <w:rFonts w:cs="Arial"/>
                <w:b/>
                <w:sz w:val="18"/>
                <w:szCs w:val="18"/>
              </w:rPr>
            </w:pPr>
            <w:r w:rsidRPr="00B26E50">
              <w:rPr>
                <w:rFonts w:cs="Arial"/>
                <w:b/>
                <w:sz w:val="18"/>
                <w:szCs w:val="18"/>
              </w:rPr>
              <w:t>X</w:t>
            </w:r>
          </w:p>
        </w:tc>
        <w:tc>
          <w:tcPr>
            <w:tcW w:w="171" w:type="pct"/>
            <w:tcBorders>
              <w:top w:val="single" w:sz="2" w:space="0" w:color="0067AB"/>
              <w:left w:val="single" w:sz="2" w:space="0" w:color="0067AB"/>
              <w:bottom w:val="single" w:sz="2" w:space="0" w:color="0067AB"/>
              <w:right w:val="single" w:sz="2" w:space="0" w:color="0067AB"/>
            </w:tcBorders>
            <w:vAlign w:val="center"/>
          </w:tcPr>
          <w:p w14:paraId="394A8AC6" w14:textId="69B234BD" w:rsidR="00150EA7" w:rsidRPr="00B26E50" w:rsidRDefault="00150EA7" w:rsidP="00150EA7">
            <w:pPr>
              <w:pStyle w:val="TableTextNoSpace"/>
              <w:jc w:val="center"/>
              <w:rPr>
                <w:rFonts w:cs="Arial"/>
                <w:b/>
                <w:sz w:val="18"/>
                <w:szCs w:val="18"/>
              </w:rPr>
            </w:pPr>
            <w:r w:rsidRPr="00B26E50">
              <w:rPr>
                <w:rFonts w:cs="Arial"/>
                <w:b/>
                <w:sz w:val="18"/>
                <w:szCs w:val="18"/>
              </w:rPr>
              <w:t>X</w:t>
            </w:r>
          </w:p>
        </w:tc>
        <w:tc>
          <w:tcPr>
            <w:tcW w:w="167" w:type="pct"/>
            <w:tcBorders>
              <w:top w:val="single" w:sz="2" w:space="0" w:color="0067AB"/>
              <w:left w:val="single" w:sz="2" w:space="0" w:color="0067AB"/>
              <w:bottom w:val="single" w:sz="2" w:space="0" w:color="0067AB"/>
              <w:right w:val="single" w:sz="12" w:space="0" w:color="0067AB"/>
            </w:tcBorders>
            <w:vAlign w:val="center"/>
          </w:tcPr>
          <w:p w14:paraId="7BBA90EA" w14:textId="72D56BE3" w:rsidR="00150EA7" w:rsidRPr="00B26E50" w:rsidRDefault="00150EA7" w:rsidP="00150EA7">
            <w:pPr>
              <w:pStyle w:val="TableTextNoSpace"/>
              <w:jc w:val="center"/>
              <w:rPr>
                <w:rFonts w:cs="Arial"/>
                <w:b/>
                <w:sz w:val="18"/>
                <w:szCs w:val="18"/>
              </w:rPr>
            </w:pPr>
            <w:r w:rsidRPr="00B26E50">
              <w:rPr>
                <w:rFonts w:cs="Arial"/>
                <w:b/>
                <w:sz w:val="18"/>
                <w:szCs w:val="18"/>
              </w:rPr>
              <w:t>X</w:t>
            </w:r>
          </w:p>
        </w:tc>
        <w:tc>
          <w:tcPr>
            <w:tcW w:w="159" w:type="pct"/>
            <w:tcBorders>
              <w:top w:val="single" w:sz="2" w:space="0" w:color="0067AB"/>
              <w:left w:val="single" w:sz="12" w:space="0" w:color="0067AB"/>
              <w:bottom w:val="single" w:sz="2" w:space="0" w:color="0067AB"/>
              <w:right w:val="single" w:sz="2" w:space="0" w:color="0067AB"/>
            </w:tcBorders>
            <w:vAlign w:val="center"/>
          </w:tcPr>
          <w:p w14:paraId="3F5649AF" w14:textId="4B9B2138" w:rsidR="00150EA7" w:rsidRPr="00B26E50" w:rsidRDefault="00150EA7" w:rsidP="00150EA7">
            <w:pPr>
              <w:pStyle w:val="TableTextNoSpace"/>
              <w:jc w:val="center"/>
              <w:rPr>
                <w:rFonts w:cs="Arial"/>
                <w:b/>
                <w:sz w:val="18"/>
                <w:szCs w:val="18"/>
              </w:rPr>
            </w:pPr>
            <w:r w:rsidRPr="00B26E50">
              <w:rPr>
                <w:rFonts w:cs="Arial"/>
                <w:b/>
                <w:sz w:val="18"/>
                <w:szCs w:val="18"/>
              </w:rPr>
              <w:t>X</w:t>
            </w:r>
          </w:p>
        </w:tc>
        <w:tc>
          <w:tcPr>
            <w:tcW w:w="154" w:type="pct"/>
            <w:tcBorders>
              <w:top w:val="single" w:sz="2" w:space="0" w:color="0067AB"/>
              <w:left w:val="single" w:sz="2" w:space="0" w:color="0067AB"/>
              <w:bottom w:val="single" w:sz="2" w:space="0" w:color="0067AB"/>
              <w:right w:val="single" w:sz="2" w:space="0" w:color="0067AB"/>
            </w:tcBorders>
            <w:vAlign w:val="center"/>
          </w:tcPr>
          <w:p w14:paraId="6C558EF8" w14:textId="059565D0" w:rsidR="00150EA7" w:rsidRPr="00B26E50" w:rsidRDefault="00150EA7" w:rsidP="00150EA7">
            <w:pPr>
              <w:pStyle w:val="TableTextNoSpace"/>
              <w:jc w:val="center"/>
              <w:rPr>
                <w:rFonts w:cs="Arial"/>
                <w:b/>
                <w:sz w:val="18"/>
                <w:szCs w:val="18"/>
              </w:rPr>
            </w:pPr>
            <w:r w:rsidRPr="00B26E50">
              <w:rPr>
                <w:rFonts w:cs="Arial"/>
                <w:b/>
                <w:sz w:val="18"/>
                <w:szCs w:val="18"/>
              </w:rPr>
              <w:t>X</w:t>
            </w:r>
          </w:p>
        </w:tc>
        <w:tc>
          <w:tcPr>
            <w:tcW w:w="147" w:type="pct"/>
            <w:tcBorders>
              <w:top w:val="single" w:sz="2" w:space="0" w:color="0067AB"/>
              <w:left w:val="single" w:sz="2" w:space="0" w:color="0067AB"/>
              <w:bottom w:val="single" w:sz="2" w:space="0" w:color="0067AB"/>
              <w:right w:val="single" w:sz="2" w:space="0" w:color="0067AB"/>
            </w:tcBorders>
            <w:vAlign w:val="center"/>
          </w:tcPr>
          <w:p w14:paraId="295ABC7A" w14:textId="190F052C" w:rsidR="00150EA7" w:rsidRPr="00B26E50" w:rsidRDefault="00150EA7" w:rsidP="00150EA7">
            <w:pPr>
              <w:pStyle w:val="TableTextNoSpace"/>
              <w:jc w:val="center"/>
              <w:rPr>
                <w:rFonts w:cs="Arial"/>
                <w:b/>
                <w:sz w:val="18"/>
                <w:szCs w:val="18"/>
              </w:rPr>
            </w:pPr>
            <w:r w:rsidRPr="00B26E50">
              <w:rPr>
                <w:rFonts w:cs="Arial"/>
                <w:b/>
                <w:sz w:val="18"/>
                <w:szCs w:val="18"/>
              </w:rPr>
              <w:t>X</w:t>
            </w:r>
          </w:p>
        </w:tc>
        <w:tc>
          <w:tcPr>
            <w:tcW w:w="123" w:type="pct"/>
            <w:tcBorders>
              <w:top w:val="single" w:sz="2" w:space="0" w:color="0067AB"/>
              <w:left w:val="single" w:sz="2" w:space="0" w:color="0067AB"/>
              <w:bottom w:val="single" w:sz="2" w:space="0" w:color="0067AB"/>
              <w:right w:val="single" w:sz="2" w:space="0" w:color="0067AB"/>
            </w:tcBorders>
            <w:vAlign w:val="center"/>
          </w:tcPr>
          <w:p w14:paraId="18FD5BE1" w14:textId="570E4B4D" w:rsidR="00150EA7" w:rsidRPr="00213A9E" w:rsidRDefault="00150EA7" w:rsidP="00150EA7">
            <w:pPr>
              <w:pStyle w:val="TableTextNoSpace"/>
              <w:jc w:val="center"/>
              <w:rPr>
                <w:rFonts w:cs="Arial"/>
                <w:b/>
                <w:sz w:val="18"/>
                <w:szCs w:val="18"/>
              </w:rPr>
            </w:pPr>
            <w:r w:rsidRPr="00213A9E">
              <w:rPr>
                <w:rFonts w:cs="Arial"/>
                <w:b/>
                <w:sz w:val="18"/>
                <w:szCs w:val="18"/>
              </w:rPr>
              <w:t>X</w:t>
            </w:r>
          </w:p>
        </w:tc>
      </w:tr>
      <w:tr w:rsidR="00150EA7" w14:paraId="0D8C009B" w14:textId="77777777" w:rsidTr="002A5002">
        <w:tc>
          <w:tcPr>
            <w:tcW w:w="783" w:type="pct"/>
            <w:tcBorders>
              <w:top w:val="single" w:sz="2" w:space="0" w:color="0067AB"/>
              <w:left w:val="single" w:sz="2" w:space="0" w:color="0067AB"/>
              <w:bottom w:val="single" w:sz="2" w:space="0" w:color="0067AB"/>
              <w:right w:val="single" w:sz="2" w:space="0" w:color="0067AB"/>
            </w:tcBorders>
          </w:tcPr>
          <w:p w14:paraId="56E74F85" w14:textId="116C953D" w:rsidR="00150EA7" w:rsidRPr="00D60446" w:rsidRDefault="00150EA7" w:rsidP="00150EA7">
            <w:pPr>
              <w:pStyle w:val="TableTextNoSpace"/>
              <w:jc w:val="left"/>
              <w:rPr>
                <w:rFonts w:asciiTheme="minorHAnsi" w:hAnsiTheme="minorHAnsi"/>
                <w:sz w:val="18"/>
                <w:szCs w:val="18"/>
              </w:rPr>
            </w:pPr>
            <w:r>
              <w:rPr>
                <w:rFonts w:asciiTheme="minorHAnsi" w:hAnsiTheme="minorHAnsi"/>
                <w:sz w:val="18"/>
                <w:szCs w:val="18"/>
              </w:rPr>
              <w:t>Private, Lottery, voluntary sector:</w:t>
            </w:r>
            <w:r w:rsidRPr="00D60446">
              <w:rPr>
                <w:rFonts w:asciiTheme="minorHAnsi" w:hAnsiTheme="minorHAnsi"/>
                <w:sz w:val="18"/>
                <w:szCs w:val="18"/>
              </w:rPr>
              <w:t xml:space="preserve"> skills/training</w:t>
            </w:r>
          </w:p>
        </w:tc>
        <w:tc>
          <w:tcPr>
            <w:tcW w:w="171" w:type="pct"/>
            <w:tcBorders>
              <w:top w:val="single" w:sz="2" w:space="0" w:color="0067AB"/>
              <w:left w:val="single" w:sz="2" w:space="0" w:color="0067AB"/>
              <w:bottom w:val="single" w:sz="2" w:space="0" w:color="0067AB"/>
              <w:right w:val="single" w:sz="2" w:space="0" w:color="0067AB"/>
            </w:tcBorders>
            <w:vAlign w:val="center"/>
          </w:tcPr>
          <w:p w14:paraId="02E296E3" w14:textId="77777777" w:rsidR="00150EA7" w:rsidRPr="00CE4330" w:rsidRDefault="00150EA7" w:rsidP="00150EA7">
            <w:pPr>
              <w:pStyle w:val="TableTextNoSpace"/>
              <w:jc w:val="center"/>
              <w:rPr>
                <w:rFonts w:cs="Arial"/>
                <w:sz w:val="18"/>
                <w:szCs w:val="18"/>
              </w:rPr>
            </w:pPr>
          </w:p>
        </w:tc>
        <w:tc>
          <w:tcPr>
            <w:tcW w:w="172" w:type="pct"/>
            <w:tcBorders>
              <w:top w:val="single" w:sz="2" w:space="0" w:color="0067AB"/>
              <w:left w:val="single" w:sz="2" w:space="0" w:color="0067AB"/>
              <w:bottom w:val="single" w:sz="2" w:space="0" w:color="0067AB"/>
              <w:right w:val="single" w:sz="2" w:space="0" w:color="0067AB"/>
            </w:tcBorders>
            <w:vAlign w:val="center"/>
          </w:tcPr>
          <w:p w14:paraId="49C3265B" w14:textId="77777777" w:rsidR="00150EA7" w:rsidRPr="00B26E50" w:rsidRDefault="00150EA7" w:rsidP="00150EA7">
            <w:pPr>
              <w:pStyle w:val="TableTextNoSpace"/>
              <w:jc w:val="center"/>
              <w:rPr>
                <w:rFonts w:cs="Arial"/>
                <w:b/>
                <w:sz w:val="18"/>
                <w:szCs w:val="18"/>
              </w:rPr>
            </w:pPr>
          </w:p>
        </w:tc>
        <w:tc>
          <w:tcPr>
            <w:tcW w:w="173" w:type="pct"/>
            <w:tcBorders>
              <w:top w:val="single" w:sz="2" w:space="0" w:color="0067AB"/>
              <w:left w:val="single" w:sz="2" w:space="0" w:color="0067AB"/>
              <w:bottom w:val="single" w:sz="2" w:space="0" w:color="0067AB"/>
              <w:right w:val="single" w:sz="2" w:space="0" w:color="0067AB"/>
            </w:tcBorders>
            <w:vAlign w:val="center"/>
          </w:tcPr>
          <w:p w14:paraId="5EA34B20" w14:textId="77777777" w:rsidR="00150EA7" w:rsidRPr="00B26E50" w:rsidRDefault="00150EA7" w:rsidP="00150EA7">
            <w:pPr>
              <w:pStyle w:val="TableTextNoSpace"/>
              <w:jc w:val="center"/>
              <w:rPr>
                <w:rFonts w:cs="Arial"/>
                <w:b/>
                <w:sz w:val="18"/>
                <w:szCs w:val="18"/>
              </w:rPr>
            </w:pPr>
          </w:p>
        </w:tc>
        <w:tc>
          <w:tcPr>
            <w:tcW w:w="174" w:type="pct"/>
            <w:tcBorders>
              <w:top w:val="single" w:sz="2" w:space="0" w:color="0067AB"/>
              <w:left w:val="single" w:sz="2" w:space="0" w:color="0067AB"/>
              <w:bottom w:val="single" w:sz="2" w:space="0" w:color="0067AB"/>
              <w:right w:val="single" w:sz="12" w:space="0" w:color="0067AB"/>
            </w:tcBorders>
            <w:vAlign w:val="center"/>
          </w:tcPr>
          <w:p w14:paraId="3985E1D8" w14:textId="77777777" w:rsidR="00150EA7" w:rsidRPr="00B26E50" w:rsidRDefault="00150EA7" w:rsidP="00150EA7">
            <w:pPr>
              <w:pStyle w:val="TableTextNoSpace"/>
              <w:jc w:val="center"/>
              <w:rPr>
                <w:rFonts w:cs="Arial"/>
                <w:b/>
                <w:sz w:val="18"/>
                <w:szCs w:val="18"/>
              </w:rPr>
            </w:pPr>
          </w:p>
        </w:tc>
        <w:tc>
          <w:tcPr>
            <w:tcW w:w="172" w:type="pct"/>
            <w:tcBorders>
              <w:top w:val="single" w:sz="2" w:space="0" w:color="0067AB"/>
              <w:left w:val="single" w:sz="12" w:space="0" w:color="0067AB"/>
              <w:bottom w:val="single" w:sz="2" w:space="0" w:color="0067AB"/>
              <w:right w:val="single" w:sz="2" w:space="0" w:color="0067AB"/>
            </w:tcBorders>
            <w:vAlign w:val="center"/>
          </w:tcPr>
          <w:p w14:paraId="6035DF6D" w14:textId="77777777" w:rsidR="00150EA7" w:rsidRPr="00B26E50" w:rsidRDefault="00150EA7" w:rsidP="00150EA7">
            <w:pPr>
              <w:pStyle w:val="TableTextNoSpace"/>
              <w:jc w:val="center"/>
              <w:rPr>
                <w:rFonts w:cs="Arial"/>
                <w:b/>
                <w:sz w:val="18"/>
                <w:szCs w:val="18"/>
              </w:rPr>
            </w:pPr>
          </w:p>
        </w:tc>
        <w:tc>
          <w:tcPr>
            <w:tcW w:w="173" w:type="pct"/>
            <w:tcBorders>
              <w:top w:val="single" w:sz="2" w:space="0" w:color="0067AB"/>
              <w:left w:val="single" w:sz="2" w:space="0" w:color="0067AB"/>
              <w:bottom w:val="single" w:sz="2" w:space="0" w:color="0067AB"/>
              <w:right w:val="single" w:sz="2" w:space="0" w:color="0067AB"/>
            </w:tcBorders>
            <w:vAlign w:val="center"/>
          </w:tcPr>
          <w:p w14:paraId="0DC94F23" w14:textId="77777777" w:rsidR="00150EA7" w:rsidRPr="00B26E50" w:rsidRDefault="00150EA7" w:rsidP="00150EA7">
            <w:pPr>
              <w:pStyle w:val="TableTextNoSpace"/>
              <w:jc w:val="center"/>
              <w:rPr>
                <w:rFonts w:cs="Arial"/>
                <w:b/>
                <w:sz w:val="18"/>
                <w:szCs w:val="18"/>
              </w:rPr>
            </w:pPr>
          </w:p>
        </w:tc>
        <w:tc>
          <w:tcPr>
            <w:tcW w:w="172" w:type="pct"/>
            <w:tcBorders>
              <w:top w:val="single" w:sz="2" w:space="0" w:color="0067AB"/>
              <w:left w:val="single" w:sz="2" w:space="0" w:color="0067AB"/>
              <w:bottom w:val="single" w:sz="2" w:space="0" w:color="0067AB"/>
              <w:right w:val="single" w:sz="2" w:space="0" w:color="0067AB"/>
            </w:tcBorders>
            <w:vAlign w:val="center"/>
          </w:tcPr>
          <w:p w14:paraId="7EEDB2D3" w14:textId="77777777" w:rsidR="00150EA7" w:rsidRPr="00B26E50" w:rsidRDefault="00150EA7" w:rsidP="00150EA7">
            <w:pPr>
              <w:pStyle w:val="TableTextNoSpace"/>
              <w:jc w:val="center"/>
              <w:rPr>
                <w:rFonts w:cs="Arial"/>
                <w:b/>
                <w:sz w:val="18"/>
                <w:szCs w:val="18"/>
              </w:rPr>
            </w:pPr>
          </w:p>
        </w:tc>
        <w:tc>
          <w:tcPr>
            <w:tcW w:w="173" w:type="pct"/>
            <w:tcBorders>
              <w:top w:val="single" w:sz="2" w:space="0" w:color="0067AB"/>
              <w:left w:val="single" w:sz="2" w:space="0" w:color="0067AB"/>
              <w:bottom w:val="single" w:sz="2" w:space="0" w:color="0067AB"/>
              <w:right w:val="single" w:sz="2" w:space="0" w:color="0067AB"/>
            </w:tcBorders>
            <w:vAlign w:val="center"/>
          </w:tcPr>
          <w:p w14:paraId="7FF242EF" w14:textId="77777777" w:rsidR="00150EA7" w:rsidRPr="00B26E50" w:rsidRDefault="00150EA7" w:rsidP="00150EA7">
            <w:pPr>
              <w:pStyle w:val="TableTextNoSpace"/>
              <w:jc w:val="center"/>
              <w:rPr>
                <w:rFonts w:cs="Arial"/>
                <w:b/>
                <w:sz w:val="18"/>
                <w:szCs w:val="18"/>
              </w:rPr>
            </w:pPr>
          </w:p>
        </w:tc>
        <w:tc>
          <w:tcPr>
            <w:tcW w:w="173" w:type="pct"/>
            <w:tcBorders>
              <w:top w:val="single" w:sz="2" w:space="0" w:color="0067AB"/>
              <w:left w:val="single" w:sz="2" w:space="0" w:color="0067AB"/>
              <w:bottom w:val="single" w:sz="2" w:space="0" w:color="0067AB"/>
              <w:right w:val="single" w:sz="2" w:space="0" w:color="0067AB"/>
            </w:tcBorders>
            <w:vAlign w:val="center"/>
          </w:tcPr>
          <w:p w14:paraId="0BFEB573" w14:textId="77777777" w:rsidR="00150EA7" w:rsidRPr="00B26E50" w:rsidRDefault="00150EA7" w:rsidP="00150EA7">
            <w:pPr>
              <w:pStyle w:val="TableTextNoSpace"/>
              <w:jc w:val="center"/>
              <w:rPr>
                <w:rFonts w:cs="Arial"/>
                <w:b/>
                <w:sz w:val="18"/>
                <w:szCs w:val="18"/>
              </w:rPr>
            </w:pPr>
          </w:p>
        </w:tc>
        <w:tc>
          <w:tcPr>
            <w:tcW w:w="173" w:type="pct"/>
            <w:tcBorders>
              <w:top w:val="single" w:sz="2" w:space="0" w:color="0067AB"/>
              <w:left w:val="single" w:sz="2" w:space="0" w:color="0067AB"/>
              <w:bottom w:val="single" w:sz="2" w:space="0" w:color="0067AB"/>
              <w:right w:val="single" w:sz="2" w:space="0" w:color="0067AB"/>
            </w:tcBorders>
            <w:vAlign w:val="center"/>
          </w:tcPr>
          <w:p w14:paraId="4583C289" w14:textId="77777777" w:rsidR="00150EA7" w:rsidRPr="00B26E50" w:rsidRDefault="00150EA7" w:rsidP="00150EA7">
            <w:pPr>
              <w:pStyle w:val="TableTextNoSpace"/>
              <w:jc w:val="center"/>
              <w:rPr>
                <w:rFonts w:cs="Arial"/>
                <w:b/>
                <w:sz w:val="18"/>
                <w:szCs w:val="18"/>
              </w:rPr>
            </w:pPr>
          </w:p>
        </w:tc>
        <w:tc>
          <w:tcPr>
            <w:tcW w:w="172" w:type="pct"/>
            <w:tcBorders>
              <w:top w:val="single" w:sz="2" w:space="0" w:color="0067AB"/>
              <w:left w:val="single" w:sz="2" w:space="0" w:color="0067AB"/>
              <w:bottom w:val="single" w:sz="2" w:space="0" w:color="0067AB"/>
              <w:right w:val="single" w:sz="12" w:space="0" w:color="0067AB"/>
            </w:tcBorders>
            <w:vAlign w:val="center"/>
          </w:tcPr>
          <w:p w14:paraId="6ACADFBA" w14:textId="77777777" w:rsidR="00150EA7" w:rsidRPr="00B26E50" w:rsidRDefault="00150EA7" w:rsidP="00150EA7">
            <w:pPr>
              <w:pStyle w:val="TableTextNoSpace"/>
              <w:jc w:val="center"/>
              <w:rPr>
                <w:rFonts w:cs="Arial"/>
                <w:b/>
                <w:sz w:val="18"/>
                <w:szCs w:val="18"/>
              </w:rPr>
            </w:pPr>
          </w:p>
        </w:tc>
        <w:tc>
          <w:tcPr>
            <w:tcW w:w="174" w:type="pct"/>
            <w:gridSpan w:val="2"/>
            <w:tcBorders>
              <w:top w:val="single" w:sz="2" w:space="0" w:color="0067AB"/>
              <w:left w:val="single" w:sz="12" w:space="0" w:color="0067AB"/>
              <w:bottom w:val="single" w:sz="2" w:space="0" w:color="0067AB"/>
              <w:right w:val="single" w:sz="2" w:space="0" w:color="0067AB"/>
            </w:tcBorders>
            <w:vAlign w:val="center"/>
          </w:tcPr>
          <w:p w14:paraId="03F5DA3C" w14:textId="77777777" w:rsidR="00150EA7" w:rsidRPr="00CE4330" w:rsidRDefault="00150EA7" w:rsidP="00150EA7">
            <w:pPr>
              <w:pStyle w:val="TableTextNoSpace"/>
              <w:jc w:val="center"/>
              <w:rPr>
                <w:rFonts w:cs="Arial"/>
                <w:sz w:val="18"/>
                <w:szCs w:val="18"/>
              </w:rPr>
            </w:pPr>
          </w:p>
        </w:tc>
        <w:tc>
          <w:tcPr>
            <w:tcW w:w="173" w:type="pct"/>
            <w:tcBorders>
              <w:top w:val="single" w:sz="2" w:space="0" w:color="0067AB"/>
              <w:left w:val="single" w:sz="2" w:space="0" w:color="0067AB"/>
              <w:bottom w:val="single" w:sz="2" w:space="0" w:color="0067AB"/>
              <w:right w:val="single" w:sz="2" w:space="0" w:color="0067AB"/>
            </w:tcBorders>
            <w:vAlign w:val="center"/>
          </w:tcPr>
          <w:p w14:paraId="09C1E66C" w14:textId="77777777" w:rsidR="00150EA7" w:rsidRPr="00CE4330" w:rsidRDefault="00150EA7" w:rsidP="00150EA7">
            <w:pPr>
              <w:pStyle w:val="TableTextNoSpace"/>
              <w:jc w:val="center"/>
              <w:rPr>
                <w:rFonts w:cs="Arial"/>
                <w:sz w:val="18"/>
                <w:szCs w:val="18"/>
              </w:rPr>
            </w:pPr>
          </w:p>
        </w:tc>
        <w:tc>
          <w:tcPr>
            <w:tcW w:w="173" w:type="pct"/>
            <w:tcBorders>
              <w:top w:val="single" w:sz="2" w:space="0" w:color="0067AB"/>
              <w:left w:val="single" w:sz="2" w:space="0" w:color="0067AB"/>
              <w:bottom w:val="single" w:sz="2" w:space="0" w:color="0067AB"/>
              <w:right w:val="single" w:sz="2" w:space="0" w:color="0067AB"/>
            </w:tcBorders>
            <w:vAlign w:val="center"/>
          </w:tcPr>
          <w:p w14:paraId="6EB180AB" w14:textId="77777777" w:rsidR="00150EA7" w:rsidRPr="00CE4330" w:rsidRDefault="00150EA7" w:rsidP="00150EA7">
            <w:pPr>
              <w:pStyle w:val="TableTextNoSpace"/>
              <w:jc w:val="center"/>
              <w:rPr>
                <w:rFonts w:cs="Arial"/>
                <w:sz w:val="18"/>
                <w:szCs w:val="18"/>
              </w:rPr>
            </w:pPr>
          </w:p>
        </w:tc>
        <w:tc>
          <w:tcPr>
            <w:tcW w:w="172" w:type="pct"/>
            <w:tcBorders>
              <w:top w:val="single" w:sz="2" w:space="0" w:color="0067AB"/>
              <w:left w:val="single" w:sz="2" w:space="0" w:color="0067AB"/>
              <w:bottom w:val="single" w:sz="2" w:space="0" w:color="0067AB"/>
              <w:right w:val="single" w:sz="2" w:space="0" w:color="0067AB"/>
            </w:tcBorders>
            <w:vAlign w:val="center"/>
          </w:tcPr>
          <w:p w14:paraId="2AA20C3F" w14:textId="77777777" w:rsidR="00150EA7" w:rsidRPr="00CE4330" w:rsidRDefault="00150EA7" w:rsidP="00150EA7">
            <w:pPr>
              <w:pStyle w:val="TableTextNoSpace"/>
              <w:jc w:val="center"/>
              <w:rPr>
                <w:rFonts w:cs="Arial"/>
                <w:sz w:val="18"/>
                <w:szCs w:val="18"/>
              </w:rPr>
            </w:pPr>
          </w:p>
        </w:tc>
        <w:tc>
          <w:tcPr>
            <w:tcW w:w="173" w:type="pct"/>
            <w:tcBorders>
              <w:top w:val="single" w:sz="2" w:space="0" w:color="0067AB"/>
              <w:left w:val="single" w:sz="2" w:space="0" w:color="0067AB"/>
              <w:bottom w:val="single" w:sz="2" w:space="0" w:color="0067AB"/>
              <w:right w:val="single" w:sz="2" w:space="0" w:color="0067AB"/>
            </w:tcBorders>
            <w:vAlign w:val="center"/>
          </w:tcPr>
          <w:p w14:paraId="25BC848F" w14:textId="77777777" w:rsidR="00150EA7" w:rsidRPr="00CE4330" w:rsidRDefault="00150EA7" w:rsidP="00150EA7">
            <w:pPr>
              <w:pStyle w:val="TableTextNoSpace"/>
              <w:jc w:val="center"/>
              <w:rPr>
                <w:rFonts w:cs="Arial"/>
                <w:sz w:val="18"/>
                <w:szCs w:val="18"/>
              </w:rPr>
            </w:pPr>
          </w:p>
        </w:tc>
        <w:tc>
          <w:tcPr>
            <w:tcW w:w="185" w:type="pct"/>
            <w:tcBorders>
              <w:top w:val="single" w:sz="2" w:space="0" w:color="0067AB"/>
              <w:left w:val="single" w:sz="2" w:space="0" w:color="0067AB"/>
              <w:bottom w:val="single" w:sz="2" w:space="0" w:color="0067AB"/>
              <w:right w:val="single" w:sz="2" w:space="0" w:color="0067AB"/>
            </w:tcBorders>
            <w:vAlign w:val="center"/>
          </w:tcPr>
          <w:p w14:paraId="4C363A37" w14:textId="77777777" w:rsidR="00150EA7" w:rsidRPr="00B26E50" w:rsidRDefault="00150EA7" w:rsidP="00150EA7">
            <w:pPr>
              <w:pStyle w:val="TableTextNoSpace"/>
              <w:jc w:val="center"/>
              <w:rPr>
                <w:rFonts w:cs="Arial"/>
                <w:b/>
                <w:sz w:val="18"/>
                <w:szCs w:val="18"/>
              </w:rPr>
            </w:pPr>
          </w:p>
        </w:tc>
        <w:tc>
          <w:tcPr>
            <w:tcW w:w="177" w:type="pct"/>
            <w:tcBorders>
              <w:top w:val="single" w:sz="2" w:space="0" w:color="0067AB"/>
              <w:left w:val="single" w:sz="2" w:space="0" w:color="0067AB"/>
              <w:bottom w:val="single" w:sz="2" w:space="0" w:color="0067AB"/>
              <w:right w:val="single" w:sz="2" w:space="0" w:color="0067AB"/>
            </w:tcBorders>
            <w:vAlign w:val="center"/>
          </w:tcPr>
          <w:p w14:paraId="576428C5" w14:textId="77777777" w:rsidR="00150EA7" w:rsidRPr="00B26E50" w:rsidRDefault="00150EA7" w:rsidP="00150EA7">
            <w:pPr>
              <w:pStyle w:val="TableTextNoSpace"/>
              <w:jc w:val="center"/>
              <w:rPr>
                <w:rFonts w:cs="Arial"/>
                <w:b/>
                <w:sz w:val="18"/>
                <w:szCs w:val="18"/>
              </w:rPr>
            </w:pPr>
          </w:p>
        </w:tc>
        <w:tc>
          <w:tcPr>
            <w:tcW w:w="171" w:type="pct"/>
            <w:tcBorders>
              <w:top w:val="single" w:sz="2" w:space="0" w:color="0067AB"/>
              <w:left w:val="single" w:sz="2" w:space="0" w:color="0067AB"/>
              <w:bottom w:val="single" w:sz="2" w:space="0" w:color="0067AB"/>
              <w:right w:val="single" w:sz="2" w:space="0" w:color="0067AB"/>
            </w:tcBorders>
            <w:vAlign w:val="center"/>
          </w:tcPr>
          <w:p w14:paraId="387CF0C6" w14:textId="77777777" w:rsidR="00150EA7" w:rsidRPr="00B26E50" w:rsidRDefault="00150EA7" w:rsidP="00150EA7">
            <w:pPr>
              <w:pStyle w:val="TableTextNoSpace"/>
              <w:jc w:val="center"/>
              <w:rPr>
                <w:rFonts w:cs="Arial"/>
                <w:b/>
                <w:sz w:val="18"/>
                <w:szCs w:val="18"/>
              </w:rPr>
            </w:pPr>
          </w:p>
        </w:tc>
        <w:tc>
          <w:tcPr>
            <w:tcW w:w="171" w:type="pct"/>
            <w:tcBorders>
              <w:top w:val="single" w:sz="2" w:space="0" w:color="0067AB"/>
              <w:left w:val="single" w:sz="2" w:space="0" w:color="0067AB"/>
              <w:bottom w:val="single" w:sz="2" w:space="0" w:color="0067AB"/>
              <w:right w:val="single" w:sz="2" w:space="0" w:color="0067AB"/>
            </w:tcBorders>
            <w:vAlign w:val="center"/>
          </w:tcPr>
          <w:p w14:paraId="2C2DA24A" w14:textId="2C4AB70C" w:rsidR="00150EA7" w:rsidRPr="00B26E50" w:rsidRDefault="00150EA7" w:rsidP="00150EA7">
            <w:pPr>
              <w:pStyle w:val="TableTextNoSpace"/>
              <w:jc w:val="center"/>
              <w:rPr>
                <w:rFonts w:cs="Arial"/>
                <w:b/>
                <w:sz w:val="18"/>
                <w:szCs w:val="18"/>
              </w:rPr>
            </w:pPr>
            <w:r w:rsidRPr="00B26E50">
              <w:rPr>
                <w:rFonts w:cs="Arial"/>
                <w:b/>
                <w:sz w:val="18"/>
                <w:szCs w:val="18"/>
              </w:rPr>
              <w:t>X</w:t>
            </w:r>
          </w:p>
        </w:tc>
        <w:tc>
          <w:tcPr>
            <w:tcW w:w="167" w:type="pct"/>
            <w:tcBorders>
              <w:top w:val="single" w:sz="2" w:space="0" w:color="0067AB"/>
              <w:left w:val="single" w:sz="2" w:space="0" w:color="0067AB"/>
              <w:bottom w:val="single" w:sz="2" w:space="0" w:color="0067AB"/>
              <w:right w:val="single" w:sz="12" w:space="0" w:color="0067AB"/>
            </w:tcBorders>
            <w:vAlign w:val="center"/>
          </w:tcPr>
          <w:p w14:paraId="6DB7B9DC" w14:textId="102968BE" w:rsidR="00150EA7" w:rsidRPr="00B26E50" w:rsidRDefault="00150EA7" w:rsidP="00150EA7">
            <w:pPr>
              <w:pStyle w:val="TableTextNoSpace"/>
              <w:jc w:val="center"/>
              <w:rPr>
                <w:rFonts w:cs="Arial"/>
                <w:b/>
                <w:sz w:val="18"/>
                <w:szCs w:val="18"/>
              </w:rPr>
            </w:pPr>
            <w:r w:rsidRPr="00B26E50">
              <w:rPr>
                <w:rFonts w:cs="Arial"/>
                <w:b/>
                <w:sz w:val="18"/>
                <w:szCs w:val="18"/>
              </w:rPr>
              <w:t>X</w:t>
            </w:r>
          </w:p>
        </w:tc>
        <w:tc>
          <w:tcPr>
            <w:tcW w:w="159" w:type="pct"/>
            <w:tcBorders>
              <w:top w:val="single" w:sz="2" w:space="0" w:color="0067AB"/>
              <w:left w:val="single" w:sz="12" w:space="0" w:color="0067AB"/>
              <w:bottom w:val="single" w:sz="2" w:space="0" w:color="0067AB"/>
              <w:right w:val="single" w:sz="2" w:space="0" w:color="0067AB"/>
            </w:tcBorders>
            <w:vAlign w:val="center"/>
          </w:tcPr>
          <w:p w14:paraId="3C6229FA" w14:textId="77777777" w:rsidR="00150EA7" w:rsidRPr="00B26E50" w:rsidRDefault="00150EA7" w:rsidP="00150EA7">
            <w:pPr>
              <w:pStyle w:val="TableTextNoSpace"/>
              <w:jc w:val="center"/>
              <w:rPr>
                <w:rFonts w:cs="Arial"/>
                <w:b/>
                <w:sz w:val="18"/>
                <w:szCs w:val="18"/>
              </w:rPr>
            </w:pPr>
          </w:p>
        </w:tc>
        <w:tc>
          <w:tcPr>
            <w:tcW w:w="154" w:type="pct"/>
            <w:tcBorders>
              <w:top w:val="single" w:sz="2" w:space="0" w:color="0067AB"/>
              <w:left w:val="single" w:sz="2" w:space="0" w:color="0067AB"/>
              <w:bottom w:val="single" w:sz="2" w:space="0" w:color="0067AB"/>
              <w:right w:val="single" w:sz="2" w:space="0" w:color="0067AB"/>
            </w:tcBorders>
            <w:vAlign w:val="center"/>
          </w:tcPr>
          <w:p w14:paraId="1CF13BCE" w14:textId="77777777" w:rsidR="00150EA7" w:rsidRPr="00B26E50" w:rsidRDefault="00150EA7" w:rsidP="00150EA7">
            <w:pPr>
              <w:pStyle w:val="TableTextNoSpace"/>
              <w:jc w:val="center"/>
              <w:rPr>
                <w:rFonts w:cs="Arial"/>
                <w:b/>
                <w:sz w:val="18"/>
                <w:szCs w:val="18"/>
              </w:rPr>
            </w:pPr>
          </w:p>
        </w:tc>
        <w:tc>
          <w:tcPr>
            <w:tcW w:w="147" w:type="pct"/>
            <w:tcBorders>
              <w:top w:val="single" w:sz="2" w:space="0" w:color="0067AB"/>
              <w:left w:val="single" w:sz="2" w:space="0" w:color="0067AB"/>
              <w:bottom w:val="single" w:sz="2" w:space="0" w:color="0067AB"/>
              <w:right w:val="single" w:sz="2" w:space="0" w:color="0067AB"/>
            </w:tcBorders>
            <w:vAlign w:val="center"/>
          </w:tcPr>
          <w:p w14:paraId="6D901B76" w14:textId="77777777" w:rsidR="00150EA7" w:rsidRPr="00B26E50" w:rsidRDefault="00150EA7" w:rsidP="00150EA7">
            <w:pPr>
              <w:pStyle w:val="TableTextNoSpace"/>
              <w:jc w:val="center"/>
              <w:rPr>
                <w:rFonts w:cs="Arial"/>
                <w:b/>
                <w:sz w:val="18"/>
                <w:szCs w:val="18"/>
              </w:rPr>
            </w:pPr>
          </w:p>
        </w:tc>
        <w:tc>
          <w:tcPr>
            <w:tcW w:w="123" w:type="pct"/>
            <w:tcBorders>
              <w:top w:val="single" w:sz="2" w:space="0" w:color="0067AB"/>
              <w:left w:val="single" w:sz="2" w:space="0" w:color="0067AB"/>
              <w:bottom w:val="single" w:sz="2" w:space="0" w:color="0067AB"/>
              <w:right w:val="single" w:sz="2" w:space="0" w:color="0067AB"/>
            </w:tcBorders>
            <w:vAlign w:val="center"/>
          </w:tcPr>
          <w:p w14:paraId="4C7A5E99" w14:textId="77777777" w:rsidR="00150EA7" w:rsidRPr="00CE4330" w:rsidRDefault="00150EA7" w:rsidP="00150EA7">
            <w:pPr>
              <w:pStyle w:val="TableTextNoSpace"/>
              <w:jc w:val="center"/>
              <w:rPr>
                <w:rFonts w:cs="Arial"/>
                <w:sz w:val="18"/>
                <w:szCs w:val="18"/>
              </w:rPr>
            </w:pPr>
          </w:p>
        </w:tc>
      </w:tr>
      <w:tr w:rsidR="00213A9E" w14:paraId="58591415" w14:textId="77777777" w:rsidTr="00C15432">
        <w:tc>
          <w:tcPr>
            <w:tcW w:w="783" w:type="pct"/>
            <w:tcBorders>
              <w:top w:val="single" w:sz="2" w:space="0" w:color="0067AB"/>
              <w:left w:val="single" w:sz="2" w:space="0" w:color="0067AB"/>
              <w:bottom w:val="single" w:sz="2" w:space="0" w:color="0067AB"/>
              <w:right w:val="single" w:sz="2" w:space="0" w:color="0067AB"/>
            </w:tcBorders>
          </w:tcPr>
          <w:p w14:paraId="63C9A08B" w14:textId="5444C8F2" w:rsidR="00213A9E" w:rsidRPr="00D60446" w:rsidRDefault="00213A9E" w:rsidP="00213A9E">
            <w:pPr>
              <w:pStyle w:val="TableTextNoSpace"/>
              <w:jc w:val="left"/>
              <w:rPr>
                <w:rFonts w:asciiTheme="minorHAnsi" w:hAnsiTheme="minorHAnsi"/>
                <w:sz w:val="18"/>
                <w:szCs w:val="18"/>
              </w:rPr>
            </w:pPr>
            <w:r w:rsidRPr="00D60446">
              <w:rPr>
                <w:rFonts w:asciiTheme="minorHAnsi" w:hAnsiTheme="minorHAnsi"/>
                <w:sz w:val="18"/>
                <w:szCs w:val="18"/>
              </w:rPr>
              <w:t xml:space="preserve">Landfill Funds </w:t>
            </w:r>
          </w:p>
        </w:tc>
        <w:tc>
          <w:tcPr>
            <w:tcW w:w="171" w:type="pct"/>
            <w:tcBorders>
              <w:top w:val="single" w:sz="2" w:space="0" w:color="0067AB"/>
              <w:left w:val="single" w:sz="2" w:space="0" w:color="0067AB"/>
              <w:bottom w:val="single" w:sz="2" w:space="0" w:color="0067AB"/>
              <w:right w:val="single" w:sz="2" w:space="0" w:color="0067AB"/>
            </w:tcBorders>
            <w:vAlign w:val="center"/>
          </w:tcPr>
          <w:p w14:paraId="4920F2E6" w14:textId="77777777" w:rsidR="00213A9E" w:rsidRPr="00CE4330" w:rsidRDefault="00213A9E" w:rsidP="00213A9E">
            <w:pPr>
              <w:pStyle w:val="TableTextNoSpace"/>
              <w:jc w:val="center"/>
              <w:rPr>
                <w:rFonts w:cs="Arial"/>
                <w:sz w:val="18"/>
                <w:szCs w:val="18"/>
              </w:rPr>
            </w:pPr>
          </w:p>
        </w:tc>
        <w:tc>
          <w:tcPr>
            <w:tcW w:w="172" w:type="pct"/>
            <w:tcBorders>
              <w:top w:val="single" w:sz="2" w:space="0" w:color="0067AB"/>
              <w:left w:val="single" w:sz="2" w:space="0" w:color="0067AB"/>
              <w:bottom w:val="single" w:sz="2" w:space="0" w:color="0067AB"/>
              <w:right w:val="single" w:sz="2" w:space="0" w:color="0067AB"/>
            </w:tcBorders>
            <w:vAlign w:val="center"/>
          </w:tcPr>
          <w:p w14:paraId="10134BCE" w14:textId="77777777" w:rsidR="00213A9E" w:rsidRPr="00B26E50" w:rsidRDefault="00213A9E" w:rsidP="00213A9E">
            <w:pPr>
              <w:pStyle w:val="TableTextNoSpace"/>
              <w:jc w:val="center"/>
              <w:rPr>
                <w:rFonts w:cs="Arial"/>
                <w:b/>
                <w:sz w:val="18"/>
                <w:szCs w:val="18"/>
              </w:rPr>
            </w:pPr>
          </w:p>
        </w:tc>
        <w:tc>
          <w:tcPr>
            <w:tcW w:w="173" w:type="pct"/>
            <w:tcBorders>
              <w:top w:val="single" w:sz="2" w:space="0" w:color="0067AB"/>
              <w:left w:val="single" w:sz="2" w:space="0" w:color="0067AB"/>
              <w:bottom w:val="single" w:sz="2" w:space="0" w:color="0067AB"/>
              <w:right w:val="single" w:sz="2" w:space="0" w:color="0067AB"/>
            </w:tcBorders>
            <w:vAlign w:val="center"/>
          </w:tcPr>
          <w:p w14:paraId="4F4FE70A" w14:textId="77777777" w:rsidR="00213A9E" w:rsidRPr="00B26E50" w:rsidRDefault="00213A9E" w:rsidP="00213A9E">
            <w:pPr>
              <w:pStyle w:val="TableTextNoSpace"/>
              <w:jc w:val="center"/>
              <w:rPr>
                <w:rFonts w:cs="Arial"/>
                <w:b/>
                <w:sz w:val="18"/>
                <w:szCs w:val="18"/>
              </w:rPr>
            </w:pPr>
          </w:p>
        </w:tc>
        <w:tc>
          <w:tcPr>
            <w:tcW w:w="174" w:type="pct"/>
            <w:tcBorders>
              <w:top w:val="single" w:sz="2" w:space="0" w:color="0067AB"/>
              <w:left w:val="single" w:sz="2" w:space="0" w:color="0067AB"/>
              <w:bottom w:val="single" w:sz="2" w:space="0" w:color="0067AB"/>
              <w:right w:val="single" w:sz="12" w:space="0" w:color="0067AB"/>
            </w:tcBorders>
            <w:vAlign w:val="center"/>
          </w:tcPr>
          <w:p w14:paraId="475F563B" w14:textId="41E059BF" w:rsidR="00213A9E" w:rsidRPr="00B26E50" w:rsidRDefault="00213A9E" w:rsidP="00213A9E">
            <w:pPr>
              <w:pStyle w:val="TableTextNoSpace"/>
              <w:jc w:val="center"/>
              <w:rPr>
                <w:rFonts w:cs="Arial"/>
                <w:b/>
                <w:sz w:val="18"/>
                <w:szCs w:val="18"/>
              </w:rPr>
            </w:pPr>
            <w:r w:rsidRPr="00B26E50">
              <w:rPr>
                <w:rFonts w:cs="Arial"/>
                <w:b/>
                <w:sz w:val="18"/>
                <w:szCs w:val="18"/>
              </w:rPr>
              <w:t>X</w:t>
            </w:r>
          </w:p>
        </w:tc>
        <w:tc>
          <w:tcPr>
            <w:tcW w:w="172" w:type="pct"/>
            <w:tcBorders>
              <w:top w:val="single" w:sz="2" w:space="0" w:color="0067AB"/>
              <w:left w:val="single" w:sz="12" w:space="0" w:color="0067AB"/>
              <w:bottom w:val="single" w:sz="2" w:space="0" w:color="0067AB"/>
              <w:right w:val="single" w:sz="2" w:space="0" w:color="0067AB"/>
            </w:tcBorders>
            <w:vAlign w:val="center"/>
          </w:tcPr>
          <w:p w14:paraId="2F7BE8FB" w14:textId="1FB2BA8A" w:rsidR="00213A9E" w:rsidRPr="00B26E50" w:rsidRDefault="00213A9E" w:rsidP="00213A9E">
            <w:pPr>
              <w:pStyle w:val="TableTextNoSpace"/>
              <w:jc w:val="center"/>
              <w:rPr>
                <w:rFonts w:cs="Arial"/>
                <w:b/>
                <w:sz w:val="18"/>
                <w:szCs w:val="18"/>
              </w:rPr>
            </w:pPr>
            <w:r w:rsidRPr="00CE4330">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tcPr>
          <w:p w14:paraId="3FA5ACF7" w14:textId="3D813C6A" w:rsidR="00213A9E" w:rsidRPr="00B26E50" w:rsidRDefault="00213A9E" w:rsidP="00213A9E">
            <w:pPr>
              <w:pStyle w:val="TableTextNoSpace"/>
              <w:jc w:val="center"/>
              <w:rPr>
                <w:rFonts w:cs="Arial"/>
                <w:b/>
                <w:sz w:val="18"/>
                <w:szCs w:val="18"/>
              </w:rPr>
            </w:pPr>
            <w:r w:rsidRPr="00033B26">
              <w:rPr>
                <w:rFonts w:cs="Arial"/>
                <w:sz w:val="18"/>
                <w:szCs w:val="18"/>
              </w:rPr>
              <w:t>x</w:t>
            </w:r>
          </w:p>
        </w:tc>
        <w:tc>
          <w:tcPr>
            <w:tcW w:w="172" w:type="pct"/>
            <w:tcBorders>
              <w:top w:val="single" w:sz="2" w:space="0" w:color="0067AB"/>
              <w:left w:val="single" w:sz="2" w:space="0" w:color="0067AB"/>
              <w:bottom w:val="single" w:sz="2" w:space="0" w:color="0067AB"/>
              <w:right w:val="single" w:sz="2" w:space="0" w:color="0067AB"/>
            </w:tcBorders>
          </w:tcPr>
          <w:p w14:paraId="51E95A05" w14:textId="21F785F4" w:rsidR="00213A9E" w:rsidRPr="00B26E50" w:rsidRDefault="00213A9E" w:rsidP="00213A9E">
            <w:pPr>
              <w:pStyle w:val="TableTextNoSpace"/>
              <w:jc w:val="center"/>
              <w:rPr>
                <w:rFonts w:cs="Arial"/>
                <w:b/>
                <w:sz w:val="18"/>
                <w:szCs w:val="18"/>
              </w:rPr>
            </w:pPr>
            <w:r w:rsidRPr="00033B26">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tcPr>
          <w:p w14:paraId="002F46F0" w14:textId="2FDA9425" w:rsidR="00213A9E" w:rsidRPr="00B26E50" w:rsidRDefault="00213A9E" w:rsidP="00213A9E">
            <w:pPr>
              <w:pStyle w:val="TableTextNoSpace"/>
              <w:jc w:val="center"/>
              <w:rPr>
                <w:rFonts w:cs="Arial"/>
                <w:b/>
                <w:sz w:val="18"/>
                <w:szCs w:val="18"/>
              </w:rPr>
            </w:pPr>
            <w:r w:rsidRPr="00033B26">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tcPr>
          <w:p w14:paraId="30C125DA" w14:textId="6F721340" w:rsidR="00213A9E" w:rsidRPr="00B26E50" w:rsidRDefault="00213A9E" w:rsidP="00213A9E">
            <w:pPr>
              <w:pStyle w:val="TableTextNoSpace"/>
              <w:jc w:val="center"/>
              <w:rPr>
                <w:rFonts w:cs="Arial"/>
                <w:b/>
                <w:sz w:val="18"/>
                <w:szCs w:val="18"/>
              </w:rPr>
            </w:pPr>
            <w:r w:rsidRPr="00033B26">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tcPr>
          <w:p w14:paraId="7CD5ECAB" w14:textId="065966DB" w:rsidR="00213A9E" w:rsidRPr="00B26E50" w:rsidRDefault="00213A9E" w:rsidP="00213A9E">
            <w:pPr>
              <w:pStyle w:val="TableTextNoSpace"/>
              <w:jc w:val="center"/>
              <w:rPr>
                <w:rFonts w:cs="Arial"/>
                <w:b/>
                <w:sz w:val="18"/>
                <w:szCs w:val="18"/>
              </w:rPr>
            </w:pPr>
            <w:r w:rsidRPr="00033B26">
              <w:rPr>
                <w:rFonts w:cs="Arial"/>
                <w:sz w:val="18"/>
                <w:szCs w:val="18"/>
              </w:rPr>
              <w:t>x</w:t>
            </w:r>
          </w:p>
        </w:tc>
        <w:tc>
          <w:tcPr>
            <w:tcW w:w="172" w:type="pct"/>
            <w:tcBorders>
              <w:top w:val="single" w:sz="2" w:space="0" w:color="0067AB"/>
              <w:left w:val="single" w:sz="2" w:space="0" w:color="0067AB"/>
              <w:bottom w:val="single" w:sz="2" w:space="0" w:color="0067AB"/>
              <w:right w:val="single" w:sz="12" w:space="0" w:color="0067AB"/>
            </w:tcBorders>
          </w:tcPr>
          <w:p w14:paraId="35E5477F" w14:textId="2ECB828D" w:rsidR="00213A9E" w:rsidRPr="00B26E50" w:rsidRDefault="00213A9E" w:rsidP="00213A9E">
            <w:pPr>
              <w:pStyle w:val="TableTextNoSpace"/>
              <w:jc w:val="center"/>
              <w:rPr>
                <w:rFonts w:cs="Arial"/>
                <w:b/>
                <w:sz w:val="18"/>
                <w:szCs w:val="18"/>
              </w:rPr>
            </w:pPr>
            <w:r w:rsidRPr="00033B26">
              <w:rPr>
                <w:rFonts w:cs="Arial"/>
                <w:sz w:val="18"/>
                <w:szCs w:val="18"/>
              </w:rPr>
              <w:t>x</w:t>
            </w:r>
          </w:p>
        </w:tc>
        <w:tc>
          <w:tcPr>
            <w:tcW w:w="174" w:type="pct"/>
            <w:gridSpan w:val="2"/>
            <w:tcBorders>
              <w:top w:val="single" w:sz="2" w:space="0" w:color="0067AB"/>
              <w:left w:val="single" w:sz="12" w:space="0" w:color="0067AB"/>
              <w:bottom w:val="single" w:sz="2" w:space="0" w:color="0067AB"/>
              <w:right w:val="single" w:sz="2" w:space="0" w:color="0067AB"/>
            </w:tcBorders>
            <w:vAlign w:val="center"/>
          </w:tcPr>
          <w:p w14:paraId="37F491DA" w14:textId="644D695A" w:rsidR="00213A9E" w:rsidRPr="00B26E50" w:rsidRDefault="00213A9E" w:rsidP="00213A9E">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3C8C334F" w14:textId="1BF0DADD" w:rsidR="00213A9E" w:rsidRPr="00B26E50" w:rsidRDefault="00213A9E" w:rsidP="00213A9E">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699932BE" w14:textId="32F59291" w:rsidR="00213A9E" w:rsidRPr="00B26E50" w:rsidRDefault="00213A9E" w:rsidP="00213A9E">
            <w:pPr>
              <w:pStyle w:val="TableTextNoSpace"/>
              <w:jc w:val="center"/>
              <w:rPr>
                <w:rFonts w:cs="Arial"/>
                <w:b/>
                <w:sz w:val="18"/>
                <w:szCs w:val="18"/>
              </w:rPr>
            </w:pPr>
            <w:r w:rsidRPr="00B26E50">
              <w:rPr>
                <w:rFonts w:cs="Arial"/>
                <w:b/>
                <w:sz w:val="18"/>
                <w:szCs w:val="18"/>
              </w:rPr>
              <w:t>X</w:t>
            </w:r>
          </w:p>
        </w:tc>
        <w:tc>
          <w:tcPr>
            <w:tcW w:w="172" w:type="pct"/>
            <w:tcBorders>
              <w:top w:val="single" w:sz="2" w:space="0" w:color="0067AB"/>
              <w:left w:val="single" w:sz="2" w:space="0" w:color="0067AB"/>
              <w:bottom w:val="single" w:sz="2" w:space="0" w:color="0067AB"/>
              <w:right w:val="single" w:sz="2" w:space="0" w:color="0067AB"/>
            </w:tcBorders>
            <w:vAlign w:val="center"/>
          </w:tcPr>
          <w:p w14:paraId="353C8315" w14:textId="56397704" w:rsidR="00213A9E" w:rsidRPr="00B26E50" w:rsidRDefault="00213A9E" w:rsidP="00213A9E">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6D7D9138" w14:textId="77777777" w:rsidR="00213A9E" w:rsidRPr="00CE4330" w:rsidRDefault="00213A9E" w:rsidP="00213A9E">
            <w:pPr>
              <w:pStyle w:val="TableTextNoSpace"/>
              <w:jc w:val="center"/>
              <w:rPr>
                <w:rFonts w:cs="Arial"/>
                <w:sz w:val="18"/>
                <w:szCs w:val="18"/>
              </w:rPr>
            </w:pPr>
          </w:p>
        </w:tc>
        <w:tc>
          <w:tcPr>
            <w:tcW w:w="185" w:type="pct"/>
            <w:tcBorders>
              <w:top w:val="single" w:sz="2" w:space="0" w:color="0067AB"/>
              <w:left w:val="single" w:sz="2" w:space="0" w:color="0067AB"/>
              <w:bottom w:val="single" w:sz="2" w:space="0" w:color="0067AB"/>
              <w:right w:val="single" w:sz="2" w:space="0" w:color="0067AB"/>
            </w:tcBorders>
          </w:tcPr>
          <w:p w14:paraId="05391453" w14:textId="3359569F" w:rsidR="00213A9E" w:rsidRPr="00CE4330" w:rsidRDefault="00213A9E" w:rsidP="00213A9E">
            <w:pPr>
              <w:pStyle w:val="TableTextNoSpace"/>
              <w:jc w:val="center"/>
              <w:rPr>
                <w:rFonts w:cs="Arial"/>
                <w:sz w:val="18"/>
                <w:szCs w:val="18"/>
              </w:rPr>
            </w:pPr>
            <w:r w:rsidRPr="00DC4816">
              <w:rPr>
                <w:rFonts w:cs="Arial"/>
                <w:sz w:val="18"/>
                <w:szCs w:val="18"/>
              </w:rPr>
              <w:t>x</w:t>
            </w:r>
          </w:p>
        </w:tc>
        <w:tc>
          <w:tcPr>
            <w:tcW w:w="177" w:type="pct"/>
            <w:tcBorders>
              <w:top w:val="single" w:sz="2" w:space="0" w:color="0067AB"/>
              <w:left w:val="single" w:sz="2" w:space="0" w:color="0067AB"/>
              <w:bottom w:val="single" w:sz="2" w:space="0" w:color="0067AB"/>
              <w:right w:val="single" w:sz="2" w:space="0" w:color="0067AB"/>
            </w:tcBorders>
          </w:tcPr>
          <w:p w14:paraId="79CD54BE" w14:textId="055CD44D" w:rsidR="00213A9E" w:rsidRPr="00CE4330" w:rsidRDefault="00213A9E" w:rsidP="00213A9E">
            <w:pPr>
              <w:pStyle w:val="TableTextNoSpace"/>
              <w:jc w:val="center"/>
              <w:rPr>
                <w:rFonts w:cs="Arial"/>
                <w:sz w:val="18"/>
                <w:szCs w:val="18"/>
              </w:rPr>
            </w:pPr>
            <w:r w:rsidRPr="00DC4816">
              <w:rPr>
                <w:rFonts w:cs="Arial"/>
                <w:sz w:val="18"/>
                <w:szCs w:val="18"/>
              </w:rPr>
              <w:t>x</w:t>
            </w:r>
          </w:p>
        </w:tc>
        <w:tc>
          <w:tcPr>
            <w:tcW w:w="171" w:type="pct"/>
            <w:tcBorders>
              <w:top w:val="single" w:sz="2" w:space="0" w:color="0067AB"/>
              <w:left w:val="single" w:sz="2" w:space="0" w:color="0067AB"/>
              <w:bottom w:val="single" w:sz="2" w:space="0" w:color="0067AB"/>
              <w:right w:val="single" w:sz="2" w:space="0" w:color="0067AB"/>
            </w:tcBorders>
          </w:tcPr>
          <w:p w14:paraId="5538FDC0" w14:textId="55494CD6" w:rsidR="00213A9E" w:rsidRPr="00CE4330" w:rsidRDefault="00213A9E" w:rsidP="00213A9E">
            <w:pPr>
              <w:pStyle w:val="TableTextNoSpace"/>
              <w:jc w:val="center"/>
              <w:rPr>
                <w:rFonts w:cs="Arial"/>
                <w:sz w:val="18"/>
                <w:szCs w:val="18"/>
              </w:rPr>
            </w:pPr>
            <w:r w:rsidRPr="00DC4816">
              <w:rPr>
                <w:rFonts w:cs="Arial"/>
                <w:sz w:val="18"/>
                <w:szCs w:val="18"/>
              </w:rPr>
              <w:t>x</w:t>
            </w:r>
          </w:p>
        </w:tc>
        <w:tc>
          <w:tcPr>
            <w:tcW w:w="171" w:type="pct"/>
            <w:tcBorders>
              <w:top w:val="single" w:sz="2" w:space="0" w:color="0067AB"/>
              <w:left w:val="single" w:sz="2" w:space="0" w:color="0067AB"/>
              <w:bottom w:val="single" w:sz="2" w:space="0" w:color="0067AB"/>
              <w:right w:val="single" w:sz="2" w:space="0" w:color="0067AB"/>
            </w:tcBorders>
          </w:tcPr>
          <w:p w14:paraId="066B8AFE" w14:textId="781596CA" w:rsidR="00213A9E" w:rsidRPr="00CE4330" w:rsidRDefault="00213A9E" w:rsidP="00213A9E">
            <w:pPr>
              <w:pStyle w:val="TableTextNoSpace"/>
              <w:jc w:val="center"/>
              <w:rPr>
                <w:rFonts w:cs="Arial"/>
                <w:sz w:val="18"/>
                <w:szCs w:val="18"/>
              </w:rPr>
            </w:pPr>
            <w:r w:rsidRPr="00DC4816">
              <w:rPr>
                <w:rFonts w:cs="Arial"/>
                <w:sz w:val="18"/>
                <w:szCs w:val="18"/>
              </w:rPr>
              <w:t>x</w:t>
            </w:r>
          </w:p>
        </w:tc>
        <w:tc>
          <w:tcPr>
            <w:tcW w:w="167" w:type="pct"/>
            <w:tcBorders>
              <w:top w:val="single" w:sz="2" w:space="0" w:color="0067AB"/>
              <w:left w:val="single" w:sz="2" w:space="0" w:color="0067AB"/>
              <w:bottom w:val="single" w:sz="2" w:space="0" w:color="0067AB"/>
              <w:right w:val="single" w:sz="12" w:space="0" w:color="0067AB"/>
            </w:tcBorders>
          </w:tcPr>
          <w:p w14:paraId="66BFD663" w14:textId="6F46B68C" w:rsidR="00213A9E" w:rsidRPr="00CE4330" w:rsidRDefault="00213A9E" w:rsidP="00213A9E">
            <w:pPr>
              <w:pStyle w:val="TableTextNoSpace"/>
              <w:jc w:val="center"/>
              <w:rPr>
                <w:rFonts w:cs="Arial"/>
                <w:sz w:val="18"/>
                <w:szCs w:val="18"/>
              </w:rPr>
            </w:pPr>
            <w:r w:rsidRPr="00DC4816">
              <w:rPr>
                <w:rFonts w:cs="Arial"/>
                <w:sz w:val="18"/>
                <w:szCs w:val="18"/>
              </w:rPr>
              <w:t>x</w:t>
            </w:r>
          </w:p>
        </w:tc>
        <w:tc>
          <w:tcPr>
            <w:tcW w:w="159" w:type="pct"/>
            <w:tcBorders>
              <w:top w:val="single" w:sz="2" w:space="0" w:color="0067AB"/>
              <w:left w:val="single" w:sz="12" w:space="0" w:color="0067AB"/>
              <w:bottom w:val="single" w:sz="2" w:space="0" w:color="0067AB"/>
              <w:right w:val="single" w:sz="2" w:space="0" w:color="0067AB"/>
            </w:tcBorders>
          </w:tcPr>
          <w:p w14:paraId="689082EE" w14:textId="60ECFD26" w:rsidR="00213A9E" w:rsidRPr="00B26E50" w:rsidRDefault="00213A9E" w:rsidP="00213A9E">
            <w:pPr>
              <w:pStyle w:val="TableTextNoSpace"/>
              <w:jc w:val="center"/>
              <w:rPr>
                <w:rFonts w:cs="Arial"/>
                <w:b/>
                <w:sz w:val="18"/>
                <w:szCs w:val="18"/>
              </w:rPr>
            </w:pPr>
            <w:r w:rsidRPr="00B26E50">
              <w:rPr>
                <w:rFonts w:cs="Arial"/>
                <w:b/>
                <w:sz w:val="18"/>
                <w:szCs w:val="18"/>
              </w:rPr>
              <w:t>X</w:t>
            </w:r>
          </w:p>
        </w:tc>
        <w:tc>
          <w:tcPr>
            <w:tcW w:w="154" w:type="pct"/>
            <w:tcBorders>
              <w:top w:val="single" w:sz="2" w:space="0" w:color="0067AB"/>
              <w:left w:val="single" w:sz="2" w:space="0" w:color="0067AB"/>
              <w:bottom w:val="single" w:sz="2" w:space="0" w:color="0067AB"/>
              <w:right w:val="single" w:sz="2" w:space="0" w:color="0067AB"/>
            </w:tcBorders>
          </w:tcPr>
          <w:p w14:paraId="0AFBE50B" w14:textId="59DAC29E" w:rsidR="00213A9E" w:rsidRPr="00B26E50" w:rsidRDefault="00213A9E" w:rsidP="00213A9E">
            <w:pPr>
              <w:pStyle w:val="TableTextNoSpace"/>
              <w:jc w:val="center"/>
              <w:rPr>
                <w:rFonts w:cs="Arial"/>
                <w:b/>
                <w:sz w:val="18"/>
                <w:szCs w:val="18"/>
              </w:rPr>
            </w:pPr>
            <w:r w:rsidRPr="00DC4816">
              <w:rPr>
                <w:rFonts w:cs="Arial"/>
                <w:sz w:val="18"/>
                <w:szCs w:val="18"/>
              </w:rPr>
              <w:t>x</w:t>
            </w:r>
          </w:p>
        </w:tc>
        <w:tc>
          <w:tcPr>
            <w:tcW w:w="147" w:type="pct"/>
            <w:tcBorders>
              <w:top w:val="single" w:sz="2" w:space="0" w:color="0067AB"/>
              <w:left w:val="single" w:sz="2" w:space="0" w:color="0067AB"/>
              <w:bottom w:val="single" w:sz="2" w:space="0" w:color="0067AB"/>
              <w:right w:val="single" w:sz="2" w:space="0" w:color="0067AB"/>
            </w:tcBorders>
            <w:vAlign w:val="center"/>
          </w:tcPr>
          <w:p w14:paraId="7C8E7EC8" w14:textId="57738001" w:rsidR="00213A9E" w:rsidRPr="00B26E50" w:rsidRDefault="00213A9E" w:rsidP="00213A9E">
            <w:pPr>
              <w:pStyle w:val="TableTextNoSpace"/>
              <w:jc w:val="center"/>
              <w:rPr>
                <w:rFonts w:cs="Arial"/>
                <w:b/>
                <w:sz w:val="18"/>
                <w:szCs w:val="18"/>
              </w:rPr>
            </w:pPr>
            <w:r w:rsidRPr="00B26E50">
              <w:rPr>
                <w:rFonts w:cs="Arial"/>
                <w:b/>
                <w:sz w:val="18"/>
                <w:szCs w:val="18"/>
              </w:rPr>
              <w:t>X</w:t>
            </w:r>
          </w:p>
        </w:tc>
        <w:tc>
          <w:tcPr>
            <w:tcW w:w="123" w:type="pct"/>
            <w:tcBorders>
              <w:top w:val="single" w:sz="2" w:space="0" w:color="0067AB"/>
              <w:left w:val="single" w:sz="2" w:space="0" w:color="0067AB"/>
              <w:bottom w:val="single" w:sz="2" w:space="0" w:color="0067AB"/>
              <w:right w:val="single" w:sz="2" w:space="0" w:color="0067AB"/>
            </w:tcBorders>
            <w:vAlign w:val="center"/>
          </w:tcPr>
          <w:p w14:paraId="01A2A9CF" w14:textId="38690403" w:rsidR="00213A9E" w:rsidRPr="00CE4330" w:rsidRDefault="00213A9E" w:rsidP="00213A9E">
            <w:pPr>
              <w:pStyle w:val="TableTextNoSpace"/>
              <w:jc w:val="center"/>
              <w:rPr>
                <w:rFonts w:cs="Arial"/>
                <w:sz w:val="18"/>
                <w:szCs w:val="18"/>
              </w:rPr>
            </w:pPr>
            <w:r w:rsidRPr="00CE4330">
              <w:rPr>
                <w:rFonts w:cs="Arial"/>
                <w:sz w:val="18"/>
                <w:szCs w:val="18"/>
              </w:rPr>
              <w:t>x</w:t>
            </w:r>
          </w:p>
        </w:tc>
      </w:tr>
      <w:tr w:rsidR="000C6C9E" w14:paraId="202900CA" w14:textId="77777777" w:rsidTr="000C6C9E">
        <w:tc>
          <w:tcPr>
            <w:tcW w:w="5000" w:type="pct"/>
            <w:gridSpan w:val="27"/>
            <w:tcBorders>
              <w:top w:val="single" w:sz="2" w:space="0" w:color="0067AB"/>
              <w:left w:val="single" w:sz="2" w:space="0" w:color="0067AB"/>
              <w:bottom w:val="single" w:sz="2" w:space="0" w:color="0067AB"/>
              <w:right w:val="single" w:sz="2" w:space="0" w:color="0067AB"/>
            </w:tcBorders>
            <w:shd w:val="clear" w:color="auto" w:fill="F2F2F2" w:themeFill="background1" w:themeFillShade="F2"/>
          </w:tcPr>
          <w:p w14:paraId="4751975F" w14:textId="4268CC45" w:rsidR="000C6C9E" w:rsidRPr="00CE4330" w:rsidRDefault="000C6C9E" w:rsidP="00120495">
            <w:pPr>
              <w:pStyle w:val="TableTextNoSpace"/>
              <w:jc w:val="left"/>
              <w:rPr>
                <w:rFonts w:cs="Arial"/>
                <w:sz w:val="18"/>
                <w:szCs w:val="18"/>
              </w:rPr>
            </w:pPr>
            <w:r>
              <w:rPr>
                <w:rFonts w:asciiTheme="minorHAnsi" w:hAnsiTheme="minorHAnsi"/>
                <w:b/>
                <w:sz w:val="18"/>
                <w:szCs w:val="18"/>
              </w:rPr>
              <w:t>Alternative funding sources</w:t>
            </w:r>
          </w:p>
        </w:tc>
      </w:tr>
      <w:tr w:rsidR="00213A9E" w14:paraId="71CC65E4" w14:textId="77777777" w:rsidTr="00213A9E">
        <w:tc>
          <w:tcPr>
            <w:tcW w:w="783" w:type="pct"/>
            <w:tcBorders>
              <w:top w:val="single" w:sz="2" w:space="0" w:color="0067AB"/>
              <w:left w:val="single" w:sz="2" w:space="0" w:color="0067AB"/>
              <w:bottom w:val="single" w:sz="2" w:space="0" w:color="0067AB"/>
              <w:right w:val="single" w:sz="2" w:space="0" w:color="0067AB"/>
            </w:tcBorders>
            <w:hideMark/>
          </w:tcPr>
          <w:p w14:paraId="72C1CA0D" w14:textId="77777777" w:rsidR="00213A9E" w:rsidRPr="00D60446" w:rsidRDefault="00213A9E" w:rsidP="00213A9E">
            <w:pPr>
              <w:pStyle w:val="TableTextNoSpace"/>
              <w:jc w:val="left"/>
              <w:rPr>
                <w:rFonts w:asciiTheme="minorHAnsi" w:hAnsiTheme="minorHAnsi"/>
                <w:sz w:val="18"/>
                <w:szCs w:val="18"/>
              </w:rPr>
            </w:pPr>
            <w:r w:rsidRPr="00D60446">
              <w:rPr>
                <w:rFonts w:asciiTheme="minorHAnsi" w:hAnsiTheme="minorHAnsi"/>
                <w:sz w:val="18"/>
                <w:szCs w:val="18"/>
              </w:rPr>
              <w:t xml:space="preserve">Biodiversity offsets / ecological compensation </w:t>
            </w:r>
          </w:p>
        </w:tc>
        <w:tc>
          <w:tcPr>
            <w:tcW w:w="171" w:type="pct"/>
            <w:tcBorders>
              <w:top w:val="single" w:sz="2" w:space="0" w:color="0067AB"/>
              <w:left w:val="single" w:sz="2" w:space="0" w:color="0067AB"/>
              <w:bottom w:val="single" w:sz="2" w:space="0" w:color="0067AB"/>
              <w:right w:val="single" w:sz="2" w:space="0" w:color="0067AB"/>
            </w:tcBorders>
            <w:vAlign w:val="center"/>
          </w:tcPr>
          <w:p w14:paraId="0F71439F" w14:textId="77777777" w:rsidR="00213A9E" w:rsidRPr="00CE4330" w:rsidRDefault="00213A9E" w:rsidP="00213A9E">
            <w:pPr>
              <w:pStyle w:val="TableTextNoSpace"/>
              <w:jc w:val="center"/>
              <w:rPr>
                <w:rFonts w:cs="Arial"/>
                <w:sz w:val="18"/>
                <w:szCs w:val="18"/>
              </w:rPr>
            </w:pPr>
          </w:p>
        </w:tc>
        <w:tc>
          <w:tcPr>
            <w:tcW w:w="172" w:type="pct"/>
            <w:tcBorders>
              <w:top w:val="single" w:sz="2" w:space="0" w:color="0067AB"/>
              <w:left w:val="single" w:sz="2" w:space="0" w:color="0067AB"/>
              <w:bottom w:val="single" w:sz="2" w:space="0" w:color="0067AB"/>
              <w:right w:val="single" w:sz="2" w:space="0" w:color="0067AB"/>
            </w:tcBorders>
            <w:vAlign w:val="center"/>
          </w:tcPr>
          <w:p w14:paraId="073BD7A6" w14:textId="77777777" w:rsidR="00213A9E" w:rsidRPr="00CE4330" w:rsidRDefault="00213A9E" w:rsidP="00213A9E">
            <w:pPr>
              <w:pStyle w:val="TableTextNoSpace"/>
              <w:jc w:val="center"/>
              <w:rPr>
                <w:rFonts w:cs="Arial"/>
                <w:sz w:val="18"/>
                <w:szCs w:val="18"/>
              </w:rPr>
            </w:pPr>
          </w:p>
        </w:tc>
        <w:tc>
          <w:tcPr>
            <w:tcW w:w="173" w:type="pct"/>
            <w:tcBorders>
              <w:top w:val="single" w:sz="2" w:space="0" w:color="0067AB"/>
              <w:left w:val="single" w:sz="2" w:space="0" w:color="0067AB"/>
              <w:bottom w:val="single" w:sz="2" w:space="0" w:color="0067AB"/>
              <w:right w:val="single" w:sz="2" w:space="0" w:color="0067AB"/>
            </w:tcBorders>
            <w:vAlign w:val="center"/>
          </w:tcPr>
          <w:p w14:paraId="1DCCA737" w14:textId="77777777" w:rsidR="00213A9E" w:rsidRPr="00CE4330" w:rsidRDefault="00213A9E" w:rsidP="00213A9E">
            <w:pPr>
              <w:pStyle w:val="TableTextNoSpace"/>
              <w:jc w:val="center"/>
              <w:rPr>
                <w:rFonts w:cs="Arial"/>
                <w:sz w:val="18"/>
                <w:szCs w:val="18"/>
              </w:rPr>
            </w:pPr>
          </w:p>
        </w:tc>
        <w:tc>
          <w:tcPr>
            <w:tcW w:w="174" w:type="pct"/>
            <w:tcBorders>
              <w:top w:val="single" w:sz="2" w:space="0" w:color="0067AB"/>
              <w:left w:val="single" w:sz="2" w:space="0" w:color="0067AB"/>
              <w:bottom w:val="single" w:sz="2" w:space="0" w:color="0067AB"/>
              <w:right w:val="single" w:sz="12" w:space="0" w:color="0067AB"/>
            </w:tcBorders>
            <w:vAlign w:val="center"/>
            <w:hideMark/>
          </w:tcPr>
          <w:p w14:paraId="4F37AD64" w14:textId="5CE5F1B4" w:rsidR="00213A9E" w:rsidRPr="00B26E50" w:rsidRDefault="00213A9E" w:rsidP="00213A9E">
            <w:pPr>
              <w:pStyle w:val="TableTextNoSpace"/>
              <w:jc w:val="center"/>
              <w:rPr>
                <w:rFonts w:cs="Arial"/>
                <w:b/>
                <w:sz w:val="18"/>
                <w:szCs w:val="18"/>
              </w:rPr>
            </w:pPr>
            <w:r w:rsidRPr="00B26E50">
              <w:rPr>
                <w:rFonts w:cs="Arial"/>
                <w:b/>
                <w:sz w:val="18"/>
                <w:szCs w:val="18"/>
              </w:rPr>
              <w:t>X</w:t>
            </w:r>
          </w:p>
        </w:tc>
        <w:tc>
          <w:tcPr>
            <w:tcW w:w="172" w:type="pct"/>
            <w:tcBorders>
              <w:top w:val="single" w:sz="2" w:space="0" w:color="0067AB"/>
              <w:left w:val="single" w:sz="12" w:space="0" w:color="0067AB"/>
              <w:bottom w:val="single" w:sz="2" w:space="0" w:color="0067AB"/>
              <w:right w:val="single" w:sz="2" w:space="0" w:color="0067AB"/>
            </w:tcBorders>
            <w:vAlign w:val="center"/>
          </w:tcPr>
          <w:p w14:paraId="2603A8F3" w14:textId="1C690BC3" w:rsidR="00213A9E" w:rsidRPr="00CE4330" w:rsidRDefault="00213A9E" w:rsidP="00213A9E">
            <w:pPr>
              <w:pStyle w:val="TableTextNoSpace"/>
              <w:jc w:val="center"/>
              <w:rPr>
                <w:rFonts w:cs="Arial"/>
                <w:sz w:val="18"/>
                <w:szCs w:val="18"/>
              </w:rPr>
            </w:pPr>
            <w:r>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75754106" w14:textId="77777777" w:rsidR="00213A9E" w:rsidRPr="00CE4330" w:rsidRDefault="00213A9E" w:rsidP="00213A9E">
            <w:pPr>
              <w:pStyle w:val="TableTextNoSpace"/>
              <w:jc w:val="center"/>
              <w:rPr>
                <w:rFonts w:cs="Arial"/>
                <w:sz w:val="18"/>
                <w:szCs w:val="18"/>
              </w:rPr>
            </w:pPr>
          </w:p>
        </w:tc>
        <w:tc>
          <w:tcPr>
            <w:tcW w:w="172" w:type="pct"/>
            <w:tcBorders>
              <w:top w:val="single" w:sz="2" w:space="0" w:color="0067AB"/>
              <w:left w:val="single" w:sz="2" w:space="0" w:color="0067AB"/>
              <w:bottom w:val="single" w:sz="2" w:space="0" w:color="0067AB"/>
              <w:right w:val="single" w:sz="2" w:space="0" w:color="0067AB"/>
            </w:tcBorders>
            <w:vAlign w:val="center"/>
          </w:tcPr>
          <w:p w14:paraId="2E4C7FB6" w14:textId="04F4EC85" w:rsidR="00213A9E" w:rsidRPr="00CE4330" w:rsidRDefault="00213A9E" w:rsidP="00213A9E">
            <w:pPr>
              <w:pStyle w:val="TableTextNoSpace"/>
              <w:jc w:val="center"/>
              <w:rPr>
                <w:rFonts w:cs="Arial"/>
                <w:sz w:val="18"/>
                <w:szCs w:val="18"/>
              </w:rPr>
            </w:pPr>
            <w:r>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47CC3EC3" w14:textId="77777777" w:rsidR="00213A9E" w:rsidRPr="00CE4330" w:rsidRDefault="00213A9E" w:rsidP="00213A9E">
            <w:pPr>
              <w:pStyle w:val="TableTextNoSpace"/>
              <w:jc w:val="center"/>
              <w:rPr>
                <w:rFonts w:cs="Arial"/>
                <w:sz w:val="18"/>
                <w:szCs w:val="18"/>
              </w:rPr>
            </w:pPr>
          </w:p>
        </w:tc>
        <w:tc>
          <w:tcPr>
            <w:tcW w:w="173" w:type="pct"/>
            <w:tcBorders>
              <w:top w:val="single" w:sz="2" w:space="0" w:color="0067AB"/>
              <w:left w:val="single" w:sz="2" w:space="0" w:color="0067AB"/>
              <w:bottom w:val="single" w:sz="2" w:space="0" w:color="0067AB"/>
              <w:right w:val="single" w:sz="2" w:space="0" w:color="0067AB"/>
            </w:tcBorders>
            <w:vAlign w:val="center"/>
            <w:hideMark/>
          </w:tcPr>
          <w:p w14:paraId="019089EC" w14:textId="7B09CBB4" w:rsidR="00213A9E" w:rsidRPr="00CE4330" w:rsidRDefault="00213A9E" w:rsidP="00213A9E">
            <w:pPr>
              <w:pStyle w:val="TableTextNoSpace"/>
              <w:jc w:val="center"/>
              <w:rPr>
                <w:rFonts w:cs="Arial"/>
                <w:sz w:val="18"/>
                <w:szCs w:val="18"/>
              </w:rPr>
            </w:pPr>
            <w:r w:rsidRPr="00CE4330">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hideMark/>
          </w:tcPr>
          <w:p w14:paraId="2107D65D" w14:textId="632B0F92" w:rsidR="00213A9E" w:rsidRPr="00CE4330" w:rsidRDefault="00213A9E" w:rsidP="00213A9E">
            <w:pPr>
              <w:pStyle w:val="TableTextNoSpace"/>
              <w:jc w:val="center"/>
              <w:rPr>
                <w:rFonts w:cs="Arial"/>
                <w:sz w:val="18"/>
                <w:szCs w:val="18"/>
              </w:rPr>
            </w:pPr>
            <w:r w:rsidRPr="00CE4330">
              <w:rPr>
                <w:rFonts w:cs="Arial"/>
                <w:sz w:val="18"/>
                <w:szCs w:val="18"/>
              </w:rPr>
              <w:t>x</w:t>
            </w:r>
          </w:p>
        </w:tc>
        <w:tc>
          <w:tcPr>
            <w:tcW w:w="172" w:type="pct"/>
            <w:tcBorders>
              <w:top w:val="single" w:sz="2" w:space="0" w:color="0067AB"/>
              <w:left w:val="single" w:sz="2" w:space="0" w:color="0067AB"/>
              <w:bottom w:val="single" w:sz="2" w:space="0" w:color="0067AB"/>
              <w:right w:val="single" w:sz="12" w:space="0" w:color="0067AB"/>
            </w:tcBorders>
            <w:vAlign w:val="center"/>
          </w:tcPr>
          <w:p w14:paraId="44B76708" w14:textId="77777777" w:rsidR="00213A9E" w:rsidRPr="00CE4330" w:rsidRDefault="00213A9E" w:rsidP="00213A9E">
            <w:pPr>
              <w:pStyle w:val="TableTextNoSpace"/>
              <w:jc w:val="center"/>
              <w:rPr>
                <w:rFonts w:cs="Arial"/>
                <w:sz w:val="18"/>
                <w:szCs w:val="18"/>
              </w:rPr>
            </w:pPr>
          </w:p>
        </w:tc>
        <w:tc>
          <w:tcPr>
            <w:tcW w:w="174" w:type="pct"/>
            <w:gridSpan w:val="2"/>
            <w:tcBorders>
              <w:top w:val="single" w:sz="2" w:space="0" w:color="0067AB"/>
              <w:left w:val="single" w:sz="12" w:space="0" w:color="0067AB"/>
              <w:bottom w:val="single" w:sz="2" w:space="0" w:color="0067AB"/>
              <w:right w:val="single" w:sz="2" w:space="0" w:color="0067AB"/>
            </w:tcBorders>
            <w:vAlign w:val="center"/>
            <w:hideMark/>
          </w:tcPr>
          <w:p w14:paraId="4AF87A8E" w14:textId="6B6A0A1C" w:rsidR="00213A9E" w:rsidRPr="00B26E50" w:rsidRDefault="00213A9E" w:rsidP="00213A9E">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hideMark/>
          </w:tcPr>
          <w:p w14:paraId="3982773F" w14:textId="0F45886C" w:rsidR="00213A9E" w:rsidRPr="00B26E50" w:rsidRDefault="00213A9E" w:rsidP="00213A9E">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5D2587AC" w14:textId="21C8AE95" w:rsidR="00213A9E" w:rsidRPr="00B26E50" w:rsidRDefault="00213A9E" w:rsidP="00213A9E">
            <w:pPr>
              <w:pStyle w:val="TableTextNoSpace"/>
              <w:jc w:val="center"/>
              <w:rPr>
                <w:rFonts w:cs="Arial"/>
                <w:b/>
                <w:sz w:val="18"/>
                <w:szCs w:val="18"/>
              </w:rPr>
            </w:pPr>
            <w:r w:rsidRPr="00B26E50">
              <w:rPr>
                <w:rFonts w:cs="Arial"/>
                <w:b/>
                <w:sz w:val="18"/>
                <w:szCs w:val="18"/>
              </w:rPr>
              <w:t>X</w:t>
            </w:r>
          </w:p>
        </w:tc>
        <w:tc>
          <w:tcPr>
            <w:tcW w:w="172" w:type="pct"/>
            <w:tcBorders>
              <w:top w:val="single" w:sz="2" w:space="0" w:color="0067AB"/>
              <w:left w:val="single" w:sz="2" w:space="0" w:color="0067AB"/>
              <w:bottom w:val="single" w:sz="2" w:space="0" w:color="0067AB"/>
              <w:right w:val="single" w:sz="2" w:space="0" w:color="0067AB"/>
            </w:tcBorders>
            <w:vAlign w:val="center"/>
          </w:tcPr>
          <w:p w14:paraId="03D2BEE2" w14:textId="44FD6E6F" w:rsidR="00213A9E" w:rsidRPr="00B26E50" w:rsidRDefault="00213A9E" w:rsidP="00213A9E">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hideMark/>
          </w:tcPr>
          <w:p w14:paraId="46F19F12" w14:textId="14E5C78E" w:rsidR="00213A9E" w:rsidRPr="00B26E50" w:rsidRDefault="00213A9E" w:rsidP="00213A9E">
            <w:pPr>
              <w:pStyle w:val="TableTextNoSpace"/>
              <w:jc w:val="center"/>
              <w:rPr>
                <w:rFonts w:cs="Arial"/>
                <w:b/>
                <w:sz w:val="18"/>
                <w:szCs w:val="18"/>
              </w:rPr>
            </w:pPr>
            <w:r w:rsidRPr="00B26E50">
              <w:rPr>
                <w:rFonts w:cs="Arial"/>
                <w:b/>
                <w:sz w:val="18"/>
                <w:szCs w:val="18"/>
              </w:rPr>
              <w:t>X</w:t>
            </w:r>
          </w:p>
        </w:tc>
        <w:tc>
          <w:tcPr>
            <w:tcW w:w="185" w:type="pct"/>
            <w:tcBorders>
              <w:top w:val="single" w:sz="2" w:space="0" w:color="0067AB"/>
              <w:left w:val="single" w:sz="2" w:space="0" w:color="0067AB"/>
              <w:bottom w:val="single" w:sz="2" w:space="0" w:color="0067AB"/>
              <w:right w:val="single" w:sz="2" w:space="0" w:color="0067AB"/>
            </w:tcBorders>
            <w:vAlign w:val="center"/>
          </w:tcPr>
          <w:p w14:paraId="3E704D81" w14:textId="4ED4BD06" w:rsidR="00213A9E" w:rsidRPr="00B26E50" w:rsidRDefault="00213A9E" w:rsidP="00213A9E">
            <w:pPr>
              <w:pStyle w:val="TableTextNoSpace"/>
              <w:jc w:val="center"/>
              <w:rPr>
                <w:rFonts w:cs="Arial"/>
                <w:b/>
                <w:sz w:val="18"/>
                <w:szCs w:val="18"/>
              </w:rPr>
            </w:pPr>
            <w:r w:rsidRPr="00B26E50">
              <w:rPr>
                <w:rFonts w:cs="Arial"/>
                <w:b/>
                <w:sz w:val="18"/>
                <w:szCs w:val="18"/>
              </w:rPr>
              <w:t>X</w:t>
            </w:r>
          </w:p>
        </w:tc>
        <w:tc>
          <w:tcPr>
            <w:tcW w:w="177" w:type="pct"/>
            <w:tcBorders>
              <w:top w:val="single" w:sz="2" w:space="0" w:color="0067AB"/>
              <w:left w:val="single" w:sz="2" w:space="0" w:color="0067AB"/>
              <w:bottom w:val="single" w:sz="2" w:space="0" w:color="0067AB"/>
              <w:right w:val="single" w:sz="2" w:space="0" w:color="0067AB"/>
            </w:tcBorders>
            <w:vAlign w:val="center"/>
          </w:tcPr>
          <w:p w14:paraId="755A3124" w14:textId="4BA378BB" w:rsidR="00213A9E" w:rsidRPr="00CE4330" w:rsidRDefault="00213A9E" w:rsidP="00213A9E">
            <w:pPr>
              <w:pStyle w:val="TableTextNoSpace"/>
              <w:jc w:val="center"/>
              <w:rPr>
                <w:rFonts w:cs="Arial"/>
                <w:sz w:val="18"/>
                <w:szCs w:val="18"/>
              </w:rPr>
            </w:pPr>
            <w:r>
              <w:rPr>
                <w:rFonts w:cs="Arial"/>
                <w:sz w:val="18"/>
                <w:szCs w:val="18"/>
              </w:rPr>
              <w:t>x</w:t>
            </w:r>
          </w:p>
        </w:tc>
        <w:tc>
          <w:tcPr>
            <w:tcW w:w="171" w:type="pct"/>
            <w:tcBorders>
              <w:top w:val="single" w:sz="2" w:space="0" w:color="0067AB"/>
              <w:left w:val="single" w:sz="2" w:space="0" w:color="0067AB"/>
              <w:bottom w:val="single" w:sz="2" w:space="0" w:color="0067AB"/>
              <w:right w:val="single" w:sz="2" w:space="0" w:color="0067AB"/>
            </w:tcBorders>
            <w:vAlign w:val="center"/>
          </w:tcPr>
          <w:p w14:paraId="201C25C5" w14:textId="795DCF4F" w:rsidR="00213A9E" w:rsidRPr="00B26E50" w:rsidRDefault="00213A9E" w:rsidP="00213A9E">
            <w:pPr>
              <w:pStyle w:val="TableTextNoSpace"/>
              <w:jc w:val="center"/>
              <w:rPr>
                <w:rFonts w:cs="Arial"/>
                <w:b/>
                <w:sz w:val="18"/>
                <w:szCs w:val="18"/>
              </w:rPr>
            </w:pPr>
            <w:r w:rsidRPr="00B26E50">
              <w:rPr>
                <w:rFonts w:cs="Arial"/>
                <w:b/>
                <w:sz w:val="18"/>
                <w:szCs w:val="18"/>
              </w:rPr>
              <w:t>X</w:t>
            </w:r>
          </w:p>
        </w:tc>
        <w:tc>
          <w:tcPr>
            <w:tcW w:w="171" w:type="pct"/>
            <w:tcBorders>
              <w:top w:val="single" w:sz="2" w:space="0" w:color="0067AB"/>
              <w:left w:val="single" w:sz="2" w:space="0" w:color="0067AB"/>
              <w:bottom w:val="single" w:sz="2" w:space="0" w:color="0067AB"/>
              <w:right w:val="single" w:sz="2" w:space="0" w:color="0067AB"/>
            </w:tcBorders>
            <w:vAlign w:val="center"/>
          </w:tcPr>
          <w:p w14:paraId="72E1BB6C" w14:textId="2E86625E" w:rsidR="00213A9E" w:rsidRPr="00CE4330" w:rsidRDefault="00213A9E" w:rsidP="00213A9E">
            <w:pPr>
              <w:pStyle w:val="TableTextNoSpace"/>
              <w:jc w:val="center"/>
              <w:rPr>
                <w:rFonts w:cs="Arial"/>
                <w:sz w:val="18"/>
                <w:szCs w:val="18"/>
              </w:rPr>
            </w:pPr>
            <w:r w:rsidRPr="00D0341D">
              <w:rPr>
                <w:rFonts w:cs="Arial"/>
                <w:sz w:val="18"/>
                <w:szCs w:val="18"/>
              </w:rPr>
              <w:t>x</w:t>
            </w:r>
          </w:p>
        </w:tc>
        <w:tc>
          <w:tcPr>
            <w:tcW w:w="167" w:type="pct"/>
            <w:tcBorders>
              <w:top w:val="single" w:sz="2" w:space="0" w:color="0067AB"/>
              <w:left w:val="single" w:sz="2" w:space="0" w:color="0067AB"/>
              <w:bottom w:val="single" w:sz="2" w:space="0" w:color="0067AB"/>
              <w:right w:val="single" w:sz="12" w:space="0" w:color="0067AB"/>
            </w:tcBorders>
            <w:vAlign w:val="center"/>
          </w:tcPr>
          <w:p w14:paraId="58E01BAA" w14:textId="747878C0" w:rsidR="00213A9E" w:rsidRPr="00CE4330" w:rsidRDefault="00213A9E" w:rsidP="00213A9E">
            <w:pPr>
              <w:pStyle w:val="TableTextNoSpace"/>
              <w:jc w:val="center"/>
              <w:rPr>
                <w:rFonts w:cs="Arial"/>
                <w:sz w:val="18"/>
                <w:szCs w:val="18"/>
              </w:rPr>
            </w:pPr>
            <w:r w:rsidRPr="00D0341D">
              <w:rPr>
                <w:rFonts w:cs="Arial"/>
                <w:sz w:val="18"/>
                <w:szCs w:val="18"/>
              </w:rPr>
              <w:t>x</w:t>
            </w:r>
          </w:p>
        </w:tc>
        <w:tc>
          <w:tcPr>
            <w:tcW w:w="159" w:type="pct"/>
            <w:tcBorders>
              <w:top w:val="single" w:sz="2" w:space="0" w:color="0067AB"/>
              <w:left w:val="single" w:sz="12" w:space="0" w:color="0067AB"/>
              <w:bottom w:val="single" w:sz="2" w:space="0" w:color="0067AB"/>
              <w:right w:val="single" w:sz="2" w:space="0" w:color="0067AB"/>
            </w:tcBorders>
            <w:vAlign w:val="center"/>
          </w:tcPr>
          <w:p w14:paraId="2892254C" w14:textId="412D9BE9" w:rsidR="00213A9E" w:rsidRPr="00CE4330" w:rsidRDefault="00213A9E" w:rsidP="00213A9E">
            <w:pPr>
              <w:pStyle w:val="TableTextNoSpace"/>
              <w:jc w:val="center"/>
              <w:rPr>
                <w:rFonts w:cs="Arial"/>
                <w:sz w:val="18"/>
                <w:szCs w:val="18"/>
              </w:rPr>
            </w:pPr>
            <w:r>
              <w:rPr>
                <w:rFonts w:cs="Arial"/>
                <w:sz w:val="18"/>
                <w:szCs w:val="18"/>
              </w:rPr>
              <w:t>x</w:t>
            </w:r>
          </w:p>
        </w:tc>
        <w:tc>
          <w:tcPr>
            <w:tcW w:w="154" w:type="pct"/>
            <w:tcBorders>
              <w:top w:val="single" w:sz="2" w:space="0" w:color="0067AB"/>
              <w:left w:val="single" w:sz="2" w:space="0" w:color="0067AB"/>
              <w:bottom w:val="single" w:sz="2" w:space="0" w:color="0067AB"/>
              <w:right w:val="single" w:sz="2" w:space="0" w:color="0067AB"/>
            </w:tcBorders>
            <w:vAlign w:val="center"/>
            <w:hideMark/>
          </w:tcPr>
          <w:p w14:paraId="09AD949A" w14:textId="68B63A62" w:rsidR="00213A9E" w:rsidRPr="00B26E50" w:rsidRDefault="00213A9E" w:rsidP="00213A9E">
            <w:pPr>
              <w:pStyle w:val="TableTextNoSpace"/>
              <w:jc w:val="center"/>
              <w:rPr>
                <w:rFonts w:cs="Arial"/>
                <w:b/>
                <w:sz w:val="18"/>
                <w:szCs w:val="18"/>
              </w:rPr>
            </w:pPr>
            <w:r w:rsidRPr="00B26E50">
              <w:rPr>
                <w:rFonts w:cs="Arial"/>
                <w:b/>
                <w:sz w:val="18"/>
                <w:szCs w:val="18"/>
              </w:rPr>
              <w:t>X</w:t>
            </w:r>
          </w:p>
        </w:tc>
        <w:tc>
          <w:tcPr>
            <w:tcW w:w="147" w:type="pct"/>
            <w:tcBorders>
              <w:top w:val="single" w:sz="2" w:space="0" w:color="0067AB"/>
              <w:left w:val="single" w:sz="2" w:space="0" w:color="0067AB"/>
              <w:bottom w:val="single" w:sz="2" w:space="0" w:color="0067AB"/>
              <w:right w:val="single" w:sz="2" w:space="0" w:color="0067AB"/>
            </w:tcBorders>
            <w:vAlign w:val="center"/>
            <w:hideMark/>
          </w:tcPr>
          <w:p w14:paraId="632A9011" w14:textId="18ED2F18" w:rsidR="00213A9E" w:rsidRPr="00B26E50" w:rsidRDefault="00213A9E" w:rsidP="00213A9E">
            <w:pPr>
              <w:pStyle w:val="TableTextNoSpace"/>
              <w:jc w:val="center"/>
              <w:rPr>
                <w:rFonts w:cs="Arial"/>
                <w:b/>
                <w:sz w:val="18"/>
                <w:szCs w:val="18"/>
              </w:rPr>
            </w:pPr>
            <w:r w:rsidRPr="00B26E50">
              <w:rPr>
                <w:rFonts w:cs="Arial"/>
                <w:b/>
                <w:sz w:val="18"/>
                <w:szCs w:val="18"/>
              </w:rPr>
              <w:t>X</w:t>
            </w:r>
          </w:p>
        </w:tc>
        <w:tc>
          <w:tcPr>
            <w:tcW w:w="123" w:type="pct"/>
            <w:tcBorders>
              <w:top w:val="single" w:sz="2" w:space="0" w:color="0067AB"/>
              <w:left w:val="single" w:sz="2" w:space="0" w:color="0067AB"/>
              <w:bottom w:val="single" w:sz="2" w:space="0" w:color="0067AB"/>
              <w:right w:val="single" w:sz="2" w:space="0" w:color="0067AB"/>
            </w:tcBorders>
            <w:vAlign w:val="center"/>
            <w:hideMark/>
          </w:tcPr>
          <w:p w14:paraId="72E5B7E3" w14:textId="3431E40E" w:rsidR="00213A9E" w:rsidRPr="00B26E50" w:rsidRDefault="00213A9E" w:rsidP="00213A9E">
            <w:pPr>
              <w:pStyle w:val="TableTextNoSpace"/>
              <w:jc w:val="center"/>
              <w:rPr>
                <w:rFonts w:cs="Arial"/>
                <w:b/>
                <w:sz w:val="18"/>
                <w:szCs w:val="18"/>
              </w:rPr>
            </w:pPr>
            <w:r w:rsidRPr="00B26E50">
              <w:rPr>
                <w:rFonts w:cs="Arial"/>
                <w:b/>
                <w:sz w:val="18"/>
                <w:szCs w:val="18"/>
              </w:rPr>
              <w:t>X</w:t>
            </w:r>
          </w:p>
        </w:tc>
      </w:tr>
      <w:tr w:rsidR="000C6C9E" w14:paraId="173F9133" w14:textId="77777777" w:rsidTr="00E1476F">
        <w:tc>
          <w:tcPr>
            <w:tcW w:w="783" w:type="pct"/>
            <w:tcBorders>
              <w:top w:val="single" w:sz="2" w:space="0" w:color="0067AB"/>
              <w:left w:val="single" w:sz="2" w:space="0" w:color="0067AB"/>
              <w:bottom w:val="single" w:sz="2" w:space="0" w:color="0067AB"/>
              <w:right w:val="single" w:sz="2" w:space="0" w:color="0067AB"/>
            </w:tcBorders>
            <w:hideMark/>
          </w:tcPr>
          <w:p w14:paraId="496DC15B" w14:textId="77777777" w:rsidR="000C6C9E" w:rsidRPr="00D60446" w:rsidRDefault="000C6C9E" w:rsidP="00120495">
            <w:pPr>
              <w:pStyle w:val="TableTextNoSpace"/>
              <w:jc w:val="left"/>
              <w:rPr>
                <w:rFonts w:asciiTheme="minorHAnsi" w:hAnsiTheme="minorHAnsi"/>
                <w:sz w:val="18"/>
                <w:szCs w:val="18"/>
              </w:rPr>
            </w:pPr>
            <w:r w:rsidRPr="00D60446">
              <w:rPr>
                <w:rFonts w:asciiTheme="minorHAnsi" w:hAnsiTheme="minorHAnsi"/>
                <w:sz w:val="18"/>
                <w:szCs w:val="18"/>
              </w:rPr>
              <w:t xml:space="preserve">Nutrient offsetting </w:t>
            </w:r>
          </w:p>
        </w:tc>
        <w:tc>
          <w:tcPr>
            <w:tcW w:w="171" w:type="pct"/>
            <w:tcBorders>
              <w:top w:val="single" w:sz="2" w:space="0" w:color="0067AB"/>
              <w:left w:val="single" w:sz="2" w:space="0" w:color="0067AB"/>
              <w:bottom w:val="single" w:sz="2" w:space="0" w:color="0067AB"/>
              <w:right w:val="single" w:sz="2" w:space="0" w:color="0067AB"/>
            </w:tcBorders>
            <w:vAlign w:val="center"/>
          </w:tcPr>
          <w:p w14:paraId="129F9EB2" w14:textId="77777777" w:rsidR="000C6C9E" w:rsidRPr="00CE4330" w:rsidRDefault="000C6C9E" w:rsidP="000C6C9E">
            <w:pPr>
              <w:pStyle w:val="TableTextNoSpace"/>
              <w:jc w:val="center"/>
              <w:rPr>
                <w:rFonts w:cs="Arial"/>
                <w:sz w:val="18"/>
                <w:szCs w:val="18"/>
              </w:rPr>
            </w:pPr>
          </w:p>
        </w:tc>
        <w:tc>
          <w:tcPr>
            <w:tcW w:w="172" w:type="pct"/>
            <w:tcBorders>
              <w:top w:val="single" w:sz="2" w:space="0" w:color="0067AB"/>
              <w:left w:val="single" w:sz="2" w:space="0" w:color="0067AB"/>
              <w:bottom w:val="single" w:sz="2" w:space="0" w:color="0067AB"/>
              <w:right w:val="single" w:sz="2" w:space="0" w:color="0067AB"/>
            </w:tcBorders>
            <w:vAlign w:val="center"/>
          </w:tcPr>
          <w:p w14:paraId="1097D5F4" w14:textId="77777777" w:rsidR="000C6C9E" w:rsidRPr="00CE4330" w:rsidRDefault="000C6C9E" w:rsidP="000C6C9E">
            <w:pPr>
              <w:pStyle w:val="TableTextNoSpace"/>
              <w:jc w:val="center"/>
              <w:rPr>
                <w:rFonts w:cs="Arial"/>
                <w:sz w:val="18"/>
                <w:szCs w:val="18"/>
              </w:rPr>
            </w:pPr>
          </w:p>
        </w:tc>
        <w:tc>
          <w:tcPr>
            <w:tcW w:w="173" w:type="pct"/>
            <w:tcBorders>
              <w:top w:val="single" w:sz="2" w:space="0" w:color="0067AB"/>
              <w:left w:val="single" w:sz="2" w:space="0" w:color="0067AB"/>
              <w:bottom w:val="single" w:sz="2" w:space="0" w:color="0067AB"/>
              <w:right w:val="single" w:sz="2" w:space="0" w:color="0067AB"/>
            </w:tcBorders>
            <w:vAlign w:val="center"/>
          </w:tcPr>
          <w:p w14:paraId="2BF7A977" w14:textId="77777777" w:rsidR="000C6C9E" w:rsidRPr="00CE4330" w:rsidRDefault="000C6C9E" w:rsidP="000C6C9E">
            <w:pPr>
              <w:pStyle w:val="TableTextNoSpace"/>
              <w:jc w:val="center"/>
              <w:rPr>
                <w:rFonts w:cs="Arial"/>
                <w:sz w:val="18"/>
                <w:szCs w:val="18"/>
              </w:rPr>
            </w:pPr>
          </w:p>
        </w:tc>
        <w:tc>
          <w:tcPr>
            <w:tcW w:w="174" w:type="pct"/>
            <w:tcBorders>
              <w:top w:val="single" w:sz="2" w:space="0" w:color="0067AB"/>
              <w:left w:val="single" w:sz="2" w:space="0" w:color="0067AB"/>
              <w:bottom w:val="single" w:sz="2" w:space="0" w:color="0067AB"/>
              <w:right w:val="single" w:sz="12" w:space="0" w:color="0067AB"/>
            </w:tcBorders>
            <w:vAlign w:val="center"/>
            <w:hideMark/>
          </w:tcPr>
          <w:p w14:paraId="572CFA11" w14:textId="2DDDBA31"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2" w:type="pct"/>
            <w:tcBorders>
              <w:top w:val="single" w:sz="2" w:space="0" w:color="0067AB"/>
              <w:left w:val="single" w:sz="12" w:space="0" w:color="0067AB"/>
              <w:bottom w:val="single" w:sz="2" w:space="0" w:color="0067AB"/>
              <w:right w:val="single" w:sz="2" w:space="0" w:color="0067AB"/>
            </w:tcBorders>
            <w:vAlign w:val="center"/>
          </w:tcPr>
          <w:p w14:paraId="73825516" w14:textId="483F0443" w:rsidR="000C6C9E" w:rsidRPr="00CE4330" w:rsidRDefault="000C6C9E" w:rsidP="000C6C9E">
            <w:pPr>
              <w:pStyle w:val="TableTextNoSpace"/>
              <w:jc w:val="center"/>
              <w:rPr>
                <w:rFonts w:cs="Arial"/>
                <w:sz w:val="18"/>
                <w:szCs w:val="18"/>
              </w:rPr>
            </w:pPr>
            <w:r>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6A0710F2" w14:textId="77777777" w:rsidR="000C6C9E" w:rsidRPr="00CE4330" w:rsidRDefault="000C6C9E" w:rsidP="000C6C9E">
            <w:pPr>
              <w:pStyle w:val="TableTextNoSpace"/>
              <w:jc w:val="center"/>
              <w:rPr>
                <w:rFonts w:cs="Arial"/>
                <w:sz w:val="18"/>
                <w:szCs w:val="18"/>
              </w:rPr>
            </w:pPr>
          </w:p>
        </w:tc>
        <w:tc>
          <w:tcPr>
            <w:tcW w:w="172" w:type="pct"/>
            <w:tcBorders>
              <w:top w:val="single" w:sz="2" w:space="0" w:color="0067AB"/>
              <w:left w:val="single" w:sz="2" w:space="0" w:color="0067AB"/>
              <w:bottom w:val="single" w:sz="2" w:space="0" w:color="0067AB"/>
              <w:right w:val="single" w:sz="2" w:space="0" w:color="0067AB"/>
            </w:tcBorders>
            <w:vAlign w:val="center"/>
          </w:tcPr>
          <w:p w14:paraId="2C21F9BE" w14:textId="34934C7E" w:rsidR="000C6C9E" w:rsidRPr="00CE4330" w:rsidRDefault="000C6C9E" w:rsidP="000C6C9E">
            <w:pPr>
              <w:pStyle w:val="TableTextNoSpace"/>
              <w:jc w:val="center"/>
              <w:rPr>
                <w:rFonts w:cs="Arial"/>
                <w:sz w:val="18"/>
                <w:szCs w:val="18"/>
              </w:rPr>
            </w:pPr>
            <w:r>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2E76C218" w14:textId="77777777" w:rsidR="000C6C9E" w:rsidRPr="00CE4330" w:rsidRDefault="000C6C9E" w:rsidP="000C6C9E">
            <w:pPr>
              <w:pStyle w:val="TableTextNoSpace"/>
              <w:jc w:val="center"/>
              <w:rPr>
                <w:rFonts w:cs="Arial"/>
                <w:sz w:val="18"/>
                <w:szCs w:val="18"/>
              </w:rPr>
            </w:pPr>
          </w:p>
        </w:tc>
        <w:tc>
          <w:tcPr>
            <w:tcW w:w="173" w:type="pct"/>
            <w:tcBorders>
              <w:top w:val="single" w:sz="2" w:space="0" w:color="0067AB"/>
              <w:left w:val="single" w:sz="2" w:space="0" w:color="0067AB"/>
              <w:bottom w:val="single" w:sz="2" w:space="0" w:color="0067AB"/>
              <w:right w:val="single" w:sz="2" w:space="0" w:color="0067AB"/>
            </w:tcBorders>
            <w:vAlign w:val="center"/>
          </w:tcPr>
          <w:p w14:paraId="1D00E4EB" w14:textId="73295981" w:rsidR="000C6C9E" w:rsidRPr="00CE4330" w:rsidRDefault="000C6C9E" w:rsidP="000C6C9E">
            <w:pPr>
              <w:pStyle w:val="TableTextNoSpace"/>
              <w:jc w:val="center"/>
              <w:rPr>
                <w:rFonts w:cs="Arial"/>
                <w:sz w:val="18"/>
                <w:szCs w:val="18"/>
              </w:rPr>
            </w:pPr>
            <w:r>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465AC8D0" w14:textId="7BDB7A74" w:rsidR="000C6C9E" w:rsidRPr="00CE4330" w:rsidRDefault="000C6C9E" w:rsidP="000C6C9E">
            <w:pPr>
              <w:pStyle w:val="TableTextNoSpace"/>
              <w:jc w:val="center"/>
              <w:rPr>
                <w:rFonts w:cs="Arial"/>
                <w:sz w:val="18"/>
                <w:szCs w:val="18"/>
              </w:rPr>
            </w:pPr>
            <w:r>
              <w:rPr>
                <w:rFonts w:cs="Arial"/>
                <w:sz w:val="18"/>
                <w:szCs w:val="18"/>
              </w:rPr>
              <w:t>x</w:t>
            </w:r>
          </w:p>
        </w:tc>
        <w:tc>
          <w:tcPr>
            <w:tcW w:w="172" w:type="pct"/>
            <w:tcBorders>
              <w:top w:val="single" w:sz="2" w:space="0" w:color="0067AB"/>
              <w:left w:val="single" w:sz="2" w:space="0" w:color="0067AB"/>
              <w:bottom w:val="single" w:sz="2" w:space="0" w:color="0067AB"/>
              <w:right w:val="single" w:sz="12" w:space="0" w:color="0067AB"/>
            </w:tcBorders>
            <w:vAlign w:val="center"/>
          </w:tcPr>
          <w:p w14:paraId="23D6AB4E" w14:textId="77777777" w:rsidR="000C6C9E" w:rsidRPr="00CE4330" w:rsidRDefault="000C6C9E" w:rsidP="000C6C9E">
            <w:pPr>
              <w:pStyle w:val="TableTextNoSpace"/>
              <w:jc w:val="center"/>
              <w:rPr>
                <w:rFonts w:cs="Arial"/>
                <w:sz w:val="18"/>
                <w:szCs w:val="18"/>
              </w:rPr>
            </w:pPr>
          </w:p>
        </w:tc>
        <w:tc>
          <w:tcPr>
            <w:tcW w:w="174" w:type="pct"/>
            <w:gridSpan w:val="2"/>
            <w:tcBorders>
              <w:top w:val="single" w:sz="2" w:space="0" w:color="0067AB"/>
              <w:left w:val="single" w:sz="12" w:space="0" w:color="0067AB"/>
              <w:bottom w:val="single" w:sz="2" w:space="0" w:color="0067AB"/>
              <w:right w:val="single" w:sz="2" w:space="0" w:color="0067AB"/>
            </w:tcBorders>
            <w:vAlign w:val="center"/>
            <w:hideMark/>
          </w:tcPr>
          <w:p w14:paraId="7D769DB5" w14:textId="2BA67E92"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hideMark/>
          </w:tcPr>
          <w:p w14:paraId="4A8D28CE" w14:textId="6BD75F93"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24635103" w14:textId="77777777" w:rsidR="000C6C9E" w:rsidRPr="00B26E50" w:rsidRDefault="000C6C9E" w:rsidP="000C6C9E">
            <w:pPr>
              <w:pStyle w:val="TableTextNoSpace"/>
              <w:jc w:val="center"/>
              <w:rPr>
                <w:rFonts w:cs="Arial"/>
                <w:b/>
                <w:sz w:val="18"/>
                <w:szCs w:val="18"/>
              </w:rPr>
            </w:pPr>
          </w:p>
        </w:tc>
        <w:tc>
          <w:tcPr>
            <w:tcW w:w="172" w:type="pct"/>
            <w:tcBorders>
              <w:top w:val="single" w:sz="2" w:space="0" w:color="0067AB"/>
              <w:left w:val="single" w:sz="2" w:space="0" w:color="0067AB"/>
              <w:bottom w:val="single" w:sz="2" w:space="0" w:color="0067AB"/>
              <w:right w:val="single" w:sz="2" w:space="0" w:color="0067AB"/>
            </w:tcBorders>
            <w:vAlign w:val="center"/>
          </w:tcPr>
          <w:p w14:paraId="1127A254" w14:textId="6CDD04E5"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hideMark/>
          </w:tcPr>
          <w:p w14:paraId="388B39DF" w14:textId="091D5431"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85" w:type="pct"/>
            <w:tcBorders>
              <w:top w:val="single" w:sz="2" w:space="0" w:color="0067AB"/>
              <w:left w:val="single" w:sz="2" w:space="0" w:color="0067AB"/>
              <w:bottom w:val="single" w:sz="2" w:space="0" w:color="0067AB"/>
              <w:right w:val="single" w:sz="2" w:space="0" w:color="0067AB"/>
            </w:tcBorders>
            <w:vAlign w:val="center"/>
          </w:tcPr>
          <w:p w14:paraId="5037F32E" w14:textId="2DF72F3E"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7" w:type="pct"/>
            <w:tcBorders>
              <w:top w:val="single" w:sz="2" w:space="0" w:color="0067AB"/>
              <w:left w:val="single" w:sz="2" w:space="0" w:color="0067AB"/>
              <w:bottom w:val="single" w:sz="2" w:space="0" w:color="0067AB"/>
              <w:right w:val="single" w:sz="2" w:space="0" w:color="0067AB"/>
            </w:tcBorders>
            <w:vAlign w:val="center"/>
          </w:tcPr>
          <w:p w14:paraId="0D791D61" w14:textId="77777777" w:rsidR="000C6C9E" w:rsidRPr="00B26E50" w:rsidRDefault="000C6C9E" w:rsidP="000C6C9E">
            <w:pPr>
              <w:pStyle w:val="TableTextNoSpace"/>
              <w:jc w:val="center"/>
              <w:rPr>
                <w:rFonts w:cs="Arial"/>
                <w:b/>
                <w:sz w:val="18"/>
                <w:szCs w:val="18"/>
              </w:rPr>
            </w:pPr>
          </w:p>
        </w:tc>
        <w:tc>
          <w:tcPr>
            <w:tcW w:w="171" w:type="pct"/>
            <w:tcBorders>
              <w:top w:val="single" w:sz="2" w:space="0" w:color="0067AB"/>
              <w:left w:val="single" w:sz="2" w:space="0" w:color="0067AB"/>
              <w:bottom w:val="single" w:sz="2" w:space="0" w:color="0067AB"/>
              <w:right w:val="single" w:sz="2" w:space="0" w:color="0067AB"/>
            </w:tcBorders>
            <w:vAlign w:val="center"/>
          </w:tcPr>
          <w:p w14:paraId="7A68DAC4" w14:textId="77777777" w:rsidR="000C6C9E" w:rsidRPr="00B26E50" w:rsidRDefault="000C6C9E" w:rsidP="000C6C9E">
            <w:pPr>
              <w:pStyle w:val="TableTextNoSpace"/>
              <w:jc w:val="center"/>
              <w:rPr>
                <w:rFonts w:cs="Arial"/>
                <w:b/>
                <w:sz w:val="18"/>
                <w:szCs w:val="18"/>
              </w:rPr>
            </w:pPr>
          </w:p>
        </w:tc>
        <w:tc>
          <w:tcPr>
            <w:tcW w:w="171" w:type="pct"/>
            <w:tcBorders>
              <w:top w:val="single" w:sz="2" w:space="0" w:color="0067AB"/>
              <w:left w:val="single" w:sz="2" w:space="0" w:color="0067AB"/>
              <w:bottom w:val="single" w:sz="2" w:space="0" w:color="0067AB"/>
              <w:right w:val="single" w:sz="2" w:space="0" w:color="0067AB"/>
            </w:tcBorders>
            <w:vAlign w:val="center"/>
          </w:tcPr>
          <w:p w14:paraId="239D8AD0" w14:textId="77777777" w:rsidR="000C6C9E" w:rsidRPr="00B26E50" w:rsidRDefault="000C6C9E" w:rsidP="000C6C9E">
            <w:pPr>
              <w:pStyle w:val="TableTextNoSpace"/>
              <w:jc w:val="center"/>
              <w:rPr>
                <w:rFonts w:cs="Arial"/>
                <w:b/>
                <w:sz w:val="18"/>
                <w:szCs w:val="18"/>
              </w:rPr>
            </w:pPr>
          </w:p>
        </w:tc>
        <w:tc>
          <w:tcPr>
            <w:tcW w:w="167" w:type="pct"/>
            <w:tcBorders>
              <w:top w:val="single" w:sz="2" w:space="0" w:color="0067AB"/>
              <w:left w:val="single" w:sz="2" w:space="0" w:color="0067AB"/>
              <w:bottom w:val="single" w:sz="2" w:space="0" w:color="0067AB"/>
              <w:right w:val="single" w:sz="12" w:space="0" w:color="0067AB"/>
            </w:tcBorders>
            <w:vAlign w:val="center"/>
            <w:hideMark/>
          </w:tcPr>
          <w:p w14:paraId="6DE31FE8" w14:textId="48997CAB" w:rsidR="000C6C9E" w:rsidRPr="00B26E50" w:rsidRDefault="000C6C9E" w:rsidP="000C6C9E">
            <w:pPr>
              <w:pStyle w:val="TableTextNoSpace"/>
              <w:jc w:val="center"/>
              <w:rPr>
                <w:rFonts w:cs="Arial"/>
                <w:b/>
                <w:sz w:val="18"/>
                <w:szCs w:val="18"/>
              </w:rPr>
            </w:pPr>
          </w:p>
        </w:tc>
        <w:tc>
          <w:tcPr>
            <w:tcW w:w="159" w:type="pct"/>
            <w:tcBorders>
              <w:top w:val="single" w:sz="2" w:space="0" w:color="0067AB"/>
              <w:left w:val="single" w:sz="12" w:space="0" w:color="0067AB"/>
              <w:bottom w:val="single" w:sz="2" w:space="0" w:color="0067AB"/>
              <w:right w:val="single" w:sz="2" w:space="0" w:color="0067AB"/>
            </w:tcBorders>
            <w:vAlign w:val="center"/>
          </w:tcPr>
          <w:p w14:paraId="3D4BF906" w14:textId="77777777" w:rsidR="000C6C9E" w:rsidRPr="00B26E50" w:rsidRDefault="000C6C9E" w:rsidP="000C6C9E">
            <w:pPr>
              <w:pStyle w:val="TableTextNoSpace"/>
              <w:jc w:val="center"/>
              <w:rPr>
                <w:rFonts w:cs="Arial"/>
                <w:b/>
                <w:sz w:val="18"/>
                <w:szCs w:val="18"/>
              </w:rPr>
            </w:pPr>
          </w:p>
        </w:tc>
        <w:tc>
          <w:tcPr>
            <w:tcW w:w="154" w:type="pct"/>
            <w:tcBorders>
              <w:top w:val="single" w:sz="2" w:space="0" w:color="0067AB"/>
              <w:left w:val="single" w:sz="2" w:space="0" w:color="0067AB"/>
              <w:bottom w:val="single" w:sz="2" w:space="0" w:color="0067AB"/>
              <w:right w:val="single" w:sz="2" w:space="0" w:color="0067AB"/>
            </w:tcBorders>
            <w:vAlign w:val="center"/>
            <w:hideMark/>
          </w:tcPr>
          <w:p w14:paraId="269D2AD5" w14:textId="0BC4FFFB" w:rsidR="000C6C9E" w:rsidRPr="00B26E50" w:rsidRDefault="000C6C9E" w:rsidP="000C6C9E">
            <w:pPr>
              <w:pStyle w:val="TableTextNoSpace"/>
              <w:jc w:val="center"/>
              <w:rPr>
                <w:rFonts w:cs="Arial"/>
                <w:b/>
                <w:sz w:val="18"/>
                <w:szCs w:val="18"/>
              </w:rPr>
            </w:pPr>
          </w:p>
        </w:tc>
        <w:tc>
          <w:tcPr>
            <w:tcW w:w="147" w:type="pct"/>
            <w:tcBorders>
              <w:top w:val="single" w:sz="2" w:space="0" w:color="0067AB"/>
              <w:left w:val="single" w:sz="2" w:space="0" w:color="0067AB"/>
              <w:bottom w:val="single" w:sz="2" w:space="0" w:color="0067AB"/>
              <w:right w:val="single" w:sz="2" w:space="0" w:color="0067AB"/>
            </w:tcBorders>
            <w:vAlign w:val="center"/>
            <w:hideMark/>
          </w:tcPr>
          <w:p w14:paraId="7680E413" w14:textId="3C33831D"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23" w:type="pct"/>
            <w:tcBorders>
              <w:top w:val="single" w:sz="2" w:space="0" w:color="0067AB"/>
              <w:left w:val="single" w:sz="2" w:space="0" w:color="0067AB"/>
              <w:bottom w:val="single" w:sz="2" w:space="0" w:color="0067AB"/>
              <w:right w:val="single" w:sz="2" w:space="0" w:color="0067AB"/>
            </w:tcBorders>
            <w:vAlign w:val="center"/>
          </w:tcPr>
          <w:p w14:paraId="49BA9DAB" w14:textId="77777777" w:rsidR="000C6C9E" w:rsidRPr="00CE4330" w:rsidRDefault="000C6C9E" w:rsidP="000C6C9E">
            <w:pPr>
              <w:pStyle w:val="TableTextNoSpace"/>
              <w:jc w:val="center"/>
              <w:rPr>
                <w:rFonts w:cs="Arial"/>
                <w:sz w:val="18"/>
                <w:szCs w:val="18"/>
              </w:rPr>
            </w:pPr>
          </w:p>
        </w:tc>
      </w:tr>
      <w:tr w:rsidR="000C6C9E" w14:paraId="0F87AEF2" w14:textId="77777777" w:rsidTr="00E1476F">
        <w:tc>
          <w:tcPr>
            <w:tcW w:w="783" w:type="pct"/>
            <w:tcBorders>
              <w:top w:val="single" w:sz="2" w:space="0" w:color="0067AB"/>
              <w:left w:val="single" w:sz="2" w:space="0" w:color="0067AB"/>
              <w:bottom w:val="single" w:sz="2" w:space="0" w:color="0067AB"/>
              <w:right w:val="single" w:sz="2" w:space="0" w:color="0067AB"/>
            </w:tcBorders>
            <w:hideMark/>
          </w:tcPr>
          <w:p w14:paraId="7CB21077" w14:textId="77777777" w:rsidR="000C6C9E" w:rsidRPr="00D60446" w:rsidRDefault="000C6C9E" w:rsidP="00120495">
            <w:pPr>
              <w:pStyle w:val="TableTextNoSpace"/>
              <w:jc w:val="left"/>
              <w:rPr>
                <w:rFonts w:asciiTheme="minorHAnsi" w:hAnsiTheme="minorHAnsi"/>
                <w:sz w:val="18"/>
                <w:szCs w:val="18"/>
              </w:rPr>
            </w:pPr>
            <w:r w:rsidRPr="00D60446">
              <w:rPr>
                <w:rFonts w:asciiTheme="minorHAnsi" w:hAnsiTheme="minorHAnsi"/>
                <w:sz w:val="18"/>
                <w:szCs w:val="18"/>
              </w:rPr>
              <w:t xml:space="preserve">User fees / visitor payback </w:t>
            </w:r>
          </w:p>
        </w:tc>
        <w:tc>
          <w:tcPr>
            <w:tcW w:w="171" w:type="pct"/>
            <w:tcBorders>
              <w:top w:val="single" w:sz="2" w:space="0" w:color="0067AB"/>
              <w:left w:val="single" w:sz="2" w:space="0" w:color="0067AB"/>
              <w:bottom w:val="single" w:sz="2" w:space="0" w:color="0067AB"/>
              <w:right w:val="single" w:sz="2" w:space="0" w:color="0067AB"/>
            </w:tcBorders>
            <w:vAlign w:val="center"/>
          </w:tcPr>
          <w:p w14:paraId="562E953F" w14:textId="4D5B04DE" w:rsidR="000C6C9E" w:rsidRPr="00CE4330" w:rsidRDefault="000C6C9E" w:rsidP="000C6C9E">
            <w:pPr>
              <w:pStyle w:val="TableTextNoSpace"/>
              <w:jc w:val="center"/>
              <w:rPr>
                <w:rFonts w:cs="Arial"/>
                <w:sz w:val="18"/>
                <w:szCs w:val="18"/>
              </w:rPr>
            </w:pPr>
            <w:r>
              <w:rPr>
                <w:rFonts w:cs="Arial"/>
                <w:sz w:val="18"/>
                <w:szCs w:val="18"/>
              </w:rPr>
              <w:t>x</w:t>
            </w:r>
          </w:p>
        </w:tc>
        <w:tc>
          <w:tcPr>
            <w:tcW w:w="172" w:type="pct"/>
            <w:tcBorders>
              <w:top w:val="single" w:sz="2" w:space="0" w:color="0067AB"/>
              <w:left w:val="single" w:sz="2" w:space="0" w:color="0067AB"/>
              <w:bottom w:val="single" w:sz="2" w:space="0" w:color="0067AB"/>
              <w:right w:val="single" w:sz="2" w:space="0" w:color="0067AB"/>
            </w:tcBorders>
            <w:vAlign w:val="center"/>
          </w:tcPr>
          <w:p w14:paraId="54208101" w14:textId="593927D6"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7E01EB83" w14:textId="3D799A30" w:rsidR="000C6C9E" w:rsidRPr="00CE4330" w:rsidRDefault="000C6C9E" w:rsidP="000C6C9E">
            <w:pPr>
              <w:pStyle w:val="TableTextNoSpace"/>
              <w:jc w:val="center"/>
              <w:rPr>
                <w:rFonts w:cs="Arial"/>
                <w:sz w:val="18"/>
                <w:szCs w:val="18"/>
              </w:rPr>
            </w:pPr>
            <w:r>
              <w:rPr>
                <w:rFonts w:cs="Arial"/>
                <w:sz w:val="18"/>
                <w:szCs w:val="18"/>
              </w:rPr>
              <w:t>x</w:t>
            </w:r>
          </w:p>
        </w:tc>
        <w:tc>
          <w:tcPr>
            <w:tcW w:w="174" w:type="pct"/>
            <w:tcBorders>
              <w:top w:val="single" w:sz="2" w:space="0" w:color="0067AB"/>
              <w:left w:val="single" w:sz="2" w:space="0" w:color="0067AB"/>
              <w:bottom w:val="single" w:sz="2" w:space="0" w:color="0067AB"/>
              <w:right w:val="single" w:sz="12" w:space="0" w:color="0067AB"/>
            </w:tcBorders>
            <w:vAlign w:val="center"/>
          </w:tcPr>
          <w:p w14:paraId="2AB4ECDD" w14:textId="7D1CECA4" w:rsidR="000C6C9E" w:rsidRPr="00CE4330" w:rsidRDefault="000C6C9E" w:rsidP="000C6C9E">
            <w:pPr>
              <w:pStyle w:val="TableTextNoSpace"/>
              <w:jc w:val="center"/>
              <w:rPr>
                <w:rFonts w:cs="Arial"/>
                <w:sz w:val="18"/>
                <w:szCs w:val="18"/>
              </w:rPr>
            </w:pPr>
            <w:r>
              <w:rPr>
                <w:rFonts w:cs="Arial"/>
                <w:sz w:val="18"/>
                <w:szCs w:val="18"/>
              </w:rPr>
              <w:t>x</w:t>
            </w:r>
          </w:p>
        </w:tc>
        <w:tc>
          <w:tcPr>
            <w:tcW w:w="172" w:type="pct"/>
            <w:tcBorders>
              <w:top w:val="single" w:sz="2" w:space="0" w:color="0067AB"/>
              <w:left w:val="single" w:sz="12" w:space="0" w:color="0067AB"/>
              <w:bottom w:val="single" w:sz="2" w:space="0" w:color="0067AB"/>
              <w:right w:val="single" w:sz="2" w:space="0" w:color="0067AB"/>
            </w:tcBorders>
            <w:vAlign w:val="center"/>
          </w:tcPr>
          <w:p w14:paraId="79EF9FE4" w14:textId="11EA4290" w:rsidR="000C6C9E" w:rsidRPr="00CE4330" w:rsidRDefault="000C6C9E" w:rsidP="000C6C9E">
            <w:pPr>
              <w:pStyle w:val="TableTextNoSpace"/>
              <w:jc w:val="center"/>
              <w:rPr>
                <w:rFonts w:cs="Arial"/>
                <w:sz w:val="18"/>
                <w:szCs w:val="18"/>
              </w:rPr>
            </w:pPr>
            <w:r>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78D5E436" w14:textId="6308380C" w:rsidR="000C6C9E" w:rsidRPr="00CE4330" w:rsidRDefault="000C6C9E" w:rsidP="000C6C9E">
            <w:pPr>
              <w:pStyle w:val="TableTextNoSpace"/>
              <w:jc w:val="center"/>
              <w:rPr>
                <w:rFonts w:cs="Arial"/>
                <w:sz w:val="18"/>
                <w:szCs w:val="18"/>
              </w:rPr>
            </w:pPr>
            <w:r>
              <w:rPr>
                <w:rFonts w:cs="Arial"/>
                <w:sz w:val="18"/>
                <w:szCs w:val="18"/>
              </w:rPr>
              <w:t>x</w:t>
            </w:r>
          </w:p>
        </w:tc>
        <w:tc>
          <w:tcPr>
            <w:tcW w:w="172" w:type="pct"/>
            <w:tcBorders>
              <w:top w:val="single" w:sz="2" w:space="0" w:color="0067AB"/>
              <w:left w:val="single" w:sz="2" w:space="0" w:color="0067AB"/>
              <w:bottom w:val="single" w:sz="2" w:space="0" w:color="0067AB"/>
              <w:right w:val="single" w:sz="2" w:space="0" w:color="0067AB"/>
            </w:tcBorders>
            <w:vAlign w:val="center"/>
          </w:tcPr>
          <w:p w14:paraId="40A0EB85" w14:textId="59AF3B2D" w:rsidR="000C6C9E" w:rsidRPr="00CE4330" w:rsidRDefault="000C6C9E" w:rsidP="000C6C9E">
            <w:pPr>
              <w:pStyle w:val="TableTextNoSpace"/>
              <w:jc w:val="center"/>
              <w:rPr>
                <w:rFonts w:cs="Arial"/>
                <w:sz w:val="18"/>
                <w:szCs w:val="18"/>
              </w:rPr>
            </w:pPr>
            <w:r>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7878298D" w14:textId="327E00E5" w:rsidR="000C6C9E" w:rsidRPr="00CE4330" w:rsidRDefault="000C6C9E" w:rsidP="000C6C9E">
            <w:pPr>
              <w:pStyle w:val="TableTextNoSpace"/>
              <w:jc w:val="center"/>
              <w:rPr>
                <w:rFonts w:cs="Arial"/>
                <w:sz w:val="18"/>
                <w:szCs w:val="18"/>
              </w:rPr>
            </w:pPr>
            <w:r>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hideMark/>
          </w:tcPr>
          <w:p w14:paraId="34DEF711" w14:textId="26F518F9" w:rsidR="000C6C9E" w:rsidRPr="00CE4330" w:rsidRDefault="000C6C9E" w:rsidP="000C6C9E">
            <w:pPr>
              <w:pStyle w:val="TableTextNoSpace"/>
              <w:jc w:val="center"/>
              <w:rPr>
                <w:rFonts w:cs="Arial"/>
                <w:sz w:val="18"/>
                <w:szCs w:val="18"/>
              </w:rPr>
            </w:pPr>
            <w:r>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hideMark/>
          </w:tcPr>
          <w:p w14:paraId="68B90FEE" w14:textId="00BA3169" w:rsidR="000C6C9E" w:rsidRPr="00B26E50" w:rsidRDefault="000C6C9E" w:rsidP="000C6C9E">
            <w:pPr>
              <w:pStyle w:val="TableTextNoSpace"/>
              <w:jc w:val="center"/>
              <w:rPr>
                <w:rFonts w:cs="Arial"/>
                <w:b/>
                <w:sz w:val="18"/>
                <w:szCs w:val="18"/>
              </w:rPr>
            </w:pPr>
            <w:r>
              <w:rPr>
                <w:rFonts w:cs="Arial"/>
                <w:b/>
                <w:sz w:val="18"/>
                <w:szCs w:val="18"/>
              </w:rPr>
              <w:t>X</w:t>
            </w:r>
          </w:p>
        </w:tc>
        <w:tc>
          <w:tcPr>
            <w:tcW w:w="172" w:type="pct"/>
            <w:tcBorders>
              <w:top w:val="single" w:sz="2" w:space="0" w:color="0067AB"/>
              <w:left w:val="single" w:sz="2" w:space="0" w:color="0067AB"/>
              <w:bottom w:val="single" w:sz="2" w:space="0" w:color="0067AB"/>
              <w:right w:val="single" w:sz="12" w:space="0" w:color="0067AB"/>
            </w:tcBorders>
            <w:vAlign w:val="center"/>
          </w:tcPr>
          <w:p w14:paraId="1EA5059D" w14:textId="23CBE2BF" w:rsidR="000C6C9E" w:rsidRPr="00CE4330" w:rsidRDefault="000C6C9E" w:rsidP="000C6C9E">
            <w:pPr>
              <w:pStyle w:val="TableTextNoSpace"/>
              <w:jc w:val="center"/>
              <w:rPr>
                <w:rFonts w:cs="Arial"/>
                <w:sz w:val="18"/>
                <w:szCs w:val="18"/>
              </w:rPr>
            </w:pPr>
            <w:r>
              <w:rPr>
                <w:rFonts w:cs="Arial"/>
                <w:sz w:val="18"/>
                <w:szCs w:val="18"/>
              </w:rPr>
              <w:t>x</w:t>
            </w:r>
          </w:p>
        </w:tc>
        <w:tc>
          <w:tcPr>
            <w:tcW w:w="174" w:type="pct"/>
            <w:gridSpan w:val="2"/>
            <w:tcBorders>
              <w:top w:val="single" w:sz="2" w:space="0" w:color="0067AB"/>
              <w:left w:val="single" w:sz="12" w:space="0" w:color="0067AB"/>
              <w:bottom w:val="single" w:sz="2" w:space="0" w:color="0067AB"/>
              <w:right w:val="single" w:sz="2" w:space="0" w:color="0067AB"/>
            </w:tcBorders>
            <w:vAlign w:val="center"/>
            <w:hideMark/>
          </w:tcPr>
          <w:p w14:paraId="3BD51DF2" w14:textId="02063582" w:rsidR="000C6C9E" w:rsidRPr="00B26E50" w:rsidRDefault="000C6C9E" w:rsidP="000C6C9E">
            <w:pPr>
              <w:pStyle w:val="TableTextNoSpace"/>
              <w:jc w:val="center"/>
              <w:rPr>
                <w:rFonts w:cs="Arial"/>
                <w:b/>
                <w:sz w:val="18"/>
                <w:szCs w:val="18"/>
              </w:rPr>
            </w:pPr>
            <w:r>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79EA9272" w14:textId="433F5DB9" w:rsidR="000C6C9E" w:rsidRPr="00B26E50" w:rsidRDefault="000C6C9E" w:rsidP="000C6C9E">
            <w:pPr>
              <w:pStyle w:val="TableTextNoSpace"/>
              <w:jc w:val="center"/>
              <w:rPr>
                <w:rFonts w:cs="Arial"/>
                <w:b/>
                <w:sz w:val="18"/>
                <w:szCs w:val="18"/>
              </w:rPr>
            </w:pPr>
            <w:r>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37010ED5" w14:textId="70FB4899" w:rsidR="000C6C9E" w:rsidRPr="00B26E50" w:rsidRDefault="000C6C9E" w:rsidP="000C6C9E">
            <w:pPr>
              <w:pStyle w:val="TableTextNoSpace"/>
              <w:jc w:val="center"/>
              <w:rPr>
                <w:rFonts w:cs="Arial"/>
                <w:b/>
                <w:sz w:val="18"/>
                <w:szCs w:val="18"/>
              </w:rPr>
            </w:pPr>
            <w:r>
              <w:rPr>
                <w:rFonts w:cs="Arial"/>
                <w:b/>
                <w:sz w:val="18"/>
                <w:szCs w:val="18"/>
              </w:rPr>
              <w:t>X</w:t>
            </w:r>
          </w:p>
        </w:tc>
        <w:tc>
          <w:tcPr>
            <w:tcW w:w="172" w:type="pct"/>
            <w:tcBorders>
              <w:top w:val="single" w:sz="2" w:space="0" w:color="0067AB"/>
              <w:left w:val="single" w:sz="2" w:space="0" w:color="0067AB"/>
              <w:bottom w:val="single" w:sz="2" w:space="0" w:color="0067AB"/>
              <w:right w:val="single" w:sz="2" w:space="0" w:color="0067AB"/>
            </w:tcBorders>
            <w:vAlign w:val="center"/>
          </w:tcPr>
          <w:p w14:paraId="3EA2DF1D" w14:textId="5F55D1E3" w:rsidR="000C6C9E" w:rsidRPr="00CE4330" w:rsidRDefault="000C6C9E" w:rsidP="000C6C9E">
            <w:pPr>
              <w:pStyle w:val="TableTextNoSpace"/>
              <w:jc w:val="center"/>
              <w:rPr>
                <w:rFonts w:cs="Arial"/>
                <w:sz w:val="18"/>
                <w:szCs w:val="18"/>
              </w:rPr>
            </w:pPr>
            <w:r>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hideMark/>
          </w:tcPr>
          <w:p w14:paraId="09563E4B" w14:textId="7A61E84C" w:rsidR="000C6C9E" w:rsidRPr="00CE4330" w:rsidRDefault="000C6C9E" w:rsidP="000C6C9E">
            <w:pPr>
              <w:pStyle w:val="TableTextNoSpace"/>
              <w:jc w:val="center"/>
              <w:rPr>
                <w:rFonts w:cs="Arial"/>
                <w:sz w:val="18"/>
                <w:szCs w:val="18"/>
              </w:rPr>
            </w:pPr>
            <w:r>
              <w:rPr>
                <w:rFonts w:cs="Arial"/>
                <w:sz w:val="18"/>
                <w:szCs w:val="18"/>
              </w:rPr>
              <w:t>x</w:t>
            </w:r>
          </w:p>
        </w:tc>
        <w:tc>
          <w:tcPr>
            <w:tcW w:w="185" w:type="pct"/>
            <w:tcBorders>
              <w:top w:val="single" w:sz="2" w:space="0" w:color="0067AB"/>
              <w:left w:val="single" w:sz="2" w:space="0" w:color="0067AB"/>
              <w:bottom w:val="single" w:sz="2" w:space="0" w:color="0067AB"/>
              <w:right w:val="single" w:sz="2" w:space="0" w:color="0067AB"/>
            </w:tcBorders>
            <w:vAlign w:val="center"/>
          </w:tcPr>
          <w:p w14:paraId="4CA08628" w14:textId="1919AEF6" w:rsidR="000C6C9E" w:rsidRPr="00CE4330" w:rsidRDefault="000C6C9E" w:rsidP="000C6C9E">
            <w:pPr>
              <w:pStyle w:val="TableTextNoSpace"/>
              <w:jc w:val="center"/>
              <w:rPr>
                <w:rFonts w:cs="Arial"/>
                <w:sz w:val="18"/>
                <w:szCs w:val="18"/>
              </w:rPr>
            </w:pPr>
            <w:r>
              <w:rPr>
                <w:rFonts w:cs="Arial"/>
                <w:sz w:val="18"/>
                <w:szCs w:val="18"/>
              </w:rPr>
              <w:t>x</w:t>
            </w:r>
          </w:p>
        </w:tc>
        <w:tc>
          <w:tcPr>
            <w:tcW w:w="177" w:type="pct"/>
            <w:tcBorders>
              <w:top w:val="single" w:sz="2" w:space="0" w:color="0067AB"/>
              <w:left w:val="single" w:sz="2" w:space="0" w:color="0067AB"/>
              <w:bottom w:val="single" w:sz="2" w:space="0" w:color="0067AB"/>
              <w:right w:val="single" w:sz="2" w:space="0" w:color="0067AB"/>
            </w:tcBorders>
            <w:vAlign w:val="center"/>
          </w:tcPr>
          <w:p w14:paraId="45478E3D" w14:textId="0959D6E2" w:rsidR="000C6C9E" w:rsidRPr="00CE4330" w:rsidRDefault="000C6C9E" w:rsidP="000C6C9E">
            <w:pPr>
              <w:pStyle w:val="TableTextNoSpace"/>
              <w:jc w:val="center"/>
              <w:rPr>
                <w:rFonts w:cs="Arial"/>
                <w:sz w:val="18"/>
                <w:szCs w:val="18"/>
              </w:rPr>
            </w:pPr>
            <w:r>
              <w:rPr>
                <w:rFonts w:cs="Arial"/>
                <w:sz w:val="18"/>
                <w:szCs w:val="18"/>
              </w:rPr>
              <w:t>x</w:t>
            </w:r>
          </w:p>
        </w:tc>
        <w:tc>
          <w:tcPr>
            <w:tcW w:w="171" w:type="pct"/>
            <w:tcBorders>
              <w:top w:val="single" w:sz="2" w:space="0" w:color="0067AB"/>
              <w:left w:val="single" w:sz="2" w:space="0" w:color="0067AB"/>
              <w:bottom w:val="single" w:sz="2" w:space="0" w:color="0067AB"/>
              <w:right w:val="single" w:sz="2" w:space="0" w:color="0067AB"/>
            </w:tcBorders>
            <w:vAlign w:val="center"/>
          </w:tcPr>
          <w:p w14:paraId="65288E9A" w14:textId="56954277" w:rsidR="000C6C9E" w:rsidRPr="00CE4330" w:rsidRDefault="000C6C9E" w:rsidP="000C6C9E">
            <w:pPr>
              <w:pStyle w:val="TableTextNoSpace"/>
              <w:jc w:val="center"/>
              <w:rPr>
                <w:rFonts w:cs="Arial"/>
                <w:sz w:val="18"/>
                <w:szCs w:val="18"/>
              </w:rPr>
            </w:pPr>
            <w:r>
              <w:rPr>
                <w:rFonts w:cs="Arial"/>
                <w:sz w:val="18"/>
                <w:szCs w:val="18"/>
              </w:rPr>
              <w:t>x</w:t>
            </w:r>
          </w:p>
        </w:tc>
        <w:tc>
          <w:tcPr>
            <w:tcW w:w="171" w:type="pct"/>
            <w:tcBorders>
              <w:top w:val="single" w:sz="2" w:space="0" w:color="0067AB"/>
              <w:left w:val="single" w:sz="2" w:space="0" w:color="0067AB"/>
              <w:bottom w:val="single" w:sz="2" w:space="0" w:color="0067AB"/>
              <w:right w:val="single" w:sz="2" w:space="0" w:color="0067AB"/>
            </w:tcBorders>
            <w:vAlign w:val="center"/>
            <w:hideMark/>
          </w:tcPr>
          <w:p w14:paraId="5FF39EFB" w14:textId="731D049F" w:rsidR="000C6C9E" w:rsidRPr="00B26E50" w:rsidRDefault="000C6C9E" w:rsidP="000C6C9E">
            <w:pPr>
              <w:pStyle w:val="TableTextNoSpace"/>
              <w:jc w:val="center"/>
              <w:rPr>
                <w:rFonts w:cs="Arial"/>
                <w:b/>
                <w:sz w:val="18"/>
                <w:szCs w:val="18"/>
              </w:rPr>
            </w:pPr>
            <w:r>
              <w:rPr>
                <w:rFonts w:cs="Arial"/>
                <w:b/>
                <w:sz w:val="18"/>
                <w:szCs w:val="18"/>
              </w:rPr>
              <w:t>X</w:t>
            </w:r>
          </w:p>
        </w:tc>
        <w:tc>
          <w:tcPr>
            <w:tcW w:w="167" w:type="pct"/>
            <w:tcBorders>
              <w:top w:val="single" w:sz="2" w:space="0" w:color="0067AB"/>
              <w:left w:val="single" w:sz="2" w:space="0" w:color="0067AB"/>
              <w:bottom w:val="single" w:sz="2" w:space="0" w:color="0067AB"/>
              <w:right w:val="single" w:sz="12" w:space="0" w:color="0067AB"/>
            </w:tcBorders>
            <w:vAlign w:val="center"/>
            <w:hideMark/>
          </w:tcPr>
          <w:p w14:paraId="2026F8C0" w14:textId="3B474F75" w:rsidR="000C6C9E" w:rsidRPr="00B26E50" w:rsidRDefault="000C6C9E" w:rsidP="000C6C9E">
            <w:pPr>
              <w:pStyle w:val="TableTextNoSpace"/>
              <w:jc w:val="center"/>
              <w:rPr>
                <w:rFonts w:cs="Arial"/>
                <w:b/>
                <w:sz w:val="18"/>
                <w:szCs w:val="18"/>
              </w:rPr>
            </w:pPr>
            <w:r>
              <w:rPr>
                <w:rFonts w:cs="Arial"/>
                <w:b/>
                <w:sz w:val="18"/>
                <w:szCs w:val="18"/>
              </w:rPr>
              <w:t>X</w:t>
            </w:r>
          </w:p>
        </w:tc>
        <w:tc>
          <w:tcPr>
            <w:tcW w:w="159" w:type="pct"/>
            <w:tcBorders>
              <w:top w:val="single" w:sz="2" w:space="0" w:color="0067AB"/>
              <w:left w:val="single" w:sz="12" w:space="0" w:color="0067AB"/>
              <w:bottom w:val="single" w:sz="2" w:space="0" w:color="0067AB"/>
              <w:right w:val="single" w:sz="2" w:space="0" w:color="0067AB"/>
            </w:tcBorders>
            <w:vAlign w:val="center"/>
            <w:hideMark/>
          </w:tcPr>
          <w:p w14:paraId="12219101" w14:textId="39C0138C" w:rsidR="000C6C9E" w:rsidRPr="00B26E50" w:rsidRDefault="000C6C9E" w:rsidP="000C6C9E">
            <w:pPr>
              <w:pStyle w:val="TableTextNoSpace"/>
              <w:jc w:val="center"/>
              <w:rPr>
                <w:rFonts w:cs="Arial"/>
                <w:b/>
                <w:sz w:val="18"/>
                <w:szCs w:val="18"/>
              </w:rPr>
            </w:pPr>
            <w:r>
              <w:rPr>
                <w:rFonts w:cs="Arial"/>
                <w:b/>
                <w:sz w:val="18"/>
                <w:szCs w:val="18"/>
              </w:rPr>
              <w:t>X</w:t>
            </w:r>
          </w:p>
        </w:tc>
        <w:tc>
          <w:tcPr>
            <w:tcW w:w="154" w:type="pct"/>
            <w:tcBorders>
              <w:top w:val="single" w:sz="2" w:space="0" w:color="0067AB"/>
              <w:left w:val="single" w:sz="2" w:space="0" w:color="0067AB"/>
              <w:bottom w:val="single" w:sz="2" w:space="0" w:color="0067AB"/>
              <w:right w:val="single" w:sz="2" w:space="0" w:color="0067AB"/>
            </w:tcBorders>
            <w:vAlign w:val="center"/>
          </w:tcPr>
          <w:p w14:paraId="2CC49022" w14:textId="6E19E935" w:rsidR="000C6C9E" w:rsidRPr="00CE4330" w:rsidRDefault="000C6C9E" w:rsidP="000C6C9E">
            <w:pPr>
              <w:pStyle w:val="TableTextNoSpace"/>
              <w:jc w:val="center"/>
              <w:rPr>
                <w:rFonts w:cs="Arial"/>
                <w:sz w:val="18"/>
                <w:szCs w:val="18"/>
              </w:rPr>
            </w:pPr>
            <w:r>
              <w:rPr>
                <w:rFonts w:cs="Arial"/>
                <w:sz w:val="18"/>
                <w:szCs w:val="18"/>
              </w:rPr>
              <w:t>x</w:t>
            </w:r>
          </w:p>
        </w:tc>
        <w:tc>
          <w:tcPr>
            <w:tcW w:w="147" w:type="pct"/>
            <w:tcBorders>
              <w:top w:val="single" w:sz="2" w:space="0" w:color="0067AB"/>
              <w:left w:val="single" w:sz="2" w:space="0" w:color="0067AB"/>
              <w:bottom w:val="single" w:sz="2" w:space="0" w:color="0067AB"/>
              <w:right w:val="single" w:sz="2" w:space="0" w:color="0067AB"/>
            </w:tcBorders>
            <w:vAlign w:val="center"/>
            <w:hideMark/>
          </w:tcPr>
          <w:p w14:paraId="0BDA27BF" w14:textId="18BAA5BF" w:rsidR="000C6C9E" w:rsidRPr="00B26E50" w:rsidRDefault="000C6C9E" w:rsidP="000C6C9E">
            <w:pPr>
              <w:pStyle w:val="TableTextNoSpace"/>
              <w:jc w:val="center"/>
              <w:rPr>
                <w:rFonts w:cs="Arial"/>
                <w:b/>
                <w:sz w:val="18"/>
                <w:szCs w:val="18"/>
              </w:rPr>
            </w:pPr>
            <w:r>
              <w:rPr>
                <w:rFonts w:cs="Arial"/>
                <w:b/>
                <w:sz w:val="18"/>
                <w:szCs w:val="18"/>
              </w:rPr>
              <w:t>X</w:t>
            </w:r>
          </w:p>
        </w:tc>
        <w:tc>
          <w:tcPr>
            <w:tcW w:w="123" w:type="pct"/>
            <w:tcBorders>
              <w:top w:val="single" w:sz="2" w:space="0" w:color="0067AB"/>
              <w:left w:val="single" w:sz="2" w:space="0" w:color="0067AB"/>
              <w:bottom w:val="single" w:sz="2" w:space="0" w:color="0067AB"/>
              <w:right w:val="single" w:sz="2" w:space="0" w:color="0067AB"/>
            </w:tcBorders>
            <w:vAlign w:val="center"/>
            <w:hideMark/>
          </w:tcPr>
          <w:p w14:paraId="4B337120" w14:textId="4B755997" w:rsidR="000C6C9E" w:rsidRPr="00B26E50" w:rsidRDefault="000C6C9E" w:rsidP="000C6C9E">
            <w:pPr>
              <w:pStyle w:val="TableTextNoSpace"/>
              <w:jc w:val="center"/>
              <w:rPr>
                <w:rFonts w:cs="Arial"/>
                <w:b/>
                <w:sz w:val="18"/>
                <w:szCs w:val="18"/>
              </w:rPr>
            </w:pPr>
            <w:r>
              <w:rPr>
                <w:rFonts w:cs="Arial"/>
                <w:b/>
                <w:sz w:val="18"/>
                <w:szCs w:val="18"/>
              </w:rPr>
              <w:t>X</w:t>
            </w:r>
          </w:p>
        </w:tc>
      </w:tr>
      <w:tr w:rsidR="00213A9E" w14:paraId="5CC94457" w14:textId="77777777" w:rsidTr="00C15432">
        <w:tc>
          <w:tcPr>
            <w:tcW w:w="783" w:type="pct"/>
            <w:tcBorders>
              <w:top w:val="single" w:sz="2" w:space="0" w:color="0067AB"/>
              <w:left w:val="single" w:sz="2" w:space="0" w:color="0067AB"/>
              <w:bottom w:val="single" w:sz="2" w:space="0" w:color="0067AB"/>
              <w:right w:val="single" w:sz="2" w:space="0" w:color="0067AB"/>
            </w:tcBorders>
          </w:tcPr>
          <w:p w14:paraId="78EFEB26" w14:textId="77777777" w:rsidR="00213A9E" w:rsidRPr="00D60446" w:rsidRDefault="00213A9E" w:rsidP="00213A9E">
            <w:pPr>
              <w:pStyle w:val="TableTextNoSpace"/>
              <w:jc w:val="left"/>
              <w:rPr>
                <w:rFonts w:asciiTheme="minorHAnsi" w:hAnsiTheme="minorHAnsi"/>
                <w:sz w:val="18"/>
                <w:szCs w:val="18"/>
              </w:rPr>
            </w:pPr>
            <w:r w:rsidRPr="00D60446">
              <w:rPr>
                <w:rFonts w:asciiTheme="minorHAnsi" w:hAnsiTheme="minorHAnsi"/>
                <w:sz w:val="18"/>
                <w:szCs w:val="18"/>
              </w:rPr>
              <w:t>Tax incentives</w:t>
            </w:r>
          </w:p>
        </w:tc>
        <w:tc>
          <w:tcPr>
            <w:tcW w:w="171" w:type="pct"/>
            <w:tcBorders>
              <w:top w:val="single" w:sz="2" w:space="0" w:color="0067AB"/>
              <w:left w:val="single" w:sz="2" w:space="0" w:color="0067AB"/>
              <w:bottom w:val="single" w:sz="2" w:space="0" w:color="0067AB"/>
              <w:right w:val="single" w:sz="2" w:space="0" w:color="0067AB"/>
            </w:tcBorders>
            <w:vAlign w:val="center"/>
          </w:tcPr>
          <w:p w14:paraId="271D0505" w14:textId="77777777" w:rsidR="00213A9E" w:rsidRPr="00CE4330" w:rsidRDefault="00213A9E" w:rsidP="00213A9E">
            <w:pPr>
              <w:pStyle w:val="TableTextNoSpace"/>
              <w:jc w:val="center"/>
              <w:rPr>
                <w:rFonts w:cs="Arial"/>
                <w:sz w:val="18"/>
                <w:szCs w:val="18"/>
              </w:rPr>
            </w:pPr>
          </w:p>
        </w:tc>
        <w:tc>
          <w:tcPr>
            <w:tcW w:w="172" w:type="pct"/>
            <w:tcBorders>
              <w:top w:val="single" w:sz="2" w:space="0" w:color="0067AB"/>
              <w:left w:val="single" w:sz="2" w:space="0" w:color="0067AB"/>
              <w:bottom w:val="single" w:sz="2" w:space="0" w:color="0067AB"/>
              <w:right w:val="single" w:sz="2" w:space="0" w:color="0067AB"/>
            </w:tcBorders>
            <w:vAlign w:val="center"/>
          </w:tcPr>
          <w:p w14:paraId="1F56602B" w14:textId="1088F499" w:rsidR="00213A9E" w:rsidRPr="00B26E50" w:rsidRDefault="00213A9E" w:rsidP="00213A9E">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4FB412CF" w14:textId="19D479DB" w:rsidR="00213A9E" w:rsidRPr="00B26E50" w:rsidRDefault="00213A9E" w:rsidP="00213A9E">
            <w:pPr>
              <w:pStyle w:val="TableTextNoSpace"/>
              <w:jc w:val="center"/>
              <w:rPr>
                <w:rFonts w:cs="Arial"/>
                <w:b/>
                <w:sz w:val="18"/>
                <w:szCs w:val="18"/>
              </w:rPr>
            </w:pPr>
            <w:r w:rsidRPr="00B26E50">
              <w:rPr>
                <w:rFonts w:cs="Arial"/>
                <w:b/>
                <w:sz w:val="18"/>
                <w:szCs w:val="18"/>
              </w:rPr>
              <w:t>X</w:t>
            </w:r>
          </w:p>
        </w:tc>
        <w:tc>
          <w:tcPr>
            <w:tcW w:w="174" w:type="pct"/>
            <w:tcBorders>
              <w:top w:val="single" w:sz="2" w:space="0" w:color="0067AB"/>
              <w:left w:val="single" w:sz="2" w:space="0" w:color="0067AB"/>
              <w:bottom w:val="single" w:sz="2" w:space="0" w:color="0067AB"/>
              <w:right w:val="single" w:sz="12" w:space="0" w:color="0067AB"/>
            </w:tcBorders>
            <w:vAlign w:val="center"/>
          </w:tcPr>
          <w:p w14:paraId="4A426A16" w14:textId="1F138B6C" w:rsidR="00213A9E" w:rsidRPr="00B26E50" w:rsidRDefault="00213A9E" w:rsidP="00213A9E">
            <w:pPr>
              <w:pStyle w:val="TableTextNoSpace"/>
              <w:jc w:val="center"/>
              <w:rPr>
                <w:rFonts w:cs="Arial"/>
                <w:b/>
                <w:sz w:val="18"/>
                <w:szCs w:val="18"/>
              </w:rPr>
            </w:pPr>
            <w:r w:rsidRPr="00B26E50">
              <w:rPr>
                <w:rFonts w:cs="Arial"/>
                <w:b/>
                <w:sz w:val="18"/>
                <w:szCs w:val="18"/>
              </w:rPr>
              <w:t>X</w:t>
            </w:r>
          </w:p>
        </w:tc>
        <w:tc>
          <w:tcPr>
            <w:tcW w:w="172" w:type="pct"/>
            <w:tcBorders>
              <w:top w:val="single" w:sz="2" w:space="0" w:color="0067AB"/>
              <w:left w:val="single" w:sz="12" w:space="0" w:color="0067AB"/>
              <w:bottom w:val="single" w:sz="2" w:space="0" w:color="0067AB"/>
              <w:right w:val="single" w:sz="2" w:space="0" w:color="0067AB"/>
            </w:tcBorders>
            <w:vAlign w:val="center"/>
          </w:tcPr>
          <w:p w14:paraId="70ECB47E" w14:textId="45A1DC50" w:rsidR="00213A9E" w:rsidRPr="00B26E50" w:rsidRDefault="00213A9E" w:rsidP="00213A9E">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43D53232" w14:textId="77777777" w:rsidR="00213A9E" w:rsidRPr="00B26E50" w:rsidRDefault="00213A9E" w:rsidP="00213A9E">
            <w:pPr>
              <w:pStyle w:val="TableTextNoSpace"/>
              <w:jc w:val="center"/>
              <w:rPr>
                <w:rFonts w:cs="Arial"/>
                <w:b/>
                <w:sz w:val="18"/>
                <w:szCs w:val="18"/>
              </w:rPr>
            </w:pPr>
          </w:p>
        </w:tc>
        <w:tc>
          <w:tcPr>
            <w:tcW w:w="172" w:type="pct"/>
            <w:tcBorders>
              <w:top w:val="single" w:sz="2" w:space="0" w:color="0067AB"/>
              <w:left w:val="single" w:sz="2" w:space="0" w:color="0067AB"/>
              <w:bottom w:val="single" w:sz="2" w:space="0" w:color="0067AB"/>
              <w:right w:val="single" w:sz="2" w:space="0" w:color="0067AB"/>
            </w:tcBorders>
            <w:vAlign w:val="center"/>
          </w:tcPr>
          <w:p w14:paraId="64F37BB5" w14:textId="77777777" w:rsidR="00213A9E" w:rsidRPr="00B26E50" w:rsidRDefault="00213A9E" w:rsidP="00213A9E">
            <w:pPr>
              <w:pStyle w:val="TableTextNoSpace"/>
              <w:jc w:val="center"/>
              <w:rPr>
                <w:rFonts w:cs="Arial"/>
                <w:b/>
                <w:sz w:val="18"/>
                <w:szCs w:val="18"/>
              </w:rPr>
            </w:pPr>
          </w:p>
        </w:tc>
        <w:tc>
          <w:tcPr>
            <w:tcW w:w="173" w:type="pct"/>
            <w:tcBorders>
              <w:top w:val="single" w:sz="2" w:space="0" w:color="0067AB"/>
              <w:left w:val="single" w:sz="2" w:space="0" w:color="0067AB"/>
              <w:bottom w:val="single" w:sz="2" w:space="0" w:color="0067AB"/>
              <w:right w:val="single" w:sz="2" w:space="0" w:color="0067AB"/>
            </w:tcBorders>
            <w:vAlign w:val="center"/>
          </w:tcPr>
          <w:p w14:paraId="6BDDBCE5" w14:textId="1B754891" w:rsidR="00213A9E" w:rsidRPr="00B26E50" w:rsidRDefault="00213A9E" w:rsidP="00213A9E">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34A49DD8" w14:textId="77777777" w:rsidR="00213A9E" w:rsidRPr="00B26E50" w:rsidRDefault="00213A9E" w:rsidP="00213A9E">
            <w:pPr>
              <w:pStyle w:val="TableTextNoSpace"/>
              <w:jc w:val="center"/>
              <w:rPr>
                <w:rFonts w:cs="Arial"/>
                <w:b/>
                <w:sz w:val="18"/>
                <w:szCs w:val="18"/>
              </w:rPr>
            </w:pPr>
          </w:p>
        </w:tc>
        <w:tc>
          <w:tcPr>
            <w:tcW w:w="173" w:type="pct"/>
            <w:tcBorders>
              <w:top w:val="single" w:sz="2" w:space="0" w:color="0067AB"/>
              <w:left w:val="single" w:sz="2" w:space="0" w:color="0067AB"/>
              <w:bottom w:val="single" w:sz="2" w:space="0" w:color="0067AB"/>
              <w:right w:val="single" w:sz="2" w:space="0" w:color="0067AB"/>
            </w:tcBorders>
            <w:vAlign w:val="center"/>
          </w:tcPr>
          <w:p w14:paraId="2A483CAA" w14:textId="77777777" w:rsidR="00213A9E" w:rsidRPr="00B26E50" w:rsidRDefault="00213A9E" w:rsidP="00213A9E">
            <w:pPr>
              <w:pStyle w:val="TableTextNoSpace"/>
              <w:jc w:val="center"/>
              <w:rPr>
                <w:rFonts w:cs="Arial"/>
                <w:b/>
                <w:sz w:val="18"/>
                <w:szCs w:val="18"/>
              </w:rPr>
            </w:pPr>
          </w:p>
        </w:tc>
        <w:tc>
          <w:tcPr>
            <w:tcW w:w="172" w:type="pct"/>
            <w:tcBorders>
              <w:top w:val="single" w:sz="2" w:space="0" w:color="0067AB"/>
              <w:left w:val="single" w:sz="2" w:space="0" w:color="0067AB"/>
              <w:bottom w:val="single" w:sz="2" w:space="0" w:color="0067AB"/>
              <w:right w:val="single" w:sz="12" w:space="0" w:color="0067AB"/>
            </w:tcBorders>
            <w:vAlign w:val="center"/>
          </w:tcPr>
          <w:p w14:paraId="304C0D64" w14:textId="77777777" w:rsidR="00213A9E" w:rsidRPr="00B26E50" w:rsidRDefault="00213A9E" w:rsidP="00213A9E">
            <w:pPr>
              <w:pStyle w:val="TableTextNoSpace"/>
              <w:jc w:val="center"/>
              <w:rPr>
                <w:rFonts w:cs="Arial"/>
                <w:b/>
                <w:sz w:val="18"/>
                <w:szCs w:val="18"/>
              </w:rPr>
            </w:pPr>
          </w:p>
        </w:tc>
        <w:tc>
          <w:tcPr>
            <w:tcW w:w="174" w:type="pct"/>
            <w:gridSpan w:val="2"/>
            <w:tcBorders>
              <w:top w:val="single" w:sz="2" w:space="0" w:color="0067AB"/>
              <w:left w:val="single" w:sz="12" w:space="0" w:color="0067AB"/>
              <w:bottom w:val="single" w:sz="2" w:space="0" w:color="0067AB"/>
              <w:right w:val="single" w:sz="2" w:space="0" w:color="0067AB"/>
            </w:tcBorders>
            <w:vAlign w:val="center"/>
          </w:tcPr>
          <w:p w14:paraId="70AA81AD" w14:textId="051A7B07" w:rsidR="00213A9E" w:rsidRPr="00B26E50" w:rsidRDefault="00213A9E" w:rsidP="00213A9E">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583DCD92" w14:textId="6638C816" w:rsidR="00213A9E" w:rsidRPr="00B26E50" w:rsidRDefault="00213A9E" w:rsidP="00213A9E">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tcPr>
          <w:p w14:paraId="56044077" w14:textId="23E3F339" w:rsidR="00213A9E" w:rsidRPr="00B26E50" w:rsidRDefault="00213A9E" w:rsidP="00213A9E">
            <w:pPr>
              <w:pStyle w:val="TableTextNoSpace"/>
              <w:jc w:val="center"/>
              <w:rPr>
                <w:rFonts w:cs="Arial"/>
                <w:b/>
                <w:sz w:val="18"/>
                <w:szCs w:val="18"/>
              </w:rPr>
            </w:pPr>
            <w:r w:rsidRPr="004B37DF">
              <w:rPr>
                <w:rFonts w:cs="Arial"/>
                <w:sz w:val="18"/>
                <w:szCs w:val="18"/>
              </w:rPr>
              <w:t>x</w:t>
            </w:r>
          </w:p>
        </w:tc>
        <w:tc>
          <w:tcPr>
            <w:tcW w:w="172" w:type="pct"/>
            <w:tcBorders>
              <w:top w:val="single" w:sz="2" w:space="0" w:color="0067AB"/>
              <w:left w:val="single" w:sz="2" w:space="0" w:color="0067AB"/>
              <w:bottom w:val="single" w:sz="2" w:space="0" w:color="0067AB"/>
              <w:right w:val="single" w:sz="2" w:space="0" w:color="0067AB"/>
            </w:tcBorders>
          </w:tcPr>
          <w:p w14:paraId="7C29FAAE" w14:textId="7AF6A3D3" w:rsidR="00213A9E" w:rsidRPr="00B26E50" w:rsidRDefault="00213A9E" w:rsidP="00213A9E">
            <w:pPr>
              <w:pStyle w:val="TableTextNoSpace"/>
              <w:jc w:val="center"/>
              <w:rPr>
                <w:rFonts w:cs="Arial"/>
                <w:b/>
                <w:sz w:val="18"/>
                <w:szCs w:val="18"/>
              </w:rPr>
            </w:pPr>
            <w:r w:rsidRPr="004B37DF">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tcPr>
          <w:p w14:paraId="7182E32A" w14:textId="62F7D8DA" w:rsidR="00213A9E" w:rsidRPr="00B26E50" w:rsidRDefault="00213A9E" w:rsidP="00213A9E">
            <w:pPr>
              <w:pStyle w:val="TableTextNoSpace"/>
              <w:jc w:val="center"/>
              <w:rPr>
                <w:rFonts w:cs="Arial"/>
                <w:b/>
                <w:sz w:val="18"/>
                <w:szCs w:val="18"/>
              </w:rPr>
            </w:pPr>
            <w:r w:rsidRPr="004B37DF">
              <w:rPr>
                <w:rFonts w:cs="Arial"/>
                <w:sz w:val="18"/>
                <w:szCs w:val="18"/>
              </w:rPr>
              <w:t>x</w:t>
            </w:r>
          </w:p>
        </w:tc>
        <w:tc>
          <w:tcPr>
            <w:tcW w:w="185" w:type="pct"/>
            <w:tcBorders>
              <w:top w:val="single" w:sz="2" w:space="0" w:color="0067AB"/>
              <w:left w:val="single" w:sz="2" w:space="0" w:color="0067AB"/>
              <w:bottom w:val="single" w:sz="2" w:space="0" w:color="0067AB"/>
              <w:right w:val="single" w:sz="2" w:space="0" w:color="0067AB"/>
            </w:tcBorders>
          </w:tcPr>
          <w:p w14:paraId="4551A922" w14:textId="5946FF22" w:rsidR="00213A9E" w:rsidRPr="00B26E50" w:rsidRDefault="00213A9E" w:rsidP="00213A9E">
            <w:pPr>
              <w:pStyle w:val="TableTextNoSpace"/>
              <w:jc w:val="center"/>
              <w:rPr>
                <w:rFonts w:cs="Arial"/>
                <w:b/>
                <w:sz w:val="18"/>
                <w:szCs w:val="18"/>
              </w:rPr>
            </w:pPr>
            <w:r w:rsidRPr="004B37DF">
              <w:rPr>
                <w:rFonts w:cs="Arial"/>
                <w:sz w:val="18"/>
                <w:szCs w:val="18"/>
              </w:rPr>
              <w:t>x</w:t>
            </w:r>
          </w:p>
        </w:tc>
        <w:tc>
          <w:tcPr>
            <w:tcW w:w="177" w:type="pct"/>
            <w:tcBorders>
              <w:top w:val="single" w:sz="2" w:space="0" w:color="0067AB"/>
              <w:left w:val="single" w:sz="2" w:space="0" w:color="0067AB"/>
              <w:bottom w:val="single" w:sz="2" w:space="0" w:color="0067AB"/>
              <w:right w:val="single" w:sz="2" w:space="0" w:color="0067AB"/>
            </w:tcBorders>
          </w:tcPr>
          <w:p w14:paraId="68D26653" w14:textId="13B69053" w:rsidR="00213A9E" w:rsidRPr="00B26E50" w:rsidRDefault="00213A9E" w:rsidP="00213A9E">
            <w:pPr>
              <w:pStyle w:val="TableTextNoSpace"/>
              <w:jc w:val="center"/>
              <w:rPr>
                <w:rFonts w:cs="Arial"/>
                <w:b/>
                <w:sz w:val="18"/>
                <w:szCs w:val="18"/>
              </w:rPr>
            </w:pPr>
            <w:r w:rsidRPr="004B37DF">
              <w:rPr>
                <w:rFonts w:cs="Arial"/>
                <w:sz w:val="18"/>
                <w:szCs w:val="18"/>
              </w:rPr>
              <w:t>x</w:t>
            </w:r>
          </w:p>
        </w:tc>
        <w:tc>
          <w:tcPr>
            <w:tcW w:w="171" w:type="pct"/>
            <w:tcBorders>
              <w:top w:val="single" w:sz="2" w:space="0" w:color="0067AB"/>
              <w:left w:val="single" w:sz="2" w:space="0" w:color="0067AB"/>
              <w:bottom w:val="single" w:sz="2" w:space="0" w:color="0067AB"/>
              <w:right w:val="single" w:sz="2" w:space="0" w:color="0067AB"/>
            </w:tcBorders>
          </w:tcPr>
          <w:p w14:paraId="6AAC6A59" w14:textId="5DCB72E1" w:rsidR="00213A9E" w:rsidRPr="00B26E50" w:rsidRDefault="00213A9E" w:rsidP="00213A9E">
            <w:pPr>
              <w:pStyle w:val="TableTextNoSpace"/>
              <w:jc w:val="center"/>
              <w:rPr>
                <w:rFonts w:cs="Arial"/>
                <w:b/>
                <w:sz w:val="18"/>
                <w:szCs w:val="18"/>
              </w:rPr>
            </w:pPr>
            <w:r w:rsidRPr="004B37DF">
              <w:rPr>
                <w:rFonts w:cs="Arial"/>
                <w:sz w:val="18"/>
                <w:szCs w:val="18"/>
              </w:rPr>
              <w:t>x</w:t>
            </w:r>
          </w:p>
        </w:tc>
        <w:tc>
          <w:tcPr>
            <w:tcW w:w="171" w:type="pct"/>
            <w:tcBorders>
              <w:top w:val="single" w:sz="2" w:space="0" w:color="0067AB"/>
              <w:left w:val="single" w:sz="2" w:space="0" w:color="0067AB"/>
              <w:bottom w:val="single" w:sz="2" w:space="0" w:color="0067AB"/>
              <w:right w:val="single" w:sz="2" w:space="0" w:color="0067AB"/>
            </w:tcBorders>
          </w:tcPr>
          <w:p w14:paraId="7378BD42" w14:textId="6102FA74" w:rsidR="00213A9E" w:rsidRPr="00B26E50" w:rsidRDefault="00213A9E" w:rsidP="00213A9E">
            <w:pPr>
              <w:pStyle w:val="TableTextNoSpace"/>
              <w:jc w:val="center"/>
              <w:rPr>
                <w:rFonts w:cs="Arial"/>
                <w:b/>
                <w:sz w:val="18"/>
                <w:szCs w:val="18"/>
              </w:rPr>
            </w:pPr>
            <w:r w:rsidRPr="004B37DF">
              <w:rPr>
                <w:rFonts w:cs="Arial"/>
                <w:sz w:val="18"/>
                <w:szCs w:val="18"/>
              </w:rPr>
              <w:t>x</w:t>
            </w:r>
          </w:p>
        </w:tc>
        <w:tc>
          <w:tcPr>
            <w:tcW w:w="167" w:type="pct"/>
            <w:tcBorders>
              <w:top w:val="single" w:sz="2" w:space="0" w:color="0067AB"/>
              <w:left w:val="single" w:sz="2" w:space="0" w:color="0067AB"/>
              <w:bottom w:val="single" w:sz="2" w:space="0" w:color="0067AB"/>
              <w:right w:val="single" w:sz="12" w:space="0" w:color="0067AB"/>
            </w:tcBorders>
          </w:tcPr>
          <w:p w14:paraId="7A018083" w14:textId="4A4F1061" w:rsidR="00213A9E" w:rsidRPr="00B26E50" w:rsidRDefault="00213A9E" w:rsidP="00213A9E">
            <w:pPr>
              <w:pStyle w:val="TableTextNoSpace"/>
              <w:jc w:val="center"/>
              <w:rPr>
                <w:rFonts w:cs="Arial"/>
                <w:b/>
                <w:sz w:val="18"/>
                <w:szCs w:val="18"/>
              </w:rPr>
            </w:pPr>
            <w:r w:rsidRPr="004B37DF">
              <w:rPr>
                <w:rFonts w:cs="Arial"/>
                <w:sz w:val="18"/>
                <w:szCs w:val="18"/>
              </w:rPr>
              <w:t>x</w:t>
            </w:r>
          </w:p>
        </w:tc>
        <w:tc>
          <w:tcPr>
            <w:tcW w:w="159" w:type="pct"/>
            <w:tcBorders>
              <w:top w:val="single" w:sz="2" w:space="0" w:color="0067AB"/>
              <w:left w:val="single" w:sz="12" w:space="0" w:color="0067AB"/>
              <w:bottom w:val="single" w:sz="2" w:space="0" w:color="0067AB"/>
              <w:right w:val="single" w:sz="2" w:space="0" w:color="0067AB"/>
            </w:tcBorders>
            <w:vAlign w:val="center"/>
          </w:tcPr>
          <w:p w14:paraId="26AC2564" w14:textId="20480F69" w:rsidR="00213A9E" w:rsidRPr="00B26E50" w:rsidRDefault="00213A9E" w:rsidP="00213A9E">
            <w:pPr>
              <w:pStyle w:val="TableTextNoSpace"/>
              <w:jc w:val="center"/>
              <w:rPr>
                <w:rFonts w:cs="Arial"/>
                <w:b/>
                <w:sz w:val="18"/>
                <w:szCs w:val="18"/>
              </w:rPr>
            </w:pPr>
            <w:r w:rsidRPr="00B26E50">
              <w:rPr>
                <w:rFonts w:cs="Arial"/>
                <w:b/>
                <w:sz w:val="18"/>
                <w:szCs w:val="18"/>
              </w:rPr>
              <w:t>X</w:t>
            </w:r>
          </w:p>
        </w:tc>
        <w:tc>
          <w:tcPr>
            <w:tcW w:w="154" w:type="pct"/>
            <w:tcBorders>
              <w:top w:val="single" w:sz="2" w:space="0" w:color="0067AB"/>
              <w:left w:val="single" w:sz="2" w:space="0" w:color="0067AB"/>
              <w:bottom w:val="single" w:sz="2" w:space="0" w:color="0067AB"/>
              <w:right w:val="single" w:sz="2" w:space="0" w:color="0067AB"/>
            </w:tcBorders>
            <w:vAlign w:val="center"/>
          </w:tcPr>
          <w:p w14:paraId="35233449" w14:textId="67900642" w:rsidR="00213A9E" w:rsidRPr="00B26E50" w:rsidRDefault="00213A9E" w:rsidP="00213A9E">
            <w:pPr>
              <w:pStyle w:val="TableTextNoSpace"/>
              <w:jc w:val="center"/>
              <w:rPr>
                <w:rFonts w:cs="Arial"/>
                <w:b/>
                <w:sz w:val="18"/>
                <w:szCs w:val="18"/>
              </w:rPr>
            </w:pPr>
            <w:r w:rsidRPr="00B26E50">
              <w:rPr>
                <w:rFonts w:cs="Arial"/>
                <w:b/>
                <w:sz w:val="18"/>
                <w:szCs w:val="18"/>
              </w:rPr>
              <w:t>X</w:t>
            </w:r>
          </w:p>
        </w:tc>
        <w:tc>
          <w:tcPr>
            <w:tcW w:w="147" w:type="pct"/>
            <w:tcBorders>
              <w:top w:val="single" w:sz="2" w:space="0" w:color="0067AB"/>
              <w:left w:val="single" w:sz="2" w:space="0" w:color="0067AB"/>
              <w:bottom w:val="single" w:sz="2" w:space="0" w:color="0067AB"/>
              <w:right w:val="single" w:sz="2" w:space="0" w:color="0067AB"/>
            </w:tcBorders>
            <w:vAlign w:val="center"/>
          </w:tcPr>
          <w:p w14:paraId="2299AEE3" w14:textId="09C4AAE4" w:rsidR="00213A9E" w:rsidRPr="00B26E50" w:rsidRDefault="00213A9E" w:rsidP="00213A9E">
            <w:pPr>
              <w:pStyle w:val="TableTextNoSpace"/>
              <w:jc w:val="center"/>
              <w:rPr>
                <w:rFonts w:cs="Arial"/>
                <w:b/>
                <w:sz w:val="18"/>
                <w:szCs w:val="18"/>
              </w:rPr>
            </w:pPr>
            <w:r w:rsidRPr="00B26E50">
              <w:rPr>
                <w:rFonts w:cs="Arial"/>
                <w:b/>
                <w:sz w:val="18"/>
                <w:szCs w:val="18"/>
              </w:rPr>
              <w:t>X</w:t>
            </w:r>
          </w:p>
        </w:tc>
        <w:tc>
          <w:tcPr>
            <w:tcW w:w="123" w:type="pct"/>
            <w:tcBorders>
              <w:top w:val="single" w:sz="2" w:space="0" w:color="0067AB"/>
              <w:left w:val="single" w:sz="2" w:space="0" w:color="0067AB"/>
              <w:bottom w:val="single" w:sz="2" w:space="0" w:color="0067AB"/>
              <w:right w:val="single" w:sz="2" w:space="0" w:color="0067AB"/>
            </w:tcBorders>
            <w:vAlign w:val="center"/>
          </w:tcPr>
          <w:p w14:paraId="7CD6F02F" w14:textId="3A05D2FB" w:rsidR="00213A9E" w:rsidRPr="00B26E50" w:rsidRDefault="00213A9E" w:rsidP="00213A9E">
            <w:pPr>
              <w:pStyle w:val="TableTextNoSpace"/>
              <w:jc w:val="center"/>
              <w:rPr>
                <w:rFonts w:cs="Arial"/>
                <w:b/>
                <w:sz w:val="18"/>
                <w:szCs w:val="18"/>
              </w:rPr>
            </w:pPr>
            <w:r w:rsidRPr="00B26E50">
              <w:rPr>
                <w:rFonts w:cs="Arial"/>
                <w:b/>
                <w:sz w:val="18"/>
                <w:szCs w:val="18"/>
              </w:rPr>
              <w:t>X</w:t>
            </w:r>
          </w:p>
        </w:tc>
      </w:tr>
      <w:tr w:rsidR="000C6C9E" w14:paraId="15E5E8AA" w14:textId="77777777" w:rsidTr="00E1476F">
        <w:tc>
          <w:tcPr>
            <w:tcW w:w="783" w:type="pct"/>
            <w:tcBorders>
              <w:top w:val="single" w:sz="2" w:space="0" w:color="0067AB"/>
              <w:left w:val="single" w:sz="2" w:space="0" w:color="0067AB"/>
              <w:bottom w:val="single" w:sz="2" w:space="0" w:color="0067AB"/>
              <w:right w:val="single" w:sz="2" w:space="0" w:color="0067AB"/>
            </w:tcBorders>
          </w:tcPr>
          <w:p w14:paraId="304FB4D1" w14:textId="77777777" w:rsidR="000C6C9E" w:rsidRPr="00D60446" w:rsidRDefault="000C6C9E" w:rsidP="00120495">
            <w:pPr>
              <w:pStyle w:val="TableTextNoSpace"/>
              <w:jc w:val="left"/>
              <w:rPr>
                <w:rFonts w:asciiTheme="minorHAnsi" w:hAnsiTheme="minorHAnsi"/>
                <w:sz w:val="18"/>
                <w:szCs w:val="18"/>
              </w:rPr>
            </w:pPr>
            <w:r w:rsidRPr="00D60446">
              <w:rPr>
                <w:rFonts w:asciiTheme="minorHAnsi" w:hAnsiTheme="minorHAnsi"/>
                <w:sz w:val="18"/>
                <w:szCs w:val="18"/>
              </w:rPr>
              <w:t>Loan finance</w:t>
            </w:r>
          </w:p>
        </w:tc>
        <w:tc>
          <w:tcPr>
            <w:tcW w:w="171" w:type="pct"/>
            <w:tcBorders>
              <w:top w:val="single" w:sz="2" w:space="0" w:color="0067AB"/>
              <w:left w:val="single" w:sz="2" w:space="0" w:color="0067AB"/>
              <w:bottom w:val="single" w:sz="2" w:space="0" w:color="0067AB"/>
              <w:right w:val="single" w:sz="2" w:space="0" w:color="0067AB"/>
            </w:tcBorders>
            <w:vAlign w:val="center"/>
          </w:tcPr>
          <w:p w14:paraId="7CD88F63" w14:textId="77777777" w:rsidR="000C6C9E" w:rsidRPr="00CE4330" w:rsidRDefault="000C6C9E" w:rsidP="000C6C9E">
            <w:pPr>
              <w:pStyle w:val="TableTextNoSpace"/>
              <w:jc w:val="center"/>
              <w:rPr>
                <w:rFonts w:cs="Arial"/>
                <w:sz w:val="18"/>
                <w:szCs w:val="18"/>
              </w:rPr>
            </w:pPr>
          </w:p>
        </w:tc>
        <w:tc>
          <w:tcPr>
            <w:tcW w:w="172" w:type="pct"/>
            <w:tcBorders>
              <w:top w:val="single" w:sz="2" w:space="0" w:color="0067AB"/>
              <w:left w:val="single" w:sz="2" w:space="0" w:color="0067AB"/>
              <w:bottom w:val="single" w:sz="2" w:space="0" w:color="0067AB"/>
              <w:right w:val="single" w:sz="2" w:space="0" w:color="0067AB"/>
            </w:tcBorders>
            <w:vAlign w:val="center"/>
          </w:tcPr>
          <w:p w14:paraId="1B01C486" w14:textId="77777777" w:rsidR="000C6C9E" w:rsidRPr="00B26E50" w:rsidRDefault="000C6C9E" w:rsidP="000C6C9E">
            <w:pPr>
              <w:pStyle w:val="TableTextNoSpace"/>
              <w:jc w:val="center"/>
              <w:rPr>
                <w:rFonts w:cs="Arial"/>
                <w:b/>
                <w:sz w:val="18"/>
                <w:szCs w:val="18"/>
              </w:rPr>
            </w:pPr>
          </w:p>
        </w:tc>
        <w:tc>
          <w:tcPr>
            <w:tcW w:w="173" w:type="pct"/>
            <w:tcBorders>
              <w:top w:val="single" w:sz="2" w:space="0" w:color="0067AB"/>
              <w:left w:val="single" w:sz="2" w:space="0" w:color="0067AB"/>
              <w:bottom w:val="single" w:sz="2" w:space="0" w:color="0067AB"/>
              <w:right w:val="single" w:sz="2" w:space="0" w:color="0067AB"/>
            </w:tcBorders>
            <w:vAlign w:val="center"/>
          </w:tcPr>
          <w:p w14:paraId="2DDD1063" w14:textId="77777777" w:rsidR="000C6C9E" w:rsidRPr="00B26E50" w:rsidRDefault="000C6C9E" w:rsidP="000C6C9E">
            <w:pPr>
              <w:pStyle w:val="TableTextNoSpace"/>
              <w:jc w:val="center"/>
              <w:rPr>
                <w:rFonts w:cs="Arial"/>
                <w:b/>
                <w:sz w:val="18"/>
                <w:szCs w:val="18"/>
              </w:rPr>
            </w:pPr>
          </w:p>
        </w:tc>
        <w:tc>
          <w:tcPr>
            <w:tcW w:w="174" w:type="pct"/>
            <w:tcBorders>
              <w:top w:val="single" w:sz="2" w:space="0" w:color="0067AB"/>
              <w:left w:val="single" w:sz="2" w:space="0" w:color="0067AB"/>
              <w:bottom w:val="single" w:sz="2" w:space="0" w:color="0067AB"/>
              <w:right w:val="single" w:sz="12" w:space="0" w:color="0067AB"/>
            </w:tcBorders>
            <w:vAlign w:val="center"/>
          </w:tcPr>
          <w:p w14:paraId="14CA794A" w14:textId="77777777" w:rsidR="000C6C9E" w:rsidRPr="00B26E50" w:rsidRDefault="000C6C9E" w:rsidP="000C6C9E">
            <w:pPr>
              <w:pStyle w:val="TableTextNoSpace"/>
              <w:jc w:val="center"/>
              <w:rPr>
                <w:rFonts w:cs="Arial"/>
                <w:b/>
                <w:sz w:val="18"/>
                <w:szCs w:val="18"/>
              </w:rPr>
            </w:pPr>
          </w:p>
        </w:tc>
        <w:tc>
          <w:tcPr>
            <w:tcW w:w="172" w:type="pct"/>
            <w:tcBorders>
              <w:top w:val="single" w:sz="2" w:space="0" w:color="0067AB"/>
              <w:left w:val="single" w:sz="12" w:space="0" w:color="0067AB"/>
              <w:bottom w:val="single" w:sz="2" w:space="0" w:color="0067AB"/>
              <w:right w:val="single" w:sz="2" w:space="0" w:color="0067AB"/>
            </w:tcBorders>
            <w:vAlign w:val="center"/>
          </w:tcPr>
          <w:p w14:paraId="369BBEC3" w14:textId="77777777" w:rsidR="000C6C9E" w:rsidRPr="00B26E50" w:rsidRDefault="000C6C9E" w:rsidP="000C6C9E">
            <w:pPr>
              <w:pStyle w:val="TableTextNoSpace"/>
              <w:jc w:val="center"/>
              <w:rPr>
                <w:rFonts w:cs="Arial"/>
                <w:b/>
                <w:sz w:val="18"/>
                <w:szCs w:val="18"/>
              </w:rPr>
            </w:pPr>
          </w:p>
        </w:tc>
        <w:tc>
          <w:tcPr>
            <w:tcW w:w="173" w:type="pct"/>
            <w:tcBorders>
              <w:top w:val="single" w:sz="2" w:space="0" w:color="0067AB"/>
              <w:left w:val="single" w:sz="2" w:space="0" w:color="0067AB"/>
              <w:bottom w:val="single" w:sz="2" w:space="0" w:color="0067AB"/>
              <w:right w:val="single" w:sz="2" w:space="0" w:color="0067AB"/>
            </w:tcBorders>
            <w:vAlign w:val="center"/>
          </w:tcPr>
          <w:p w14:paraId="0FF1FF22" w14:textId="77777777" w:rsidR="000C6C9E" w:rsidRPr="00B26E50" w:rsidRDefault="000C6C9E" w:rsidP="000C6C9E">
            <w:pPr>
              <w:pStyle w:val="TableTextNoSpace"/>
              <w:jc w:val="center"/>
              <w:rPr>
                <w:rFonts w:cs="Arial"/>
                <w:b/>
                <w:sz w:val="18"/>
                <w:szCs w:val="18"/>
              </w:rPr>
            </w:pPr>
          </w:p>
        </w:tc>
        <w:tc>
          <w:tcPr>
            <w:tcW w:w="172" w:type="pct"/>
            <w:tcBorders>
              <w:top w:val="single" w:sz="2" w:space="0" w:color="0067AB"/>
              <w:left w:val="single" w:sz="2" w:space="0" w:color="0067AB"/>
              <w:bottom w:val="single" w:sz="2" w:space="0" w:color="0067AB"/>
              <w:right w:val="single" w:sz="2" w:space="0" w:color="0067AB"/>
            </w:tcBorders>
            <w:vAlign w:val="center"/>
          </w:tcPr>
          <w:p w14:paraId="51D568FB" w14:textId="77777777" w:rsidR="000C6C9E" w:rsidRPr="00B26E50" w:rsidRDefault="000C6C9E" w:rsidP="000C6C9E">
            <w:pPr>
              <w:pStyle w:val="TableTextNoSpace"/>
              <w:jc w:val="center"/>
              <w:rPr>
                <w:rFonts w:cs="Arial"/>
                <w:b/>
                <w:sz w:val="18"/>
                <w:szCs w:val="18"/>
              </w:rPr>
            </w:pPr>
          </w:p>
        </w:tc>
        <w:tc>
          <w:tcPr>
            <w:tcW w:w="173" w:type="pct"/>
            <w:tcBorders>
              <w:top w:val="single" w:sz="2" w:space="0" w:color="0067AB"/>
              <w:left w:val="single" w:sz="2" w:space="0" w:color="0067AB"/>
              <w:bottom w:val="single" w:sz="2" w:space="0" w:color="0067AB"/>
              <w:right w:val="single" w:sz="2" w:space="0" w:color="0067AB"/>
            </w:tcBorders>
            <w:vAlign w:val="center"/>
          </w:tcPr>
          <w:p w14:paraId="032956C7" w14:textId="77777777" w:rsidR="000C6C9E" w:rsidRPr="00B26E50" w:rsidRDefault="000C6C9E" w:rsidP="000C6C9E">
            <w:pPr>
              <w:pStyle w:val="TableTextNoSpace"/>
              <w:jc w:val="center"/>
              <w:rPr>
                <w:rFonts w:cs="Arial"/>
                <w:b/>
                <w:sz w:val="18"/>
                <w:szCs w:val="18"/>
              </w:rPr>
            </w:pPr>
          </w:p>
        </w:tc>
        <w:tc>
          <w:tcPr>
            <w:tcW w:w="173" w:type="pct"/>
            <w:tcBorders>
              <w:top w:val="single" w:sz="2" w:space="0" w:color="0067AB"/>
              <w:left w:val="single" w:sz="2" w:space="0" w:color="0067AB"/>
              <w:bottom w:val="single" w:sz="2" w:space="0" w:color="0067AB"/>
              <w:right w:val="single" w:sz="2" w:space="0" w:color="0067AB"/>
            </w:tcBorders>
            <w:vAlign w:val="center"/>
          </w:tcPr>
          <w:p w14:paraId="63F2D1DA" w14:textId="77777777" w:rsidR="000C6C9E" w:rsidRPr="00B26E50" w:rsidRDefault="000C6C9E" w:rsidP="000C6C9E">
            <w:pPr>
              <w:pStyle w:val="TableTextNoSpace"/>
              <w:jc w:val="center"/>
              <w:rPr>
                <w:rFonts w:cs="Arial"/>
                <w:b/>
                <w:sz w:val="18"/>
                <w:szCs w:val="18"/>
              </w:rPr>
            </w:pPr>
          </w:p>
        </w:tc>
        <w:tc>
          <w:tcPr>
            <w:tcW w:w="173" w:type="pct"/>
            <w:tcBorders>
              <w:top w:val="single" w:sz="2" w:space="0" w:color="0067AB"/>
              <w:left w:val="single" w:sz="2" w:space="0" w:color="0067AB"/>
              <w:bottom w:val="single" w:sz="2" w:space="0" w:color="0067AB"/>
              <w:right w:val="single" w:sz="2" w:space="0" w:color="0067AB"/>
            </w:tcBorders>
            <w:vAlign w:val="center"/>
          </w:tcPr>
          <w:p w14:paraId="756995ED" w14:textId="77777777" w:rsidR="000C6C9E" w:rsidRPr="00B26E50" w:rsidRDefault="000C6C9E" w:rsidP="000C6C9E">
            <w:pPr>
              <w:pStyle w:val="TableTextNoSpace"/>
              <w:jc w:val="center"/>
              <w:rPr>
                <w:rFonts w:cs="Arial"/>
                <w:b/>
                <w:sz w:val="18"/>
                <w:szCs w:val="18"/>
              </w:rPr>
            </w:pPr>
          </w:p>
        </w:tc>
        <w:tc>
          <w:tcPr>
            <w:tcW w:w="172" w:type="pct"/>
            <w:tcBorders>
              <w:top w:val="single" w:sz="2" w:space="0" w:color="0067AB"/>
              <w:left w:val="single" w:sz="2" w:space="0" w:color="0067AB"/>
              <w:bottom w:val="single" w:sz="2" w:space="0" w:color="0067AB"/>
              <w:right w:val="single" w:sz="12" w:space="0" w:color="0067AB"/>
            </w:tcBorders>
            <w:vAlign w:val="center"/>
          </w:tcPr>
          <w:p w14:paraId="6EA98DFF" w14:textId="77777777" w:rsidR="000C6C9E" w:rsidRPr="00B26E50" w:rsidRDefault="000C6C9E" w:rsidP="000C6C9E">
            <w:pPr>
              <w:pStyle w:val="TableTextNoSpace"/>
              <w:jc w:val="center"/>
              <w:rPr>
                <w:rFonts w:cs="Arial"/>
                <w:b/>
                <w:sz w:val="18"/>
                <w:szCs w:val="18"/>
              </w:rPr>
            </w:pPr>
          </w:p>
        </w:tc>
        <w:tc>
          <w:tcPr>
            <w:tcW w:w="174" w:type="pct"/>
            <w:gridSpan w:val="2"/>
            <w:tcBorders>
              <w:top w:val="single" w:sz="2" w:space="0" w:color="0067AB"/>
              <w:left w:val="single" w:sz="12" w:space="0" w:color="0067AB"/>
              <w:bottom w:val="single" w:sz="2" w:space="0" w:color="0067AB"/>
              <w:right w:val="single" w:sz="2" w:space="0" w:color="0067AB"/>
            </w:tcBorders>
            <w:vAlign w:val="center"/>
          </w:tcPr>
          <w:p w14:paraId="79B954DD" w14:textId="07AF0D69"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55F98B69" w14:textId="32D27AB9"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61660EFD" w14:textId="77777777" w:rsidR="000C6C9E" w:rsidRPr="00B26E50" w:rsidRDefault="000C6C9E" w:rsidP="000C6C9E">
            <w:pPr>
              <w:pStyle w:val="TableTextNoSpace"/>
              <w:jc w:val="center"/>
              <w:rPr>
                <w:rFonts w:cs="Arial"/>
                <w:b/>
                <w:sz w:val="18"/>
                <w:szCs w:val="18"/>
              </w:rPr>
            </w:pPr>
          </w:p>
        </w:tc>
        <w:tc>
          <w:tcPr>
            <w:tcW w:w="172" w:type="pct"/>
            <w:tcBorders>
              <w:top w:val="single" w:sz="2" w:space="0" w:color="0067AB"/>
              <w:left w:val="single" w:sz="2" w:space="0" w:color="0067AB"/>
              <w:bottom w:val="single" w:sz="2" w:space="0" w:color="0067AB"/>
              <w:right w:val="single" w:sz="2" w:space="0" w:color="0067AB"/>
            </w:tcBorders>
            <w:vAlign w:val="center"/>
          </w:tcPr>
          <w:p w14:paraId="2359E391" w14:textId="77777777" w:rsidR="000C6C9E" w:rsidRPr="00B26E50" w:rsidRDefault="000C6C9E" w:rsidP="000C6C9E">
            <w:pPr>
              <w:pStyle w:val="TableTextNoSpace"/>
              <w:jc w:val="center"/>
              <w:rPr>
                <w:rFonts w:cs="Arial"/>
                <w:b/>
                <w:sz w:val="18"/>
                <w:szCs w:val="18"/>
              </w:rPr>
            </w:pPr>
          </w:p>
        </w:tc>
        <w:tc>
          <w:tcPr>
            <w:tcW w:w="173" w:type="pct"/>
            <w:tcBorders>
              <w:top w:val="single" w:sz="2" w:space="0" w:color="0067AB"/>
              <w:left w:val="single" w:sz="2" w:space="0" w:color="0067AB"/>
              <w:bottom w:val="single" w:sz="2" w:space="0" w:color="0067AB"/>
              <w:right w:val="single" w:sz="2" w:space="0" w:color="0067AB"/>
            </w:tcBorders>
            <w:vAlign w:val="center"/>
          </w:tcPr>
          <w:p w14:paraId="4A7BFB7B" w14:textId="77777777" w:rsidR="000C6C9E" w:rsidRPr="00B26E50" w:rsidRDefault="000C6C9E" w:rsidP="000C6C9E">
            <w:pPr>
              <w:pStyle w:val="TableTextNoSpace"/>
              <w:jc w:val="center"/>
              <w:rPr>
                <w:rFonts w:cs="Arial"/>
                <w:b/>
                <w:sz w:val="18"/>
                <w:szCs w:val="18"/>
              </w:rPr>
            </w:pPr>
          </w:p>
        </w:tc>
        <w:tc>
          <w:tcPr>
            <w:tcW w:w="185" w:type="pct"/>
            <w:tcBorders>
              <w:top w:val="single" w:sz="2" w:space="0" w:color="0067AB"/>
              <w:left w:val="single" w:sz="2" w:space="0" w:color="0067AB"/>
              <w:bottom w:val="single" w:sz="2" w:space="0" w:color="0067AB"/>
              <w:right w:val="single" w:sz="2" w:space="0" w:color="0067AB"/>
            </w:tcBorders>
            <w:vAlign w:val="center"/>
          </w:tcPr>
          <w:p w14:paraId="116B744E" w14:textId="77777777" w:rsidR="000C6C9E" w:rsidRPr="00B26E50" w:rsidRDefault="000C6C9E" w:rsidP="000C6C9E">
            <w:pPr>
              <w:pStyle w:val="TableTextNoSpace"/>
              <w:jc w:val="center"/>
              <w:rPr>
                <w:rFonts w:cs="Arial"/>
                <w:b/>
                <w:sz w:val="18"/>
                <w:szCs w:val="18"/>
              </w:rPr>
            </w:pPr>
          </w:p>
        </w:tc>
        <w:tc>
          <w:tcPr>
            <w:tcW w:w="177" w:type="pct"/>
            <w:tcBorders>
              <w:top w:val="single" w:sz="2" w:space="0" w:color="0067AB"/>
              <w:left w:val="single" w:sz="2" w:space="0" w:color="0067AB"/>
              <w:bottom w:val="single" w:sz="2" w:space="0" w:color="0067AB"/>
              <w:right w:val="single" w:sz="2" w:space="0" w:color="0067AB"/>
            </w:tcBorders>
            <w:vAlign w:val="center"/>
          </w:tcPr>
          <w:p w14:paraId="625986E9" w14:textId="77777777" w:rsidR="000C6C9E" w:rsidRPr="00B26E50" w:rsidRDefault="000C6C9E" w:rsidP="000C6C9E">
            <w:pPr>
              <w:pStyle w:val="TableTextNoSpace"/>
              <w:jc w:val="center"/>
              <w:rPr>
                <w:rFonts w:cs="Arial"/>
                <w:b/>
                <w:sz w:val="18"/>
                <w:szCs w:val="18"/>
              </w:rPr>
            </w:pPr>
          </w:p>
        </w:tc>
        <w:tc>
          <w:tcPr>
            <w:tcW w:w="171" w:type="pct"/>
            <w:tcBorders>
              <w:top w:val="single" w:sz="2" w:space="0" w:color="0067AB"/>
              <w:left w:val="single" w:sz="2" w:space="0" w:color="0067AB"/>
              <w:bottom w:val="single" w:sz="2" w:space="0" w:color="0067AB"/>
              <w:right w:val="single" w:sz="2" w:space="0" w:color="0067AB"/>
            </w:tcBorders>
            <w:vAlign w:val="center"/>
          </w:tcPr>
          <w:p w14:paraId="1F9989CA" w14:textId="77777777" w:rsidR="000C6C9E" w:rsidRPr="00B26E50" w:rsidRDefault="000C6C9E" w:rsidP="000C6C9E">
            <w:pPr>
              <w:pStyle w:val="TableTextNoSpace"/>
              <w:jc w:val="center"/>
              <w:rPr>
                <w:rFonts w:cs="Arial"/>
                <w:b/>
                <w:sz w:val="18"/>
                <w:szCs w:val="18"/>
              </w:rPr>
            </w:pPr>
          </w:p>
        </w:tc>
        <w:tc>
          <w:tcPr>
            <w:tcW w:w="171" w:type="pct"/>
            <w:tcBorders>
              <w:top w:val="single" w:sz="2" w:space="0" w:color="0067AB"/>
              <w:left w:val="single" w:sz="2" w:space="0" w:color="0067AB"/>
              <w:bottom w:val="single" w:sz="2" w:space="0" w:color="0067AB"/>
              <w:right w:val="single" w:sz="2" w:space="0" w:color="0067AB"/>
            </w:tcBorders>
            <w:vAlign w:val="center"/>
          </w:tcPr>
          <w:p w14:paraId="6047C87F" w14:textId="77777777" w:rsidR="000C6C9E" w:rsidRPr="00B26E50" w:rsidRDefault="000C6C9E" w:rsidP="000C6C9E">
            <w:pPr>
              <w:pStyle w:val="TableTextNoSpace"/>
              <w:jc w:val="center"/>
              <w:rPr>
                <w:rFonts w:cs="Arial"/>
                <w:b/>
                <w:sz w:val="18"/>
                <w:szCs w:val="18"/>
              </w:rPr>
            </w:pPr>
          </w:p>
        </w:tc>
        <w:tc>
          <w:tcPr>
            <w:tcW w:w="167" w:type="pct"/>
            <w:tcBorders>
              <w:top w:val="single" w:sz="2" w:space="0" w:color="0067AB"/>
              <w:left w:val="single" w:sz="2" w:space="0" w:color="0067AB"/>
              <w:bottom w:val="single" w:sz="2" w:space="0" w:color="0067AB"/>
              <w:right w:val="single" w:sz="12" w:space="0" w:color="0067AB"/>
            </w:tcBorders>
            <w:vAlign w:val="center"/>
          </w:tcPr>
          <w:p w14:paraId="3CE3A03B" w14:textId="77777777" w:rsidR="000C6C9E" w:rsidRPr="00B26E50" w:rsidRDefault="000C6C9E" w:rsidP="000C6C9E">
            <w:pPr>
              <w:pStyle w:val="TableTextNoSpace"/>
              <w:jc w:val="center"/>
              <w:rPr>
                <w:rFonts w:cs="Arial"/>
                <w:b/>
                <w:sz w:val="18"/>
                <w:szCs w:val="18"/>
              </w:rPr>
            </w:pPr>
          </w:p>
        </w:tc>
        <w:tc>
          <w:tcPr>
            <w:tcW w:w="159" w:type="pct"/>
            <w:tcBorders>
              <w:top w:val="single" w:sz="2" w:space="0" w:color="0067AB"/>
              <w:left w:val="single" w:sz="12" w:space="0" w:color="0067AB"/>
              <w:bottom w:val="single" w:sz="2" w:space="0" w:color="0067AB"/>
              <w:right w:val="single" w:sz="2" w:space="0" w:color="0067AB"/>
            </w:tcBorders>
            <w:vAlign w:val="center"/>
          </w:tcPr>
          <w:p w14:paraId="0386C716" w14:textId="3382E1C4"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54" w:type="pct"/>
            <w:tcBorders>
              <w:top w:val="single" w:sz="2" w:space="0" w:color="0067AB"/>
              <w:left w:val="single" w:sz="2" w:space="0" w:color="0067AB"/>
              <w:bottom w:val="single" w:sz="2" w:space="0" w:color="0067AB"/>
              <w:right w:val="single" w:sz="2" w:space="0" w:color="0067AB"/>
            </w:tcBorders>
            <w:vAlign w:val="center"/>
          </w:tcPr>
          <w:p w14:paraId="64904DB0" w14:textId="7EFAABDC"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47" w:type="pct"/>
            <w:tcBorders>
              <w:top w:val="single" w:sz="2" w:space="0" w:color="0067AB"/>
              <w:left w:val="single" w:sz="2" w:space="0" w:color="0067AB"/>
              <w:bottom w:val="single" w:sz="2" w:space="0" w:color="0067AB"/>
              <w:right w:val="single" w:sz="2" w:space="0" w:color="0067AB"/>
            </w:tcBorders>
            <w:vAlign w:val="center"/>
          </w:tcPr>
          <w:p w14:paraId="0F0149B5" w14:textId="269E3D16"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23" w:type="pct"/>
            <w:tcBorders>
              <w:top w:val="single" w:sz="2" w:space="0" w:color="0067AB"/>
              <w:left w:val="single" w:sz="2" w:space="0" w:color="0067AB"/>
              <w:bottom w:val="single" w:sz="2" w:space="0" w:color="0067AB"/>
              <w:right w:val="single" w:sz="2" w:space="0" w:color="0067AB"/>
            </w:tcBorders>
            <w:vAlign w:val="center"/>
          </w:tcPr>
          <w:p w14:paraId="3F756664" w14:textId="78DFE418" w:rsidR="000C6C9E" w:rsidRPr="00B26E50" w:rsidRDefault="000C6C9E" w:rsidP="000C6C9E">
            <w:pPr>
              <w:pStyle w:val="TableTextNoSpace"/>
              <w:jc w:val="center"/>
              <w:rPr>
                <w:rFonts w:cs="Arial"/>
                <w:b/>
                <w:sz w:val="18"/>
                <w:szCs w:val="18"/>
              </w:rPr>
            </w:pPr>
            <w:r w:rsidRPr="00B26E50">
              <w:rPr>
                <w:rFonts w:cs="Arial"/>
                <w:b/>
                <w:sz w:val="18"/>
                <w:szCs w:val="18"/>
              </w:rPr>
              <w:t>X</w:t>
            </w:r>
          </w:p>
        </w:tc>
      </w:tr>
      <w:tr w:rsidR="000C6C9E" w14:paraId="169E0348" w14:textId="77777777" w:rsidTr="00E1476F">
        <w:tc>
          <w:tcPr>
            <w:tcW w:w="783" w:type="pct"/>
            <w:tcBorders>
              <w:top w:val="single" w:sz="2" w:space="0" w:color="0067AB"/>
              <w:left w:val="single" w:sz="2" w:space="0" w:color="0067AB"/>
              <w:bottom w:val="single" w:sz="2" w:space="0" w:color="0067AB"/>
              <w:right w:val="single" w:sz="2" w:space="0" w:color="0067AB"/>
            </w:tcBorders>
          </w:tcPr>
          <w:p w14:paraId="146847BC" w14:textId="77777777" w:rsidR="000C6C9E" w:rsidRPr="00D60446" w:rsidRDefault="000C6C9E" w:rsidP="00120495">
            <w:pPr>
              <w:pStyle w:val="TableTextNoSpace"/>
              <w:jc w:val="left"/>
              <w:rPr>
                <w:rFonts w:asciiTheme="minorHAnsi" w:hAnsiTheme="minorHAnsi"/>
                <w:sz w:val="18"/>
                <w:szCs w:val="18"/>
              </w:rPr>
            </w:pPr>
            <w:r w:rsidRPr="00D60446">
              <w:rPr>
                <w:rFonts w:asciiTheme="minorHAnsi" w:hAnsiTheme="minorHAnsi"/>
                <w:sz w:val="18"/>
                <w:szCs w:val="18"/>
              </w:rPr>
              <w:t>Marketed products</w:t>
            </w:r>
          </w:p>
        </w:tc>
        <w:tc>
          <w:tcPr>
            <w:tcW w:w="171" w:type="pct"/>
            <w:tcBorders>
              <w:top w:val="single" w:sz="2" w:space="0" w:color="0067AB"/>
              <w:left w:val="single" w:sz="2" w:space="0" w:color="0067AB"/>
              <w:bottom w:val="single" w:sz="2" w:space="0" w:color="0067AB"/>
              <w:right w:val="single" w:sz="2" w:space="0" w:color="0067AB"/>
            </w:tcBorders>
            <w:vAlign w:val="center"/>
          </w:tcPr>
          <w:p w14:paraId="7F94A4ED" w14:textId="563423B7" w:rsidR="000C6C9E" w:rsidRPr="00CE4330" w:rsidRDefault="000C6C9E" w:rsidP="000C6C9E">
            <w:pPr>
              <w:pStyle w:val="TableTextNoSpace"/>
              <w:jc w:val="center"/>
              <w:rPr>
                <w:rFonts w:cs="Arial"/>
                <w:sz w:val="18"/>
                <w:szCs w:val="18"/>
              </w:rPr>
            </w:pPr>
          </w:p>
        </w:tc>
        <w:tc>
          <w:tcPr>
            <w:tcW w:w="172" w:type="pct"/>
            <w:tcBorders>
              <w:top w:val="single" w:sz="2" w:space="0" w:color="0067AB"/>
              <w:left w:val="single" w:sz="2" w:space="0" w:color="0067AB"/>
              <w:bottom w:val="single" w:sz="2" w:space="0" w:color="0067AB"/>
              <w:right w:val="single" w:sz="2" w:space="0" w:color="0067AB"/>
            </w:tcBorders>
            <w:vAlign w:val="center"/>
          </w:tcPr>
          <w:p w14:paraId="048809B1" w14:textId="6B56C481" w:rsidR="000C6C9E" w:rsidRPr="00CE4330" w:rsidRDefault="000C6C9E" w:rsidP="000C6C9E">
            <w:pPr>
              <w:pStyle w:val="TableTextNoSpace"/>
              <w:jc w:val="center"/>
              <w:rPr>
                <w:rFonts w:cs="Arial"/>
                <w:sz w:val="18"/>
                <w:szCs w:val="18"/>
              </w:rPr>
            </w:pPr>
            <w:r>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71E88CDC" w14:textId="077BE1ED" w:rsidR="000C6C9E" w:rsidRPr="00CE4330" w:rsidRDefault="000C6C9E" w:rsidP="000C6C9E">
            <w:pPr>
              <w:pStyle w:val="TableTextNoSpace"/>
              <w:jc w:val="center"/>
              <w:rPr>
                <w:rFonts w:cs="Arial"/>
                <w:sz w:val="18"/>
                <w:szCs w:val="18"/>
              </w:rPr>
            </w:pPr>
            <w:r>
              <w:rPr>
                <w:rFonts w:cs="Arial"/>
                <w:sz w:val="18"/>
                <w:szCs w:val="18"/>
              </w:rPr>
              <w:t>x</w:t>
            </w:r>
          </w:p>
        </w:tc>
        <w:tc>
          <w:tcPr>
            <w:tcW w:w="174" w:type="pct"/>
            <w:tcBorders>
              <w:top w:val="single" w:sz="2" w:space="0" w:color="0067AB"/>
              <w:left w:val="single" w:sz="2" w:space="0" w:color="0067AB"/>
              <w:bottom w:val="single" w:sz="2" w:space="0" w:color="0067AB"/>
              <w:right w:val="single" w:sz="12" w:space="0" w:color="0067AB"/>
            </w:tcBorders>
            <w:vAlign w:val="center"/>
          </w:tcPr>
          <w:p w14:paraId="0170D1A8" w14:textId="09F05BDD" w:rsidR="000C6C9E" w:rsidRPr="00CE4330" w:rsidRDefault="000C6C9E" w:rsidP="000C6C9E">
            <w:pPr>
              <w:pStyle w:val="TableTextNoSpace"/>
              <w:jc w:val="center"/>
              <w:rPr>
                <w:rFonts w:cs="Arial"/>
                <w:sz w:val="18"/>
                <w:szCs w:val="18"/>
              </w:rPr>
            </w:pPr>
            <w:r>
              <w:rPr>
                <w:rFonts w:cs="Arial"/>
                <w:sz w:val="18"/>
                <w:szCs w:val="18"/>
              </w:rPr>
              <w:t>x</w:t>
            </w:r>
          </w:p>
        </w:tc>
        <w:tc>
          <w:tcPr>
            <w:tcW w:w="172" w:type="pct"/>
            <w:tcBorders>
              <w:top w:val="single" w:sz="2" w:space="0" w:color="0067AB"/>
              <w:left w:val="single" w:sz="12" w:space="0" w:color="0067AB"/>
              <w:bottom w:val="single" w:sz="2" w:space="0" w:color="0067AB"/>
              <w:right w:val="single" w:sz="2" w:space="0" w:color="0067AB"/>
            </w:tcBorders>
            <w:vAlign w:val="center"/>
          </w:tcPr>
          <w:p w14:paraId="6027C5B6" w14:textId="0B6B791B" w:rsidR="000C6C9E" w:rsidRPr="00CE4330" w:rsidRDefault="000C6C9E" w:rsidP="000C6C9E">
            <w:pPr>
              <w:pStyle w:val="TableTextNoSpace"/>
              <w:jc w:val="center"/>
              <w:rPr>
                <w:rFonts w:cs="Arial"/>
                <w:sz w:val="18"/>
                <w:szCs w:val="18"/>
              </w:rPr>
            </w:pPr>
            <w:r>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70D8D359" w14:textId="06C7DBF4" w:rsidR="000C6C9E" w:rsidRPr="00CE4330" w:rsidRDefault="000C6C9E" w:rsidP="000C6C9E">
            <w:pPr>
              <w:pStyle w:val="TableTextNoSpace"/>
              <w:jc w:val="center"/>
              <w:rPr>
                <w:rFonts w:cs="Arial"/>
                <w:sz w:val="18"/>
                <w:szCs w:val="18"/>
              </w:rPr>
            </w:pPr>
            <w:r>
              <w:rPr>
                <w:rFonts w:cs="Arial"/>
                <w:sz w:val="18"/>
                <w:szCs w:val="18"/>
              </w:rPr>
              <w:t>x</w:t>
            </w:r>
          </w:p>
        </w:tc>
        <w:tc>
          <w:tcPr>
            <w:tcW w:w="172" w:type="pct"/>
            <w:tcBorders>
              <w:top w:val="single" w:sz="2" w:space="0" w:color="0067AB"/>
              <w:left w:val="single" w:sz="2" w:space="0" w:color="0067AB"/>
              <w:bottom w:val="single" w:sz="2" w:space="0" w:color="0067AB"/>
              <w:right w:val="single" w:sz="2" w:space="0" w:color="0067AB"/>
            </w:tcBorders>
            <w:vAlign w:val="center"/>
          </w:tcPr>
          <w:p w14:paraId="4930E8C7" w14:textId="58C9DD70" w:rsidR="000C6C9E" w:rsidRPr="00CE4330" w:rsidRDefault="000C6C9E" w:rsidP="000C6C9E">
            <w:pPr>
              <w:pStyle w:val="TableTextNoSpace"/>
              <w:jc w:val="center"/>
              <w:rPr>
                <w:rFonts w:cs="Arial"/>
                <w:sz w:val="18"/>
                <w:szCs w:val="18"/>
              </w:rPr>
            </w:pPr>
            <w:r>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745F0669" w14:textId="34E8572B" w:rsidR="000C6C9E" w:rsidRPr="00CE4330" w:rsidRDefault="000C6C9E" w:rsidP="000C6C9E">
            <w:pPr>
              <w:pStyle w:val="TableTextNoSpace"/>
              <w:jc w:val="center"/>
              <w:rPr>
                <w:rFonts w:cs="Arial"/>
                <w:sz w:val="18"/>
                <w:szCs w:val="18"/>
              </w:rPr>
            </w:pPr>
            <w:r>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7C85EE77" w14:textId="095D4B43" w:rsidR="000C6C9E" w:rsidRPr="00CE4330" w:rsidRDefault="000C6C9E" w:rsidP="000C6C9E">
            <w:pPr>
              <w:pStyle w:val="TableTextNoSpace"/>
              <w:jc w:val="center"/>
              <w:rPr>
                <w:rFonts w:cs="Arial"/>
                <w:sz w:val="18"/>
                <w:szCs w:val="18"/>
              </w:rPr>
            </w:pPr>
            <w:r>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391A430B" w14:textId="3C0AC5BB" w:rsidR="000C6C9E" w:rsidRPr="00CE4330" w:rsidRDefault="000C6C9E" w:rsidP="000C6C9E">
            <w:pPr>
              <w:pStyle w:val="TableTextNoSpace"/>
              <w:jc w:val="center"/>
              <w:rPr>
                <w:rFonts w:cs="Arial"/>
                <w:sz w:val="18"/>
                <w:szCs w:val="18"/>
              </w:rPr>
            </w:pPr>
            <w:r>
              <w:rPr>
                <w:rFonts w:cs="Arial"/>
                <w:sz w:val="18"/>
                <w:szCs w:val="18"/>
              </w:rPr>
              <w:t>x</w:t>
            </w:r>
          </w:p>
        </w:tc>
        <w:tc>
          <w:tcPr>
            <w:tcW w:w="172" w:type="pct"/>
            <w:tcBorders>
              <w:top w:val="single" w:sz="2" w:space="0" w:color="0067AB"/>
              <w:left w:val="single" w:sz="2" w:space="0" w:color="0067AB"/>
              <w:bottom w:val="single" w:sz="2" w:space="0" w:color="0067AB"/>
              <w:right w:val="single" w:sz="12" w:space="0" w:color="0067AB"/>
            </w:tcBorders>
            <w:vAlign w:val="center"/>
          </w:tcPr>
          <w:p w14:paraId="3F8AC18E" w14:textId="03E958D5" w:rsidR="000C6C9E" w:rsidRPr="00CE4330" w:rsidRDefault="000C6C9E" w:rsidP="000C6C9E">
            <w:pPr>
              <w:pStyle w:val="TableTextNoSpace"/>
              <w:jc w:val="center"/>
              <w:rPr>
                <w:rFonts w:cs="Arial"/>
                <w:sz w:val="18"/>
                <w:szCs w:val="18"/>
              </w:rPr>
            </w:pPr>
            <w:r>
              <w:rPr>
                <w:rFonts w:cs="Arial"/>
                <w:sz w:val="18"/>
                <w:szCs w:val="18"/>
              </w:rPr>
              <w:t>x</w:t>
            </w:r>
          </w:p>
        </w:tc>
        <w:tc>
          <w:tcPr>
            <w:tcW w:w="174" w:type="pct"/>
            <w:gridSpan w:val="2"/>
            <w:tcBorders>
              <w:top w:val="single" w:sz="2" w:space="0" w:color="0067AB"/>
              <w:left w:val="single" w:sz="12" w:space="0" w:color="0067AB"/>
              <w:bottom w:val="single" w:sz="2" w:space="0" w:color="0067AB"/>
              <w:right w:val="single" w:sz="2" w:space="0" w:color="0067AB"/>
            </w:tcBorders>
            <w:vAlign w:val="center"/>
          </w:tcPr>
          <w:p w14:paraId="49304624" w14:textId="6900E248" w:rsidR="000C6C9E" w:rsidRPr="00292E8F" w:rsidRDefault="000C6C9E" w:rsidP="000C6C9E">
            <w:pPr>
              <w:pStyle w:val="TableTextNoSpace"/>
              <w:jc w:val="center"/>
              <w:rPr>
                <w:rFonts w:cs="Arial"/>
                <w:b/>
                <w:sz w:val="18"/>
                <w:szCs w:val="18"/>
              </w:rPr>
            </w:pPr>
            <w:r>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5BFFBFF3" w14:textId="3A9178FC" w:rsidR="000C6C9E" w:rsidRPr="00CE4330" w:rsidRDefault="000C6C9E" w:rsidP="000C6C9E">
            <w:pPr>
              <w:pStyle w:val="TableTextNoSpace"/>
              <w:jc w:val="center"/>
              <w:rPr>
                <w:rFonts w:cs="Arial"/>
                <w:sz w:val="18"/>
                <w:szCs w:val="18"/>
              </w:rPr>
            </w:pPr>
            <w:r>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7D73A431" w14:textId="1C273706" w:rsidR="000C6C9E" w:rsidRPr="00CE4330" w:rsidRDefault="000C6C9E" w:rsidP="000C6C9E">
            <w:pPr>
              <w:pStyle w:val="TableTextNoSpace"/>
              <w:jc w:val="center"/>
              <w:rPr>
                <w:rFonts w:cs="Arial"/>
                <w:sz w:val="18"/>
                <w:szCs w:val="18"/>
              </w:rPr>
            </w:pPr>
            <w:r>
              <w:rPr>
                <w:rFonts w:cs="Arial"/>
                <w:b/>
                <w:sz w:val="18"/>
                <w:szCs w:val="18"/>
              </w:rPr>
              <w:t>X</w:t>
            </w:r>
          </w:p>
        </w:tc>
        <w:tc>
          <w:tcPr>
            <w:tcW w:w="172" w:type="pct"/>
            <w:tcBorders>
              <w:top w:val="single" w:sz="2" w:space="0" w:color="0067AB"/>
              <w:left w:val="single" w:sz="2" w:space="0" w:color="0067AB"/>
              <w:bottom w:val="single" w:sz="2" w:space="0" w:color="0067AB"/>
              <w:right w:val="single" w:sz="2" w:space="0" w:color="0067AB"/>
            </w:tcBorders>
            <w:vAlign w:val="center"/>
          </w:tcPr>
          <w:p w14:paraId="586EE09D" w14:textId="4DD76F17" w:rsidR="000C6C9E" w:rsidRPr="00CE4330" w:rsidRDefault="000C6C9E" w:rsidP="000C6C9E">
            <w:pPr>
              <w:pStyle w:val="TableTextNoSpace"/>
              <w:jc w:val="center"/>
              <w:rPr>
                <w:rFonts w:cs="Arial"/>
                <w:sz w:val="18"/>
                <w:szCs w:val="18"/>
              </w:rPr>
            </w:pPr>
            <w:r>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30ABC7C5" w14:textId="738BE485" w:rsidR="000C6C9E" w:rsidRPr="00CE4330" w:rsidRDefault="000C6C9E" w:rsidP="000C6C9E">
            <w:pPr>
              <w:pStyle w:val="TableTextNoSpace"/>
              <w:jc w:val="center"/>
              <w:rPr>
                <w:rFonts w:cs="Arial"/>
                <w:sz w:val="18"/>
                <w:szCs w:val="18"/>
              </w:rPr>
            </w:pPr>
            <w:r>
              <w:rPr>
                <w:rFonts w:cs="Arial"/>
                <w:sz w:val="18"/>
                <w:szCs w:val="18"/>
              </w:rPr>
              <w:t>x</w:t>
            </w:r>
          </w:p>
        </w:tc>
        <w:tc>
          <w:tcPr>
            <w:tcW w:w="185" w:type="pct"/>
            <w:tcBorders>
              <w:top w:val="single" w:sz="2" w:space="0" w:color="0067AB"/>
              <w:left w:val="single" w:sz="2" w:space="0" w:color="0067AB"/>
              <w:bottom w:val="single" w:sz="2" w:space="0" w:color="0067AB"/>
              <w:right w:val="single" w:sz="2" w:space="0" w:color="0067AB"/>
            </w:tcBorders>
            <w:vAlign w:val="center"/>
          </w:tcPr>
          <w:p w14:paraId="491B9726" w14:textId="0950A9EC" w:rsidR="000C6C9E" w:rsidRPr="00CE4330" w:rsidRDefault="000C6C9E" w:rsidP="000C6C9E">
            <w:pPr>
              <w:pStyle w:val="TableTextNoSpace"/>
              <w:jc w:val="center"/>
              <w:rPr>
                <w:rFonts w:cs="Arial"/>
                <w:sz w:val="18"/>
                <w:szCs w:val="18"/>
              </w:rPr>
            </w:pPr>
            <w:r>
              <w:rPr>
                <w:rFonts w:cs="Arial"/>
                <w:sz w:val="18"/>
                <w:szCs w:val="18"/>
              </w:rPr>
              <w:t>x</w:t>
            </w:r>
          </w:p>
        </w:tc>
        <w:tc>
          <w:tcPr>
            <w:tcW w:w="177" w:type="pct"/>
            <w:tcBorders>
              <w:top w:val="single" w:sz="2" w:space="0" w:color="0067AB"/>
              <w:left w:val="single" w:sz="2" w:space="0" w:color="0067AB"/>
              <w:bottom w:val="single" w:sz="2" w:space="0" w:color="0067AB"/>
              <w:right w:val="single" w:sz="2" w:space="0" w:color="0067AB"/>
            </w:tcBorders>
            <w:vAlign w:val="center"/>
          </w:tcPr>
          <w:p w14:paraId="42826AB1" w14:textId="078002B4" w:rsidR="000C6C9E" w:rsidRPr="00CE4330" w:rsidRDefault="000C6C9E" w:rsidP="000C6C9E">
            <w:pPr>
              <w:pStyle w:val="TableTextNoSpace"/>
              <w:jc w:val="center"/>
              <w:rPr>
                <w:rFonts w:cs="Arial"/>
                <w:sz w:val="18"/>
                <w:szCs w:val="18"/>
              </w:rPr>
            </w:pPr>
            <w:r>
              <w:rPr>
                <w:rFonts w:cs="Arial"/>
                <w:sz w:val="18"/>
                <w:szCs w:val="18"/>
              </w:rPr>
              <w:t>x</w:t>
            </w:r>
          </w:p>
        </w:tc>
        <w:tc>
          <w:tcPr>
            <w:tcW w:w="171" w:type="pct"/>
            <w:tcBorders>
              <w:top w:val="single" w:sz="2" w:space="0" w:color="0067AB"/>
              <w:left w:val="single" w:sz="2" w:space="0" w:color="0067AB"/>
              <w:bottom w:val="single" w:sz="2" w:space="0" w:color="0067AB"/>
              <w:right w:val="single" w:sz="2" w:space="0" w:color="0067AB"/>
            </w:tcBorders>
            <w:vAlign w:val="center"/>
          </w:tcPr>
          <w:p w14:paraId="2043D2A2" w14:textId="10009643" w:rsidR="000C6C9E" w:rsidRPr="00CE4330" w:rsidRDefault="000C6C9E" w:rsidP="000C6C9E">
            <w:pPr>
              <w:pStyle w:val="TableTextNoSpace"/>
              <w:jc w:val="center"/>
              <w:rPr>
                <w:rFonts w:cs="Arial"/>
                <w:sz w:val="18"/>
                <w:szCs w:val="18"/>
              </w:rPr>
            </w:pPr>
            <w:r>
              <w:rPr>
                <w:rFonts w:cs="Arial"/>
                <w:sz w:val="18"/>
                <w:szCs w:val="18"/>
              </w:rPr>
              <w:t>x</w:t>
            </w:r>
          </w:p>
        </w:tc>
        <w:tc>
          <w:tcPr>
            <w:tcW w:w="171" w:type="pct"/>
            <w:tcBorders>
              <w:top w:val="single" w:sz="2" w:space="0" w:color="0067AB"/>
              <w:left w:val="single" w:sz="2" w:space="0" w:color="0067AB"/>
              <w:bottom w:val="single" w:sz="2" w:space="0" w:color="0067AB"/>
              <w:right w:val="single" w:sz="2" w:space="0" w:color="0067AB"/>
            </w:tcBorders>
            <w:vAlign w:val="center"/>
          </w:tcPr>
          <w:p w14:paraId="64F44B85" w14:textId="130B4111" w:rsidR="000C6C9E" w:rsidRPr="00CE4330" w:rsidRDefault="000C6C9E" w:rsidP="000C6C9E">
            <w:pPr>
              <w:pStyle w:val="TableTextNoSpace"/>
              <w:jc w:val="center"/>
              <w:rPr>
                <w:rFonts w:cs="Arial"/>
                <w:sz w:val="18"/>
                <w:szCs w:val="18"/>
              </w:rPr>
            </w:pPr>
            <w:r>
              <w:rPr>
                <w:rFonts w:cs="Arial"/>
                <w:sz w:val="18"/>
                <w:szCs w:val="18"/>
              </w:rPr>
              <w:t>x</w:t>
            </w:r>
          </w:p>
        </w:tc>
        <w:tc>
          <w:tcPr>
            <w:tcW w:w="167" w:type="pct"/>
            <w:tcBorders>
              <w:top w:val="single" w:sz="2" w:space="0" w:color="0067AB"/>
              <w:left w:val="single" w:sz="2" w:space="0" w:color="0067AB"/>
              <w:bottom w:val="single" w:sz="2" w:space="0" w:color="0067AB"/>
              <w:right w:val="single" w:sz="12" w:space="0" w:color="0067AB"/>
            </w:tcBorders>
            <w:vAlign w:val="center"/>
          </w:tcPr>
          <w:p w14:paraId="0B020FC7" w14:textId="1782C2EF" w:rsidR="000C6C9E" w:rsidRPr="00CE4330" w:rsidRDefault="000C6C9E" w:rsidP="000C6C9E">
            <w:pPr>
              <w:pStyle w:val="TableTextNoSpace"/>
              <w:jc w:val="center"/>
              <w:rPr>
                <w:rFonts w:cs="Arial"/>
                <w:sz w:val="18"/>
                <w:szCs w:val="18"/>
              </w:rPr>
            </w:pPr>
            <w:r>
              <w:rPr>
                <w:rFonts w:cs="Arial"/>
                <w:sz w:val="18"/>
                <w:szCs w:val="18"/>
              </w:rPr>
              <w:t>x</w:t>
            </w:r>
          </w:p>
        </w:tc>
        <w:tc>
          <w:tcPr>
            <w:tcW w:w="159" w:type="pct"/>
            <w:tcBorders>
              <w:top w:val="single" w:sz="2" w:space="0" w:color="0067AB"/>
              <w:left w:val="single" w:sz="12" w:space="0" w:color="0067AB"/>
              <w:bottom w:val="single" w:sz="2" w:space="0" w:color="0067AB"/>
              <w:right w:val="single" w:sz="2" w:space="0" w:color="0067AB"/>
            </w:tcBorders>
            <w:vAlign w:val="center"/>
          </w:tcPr>
          <w:p w14:paraId="6923EC54" w14:textId="339C1540" w:rsidR="000C6C9E" w:rsidRPr="00CE4330" w:rsidRDefault="000C6C9E" w:rsidP="000C6C9E">
            <w:pPr>
              <w:pStyle w:val="TableTextNoSpace"/>
              <w:jc w:val="center"/>
              <w:rPr>
                <w:rFonts w:cs="Arial"/>
                <w:sz w:val="18"/>
                <w:szCs w:val="18"/>
              </w:rPr>
            </w:pPr>
            <w:r>
              <w:rPr>
                <w:rFonts w:cs="Arial"/>
                <w:b/>
                <w:sz w:val="18"/>
                <w:szCs w:val="18"/>
              </w:rPr>
              <w:t>X</w:t>
            </w:r>
          </w:p>
        </w:tc>
        <w:tc>
          <w:tcPr>
            <w:tcW w:w="154" w:type="pct"/>
            <w:tcBorders>
              <w:top w:val="single" w:sz="2" w:space="0" w:color="0067AB"/>
              <w:left w:val="single" w:sz="2" w:space="0" w:color="0067AB"/>
              <w:bottom w:val="single" w:sz="2" w:space="0" w:color="0067AB"/>
              <w:right w:val="single" w:sz="2" w:space="0" w:color="0067AB"/>
            </w:tcBorders>
            <w:vAlign w:val="center"/>
          </w:tcPr>
          <w:p w14:paraId="222E44B5" w14:textId="74221493" w:rsidR="000C6C9E" w:rsidRPr="00CE4330" w:rsidRDefault="000C6C9E" w:rsidP="000C6C9E">
            <w:pPr>
              <w:pStyle w:val="TableTextNoSpace"/>
              <w:jc w:val="center"/>
              <w:rPr>
                <w:rFonts w:cs="Arial"/>
                <w:sz w:val="18"/>
                <w:szCs w:val="18"/>
              </w:rPr>
            </w:pPr>
            <w:r>
              <w:rPr>
                <w:rFonts w:cs="Arial"/>
                <w:sz w:val="18"/>
                <w:szCs w:val="18"/>
              </w:rPr>
              <w:t>x</w:t>
            </w:r>
          </w:p>
        </w:tc>
        <w:tc>
          <w:tcPr>
            <w:tcW w:w="147" w:type="pct"/>
            <w:tcBorders>
              <w:top w:val="single" w:sz="2" w:space="0" w:color="0067AB"/>
              <w:left w:val="single" w:sz="2" w:space="0" w:color="0067AB"/>
              <w:bottom w:val="single" w:sz="2" w:space="0" w:color="0067AB"/>
              <w:right w:val="single" w:sz="2" w:space="0" w:color="0067AB"/>
            </w:tcBorders>
            <w:vAlign w:val="center"/>
          </w:tcPr>
          <w:p w14:paraId="640EA6B3" w14:textId="0D021446" w:rsidR="000C6C9E" w:rsidRPr="00CE4330" w:rsidRDefault="000C6C9E" w:rsidP="000C6C9E">
            <w:pPr>
              <w:pStyle w:val="TableTextNoSpace"/>
              <w:jc w:val="center"/>
              <w:rPr>
                <w:rFonts w:cs="Arial"/>
                <w:sz w:val="18"/>
                <w:szCs w:val="18"/>
              </w:rPr>
            </w:pPr>
            <w:r>
              <w:rPr>
                <w:rFonts w:cs="Arial"/>
                <w:b/>
                <w:sz w:val="18"/>
                <w:szCs w:val="18"/>
              </w:rPr>
              <w:t>X</w:t>
            </w:r>
          </w:p>
        </w:tc>
        <w:tc>
          <w:tcPr>
            <w:tcW w:w="123" w:type="pct"/>
            <w:tcBorders>
              <w:top w:val="single" w:sz="2" w:space="0" w:color="0067AB"/>
              <w:left w:val="single" w:sz="2" w:space="0" w:color="0067AB"/>
              <w:bottom w:val="single" w:sz="2" w:space="0" w:color="0067AB"/>
              <w:right w:val="single" w:sz="2" w:space="0" w:color="0067AB"/>
            </w:tcBorders>
            <w:vAlign w:val="center"/>
          </w:tcPr>
          <w:p w14:paraId="211DFDCA" w14:textId="56037183" w:rsidR="000C6C9E" w:rsidRPr="00CE4330" w:rsidRDefault="000C6C9E" w:rsidP="000C6C9E">
            <w:pPr>
              <w:pStyle w:val="TableTextNoSpace"/>
              <w:jc w:val="center"/>
              <w:rPr>
                <w:rFonts w:cs="Arial"/>
                <w:sz w:val="18"/>
                <w:szCs w:val="18"/>
              </w:rPr>
            </w:pPr>
            <w:r>
              <w:rPr>
                <w:rFonts w:cs="Arial"/>
                <w:b/>
                <w:sz w:val="18"/>
                <w:szCs w:val="18"/>
              </w:rPr>
              <w:t>X</w:t>
            </w:r>
          </w:p>
        </w:tc>
      </w:tr>
      <w:tr w:rsidR="000C6C9E" w14:paraId="41806F0A" w14:textId="77777777" w:rsidTr="00E1476F">
        <w:tc>
          <w:tcPr>
            <w:tcW w:w="783" w:type="pct"/>
            <w:tcBorders>
              <w:top w:val="single" w:sz="2" w:space="0" w:color="0067AB"/>
              <w:left w:val="single" w:sz="2" w:space="0" w:color="0067AB"/>
              <w:bottom w:val="single" w:sz="2" w:space="0" w:color="0067AB"/>
              <w:right w:val="single" w:sz="2" w:space="0" w:color="0067AB"/>
            </w:tcBorders>
          </w:tcPr>
          <w:p w14:paraId="728F6EC3" w14:textId="46FA28E0" w:rsidR="000C6C9E" w:rsidRPr="00D60446" w:rsidRDefault="000C6C9E" w:rsidP="00120495">
            <w:pPr>
              <w:pStyle w:val="TableTextNoSpace"/>
              <w:jc w:val="left"/>
              <w:rPr>
                <w:rFonts w:asciiTheme="minorHAnsi" w:hAnsiTheme="minorHAnsi"/>
                <w:sz w:val="18"/>
                <w:szCs w:val="18"/>
              </w:rPr>
            </w:pPr>
            <w:r>
              <w:rPr>
                <w:rFonts w:asciiTheme="minorHAnsi" w:hAnsiTheme="minorHAnsi"/>
                <w:sz w:val="18"/>
                <w:szCs w:val="18"/>
              </w:rPr>
              <w:t>Payments for ecosystem services (PES)</w:t>
            </w:r>
          </w:p>
        </w:tc>
        <w:tc>
          <w:tcPr>
            <w:tcW w:w="171" w:type="pct"/>
            <w:tcBorders>
              <w:top w:val="single" w:sz="2" w:space="0" w:color="0067AB"/>
              <w:left w:val="single" w:sz="2" w:space="0" w:color="0067AB"/>
              <w:bottom w:val="single" w:sz="2" w:space="0" w:color="0067AB"/>
              <w:right w:val="single" w:sz="2" w:space="0" w:color="0067AB"/>
            </w:tcBorders>
            <w:vAlign w:val="center"/>
          </w:tcPr>
          <w:p w14:paraId="03991FFC" w14:textId="77777777" w:rsidR="000C6C9E" w:rsidRPr="00CE4330" w:rsidRDefault="000C6C9E" w:rsidP="000C6C9E">
            <w:pPr>
              <w:pStyle w:val="TableTextNoSpace"/>
              <w:jc w:val="center"/>
              <w:rPr>
                <w:rFonts w:cs="Arial"/>
                <w:sz w:val="18"/>
                <w:szCs w:val="18"/>
              </w:rPr>
            </w:pPr>
          </w:p>
        </w:tc>
        <w:tc>
          <w:tcPr>
            <w:tcW w:w="172" w:type="pct"/>
            <w:tcBorders>
              <w:top w:val="single" w:sz="2" w:space="0" w:color="0067AB"/>
              <w:left w:val="single" w:sz="2" w:space="0" w:color="0067AB"/>
              <w:bottom w:val="single" w:sz="2" w:space="0" w:color="0067AB"/>
              <w:right w:val="single" w:sz="2" w:space="0" w:color="0067AB"/>
            </w:tcBorders>
            <w:vAlign w:val="center"/>
          </w:tcPr>
          <w:p w14:paraId="246CC4D0" w14:textId="77777777" w:rsidR="000C6C9E" w:rsidRPr="00CE4330" w:rsidRDefault="000C6C9E" w:rsidP="000C6C9E">
            <w:pPr>
              <w:pStyle w:val="TableTextNoSpace"/>
              <w:jc w:val="center"/>
              <w:rPr>
                <w:rFonts w:cs="Arial"/>
                <w:sz w:val="18"/>
                <w:szCs w:val="18"/>
              </w:rPr>
            </w:pPr>
          </w:p>
        </w:tc>
        <w:tc>
          <w:tcPr>
            <w:tcW w:w="173" w:type="pct"/>
            <w:tcBorders>
              <w:top w:val="single" w:sz="2" w:space="0" w:color="0067AB"/>
              <w:left w:val="single" w:sz="2" w:space="0" w:color="0067AB"/>
              <w:bottom w:val="single" w:sz="2" w:space="0" w:color="0067AB"/>
              <w:right w:val="single" w:sz="2" w:space="0" w:color="0067AB"/>
            </w:tcBorders>
            <w:vAlign w:val="center"/>
          </w:tcPr>
          <w:p w14:paraId="7BC7373A" w14:textId="77777777" w:rsidR="000C6C9E" w:rsidRPr="00CE4330" w:rsidRDefault="000C6C9E" w:rsidP="000C6C9E">
            <w:pPr>
              <w:pStyle w:val="TableTextNoSpace"/>
              <w:jc w:val="center"/>
              <w:rPr>
                <w:rFonts w:cs="Arial"/>
                <w:sz w:val="18"/>
                <w:szCs w:val="18"/>
              </w:rPr>
            </w:pPr>
          </w:p>
        </w:tc>
        <w:tc>
          <w:tcPr>
            <w:tcW w:w="174" w:type="pct"/>
            <w:tcBorders>
              <w:top w:val="single" w:sz="2" w:space="0" w:color="0067AB"/>
              <w:left w:val="single" w:sz="2" w:space="0" w:color="0067AB"/>
              <w:bottom w:val="single" w:sz="2" w:space="0" w:color="0067AB"/>
              <w:right w:val="single" w:sz="12" w:space="0" w:color="0067AB"/>
            </w:tcBorders>
            <w:vAlign w:val="center"/>
          </w:tcPr>
          <w:p w14:paraId="249E99D8" w14:textId="67DFF6BA"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2" w:type="pct"/>
            <w:tcBorders>
              <w:top w:val="single" w:sz="2" w:space="0" w:color="0067AB"/>
              <w:left w:val="single" w:sz="12" w:space="0" w:color="0067AB"/>
              <w:bottom w:val="single" w:sz="2" w:space="0" w:color="0067AB"/>
              <w:right w:val="single" w:sz="2" w:space="0" w:color="0067AB"/>
            </w:tcBorders>
            <w:vAlign w:val="center"/>
          </w:tcPr>
          <w:p w14:paraId="7380AAFD" w14:textId="3E2C4659" w:rsidR="000C6C9E" w:rsidRPr="00CE4330" w:rsidRDefault="000C6C9E" w:rsidP="000C6C9E">
            <w:pPr>
              <w:pStyle w:val="TableTextNoSpace"/>
              <w:jc w:val="center"/>
              <w:rPr>
                <w:rFonts w:cs="Arial"/>
                <w:sz w:val="18"/>
                <w:szCs w:val="18"/>
              </w:rPr>
            </w:pPr>
            <w:r>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2A2C9C9B" w14:textId="77777777" w:rsidR="000C6C9E" w:rsidRPr="00CE4330" w:rsidRDefault="000C6C9E" w:rsidP="000C6C9E">
            <w:pPr>
              <w:pStyle w:val="TableTextNoSpace"/>
              <w:jc w:val="center"/>
              <w:rPr>
                <w:rFonts w:cs="Arial"/>
                <w:sz w:val="18"/>
                <w:szCs w:val="18"/>
              </w:rPr>
            </w:pPr>
          </w:p>
        </w:tc>
        <w:tc>
          <w:tcPr>
            <w:tcW w:w="172" w:type="pct"/>
            <w:tcBorders>
              <w:top w:val="single" w:sz="2" w:space="0" w:color="0067AB"/>
              <w:left w:val="single" w:sz="2" w:space="0" w:color="0067AB"/>
              <w:bottom w:val="single" w:sz="2" w:space="0" w:color="0067AB"/>
              <w:right w:val="single" w:sz="2" w:space="0" w:color="0067AB"/>
            </w:tcBorders>
            <w:vAlign w:val="center"/>
          </w:tcPr>
          <w:p w14:paraId="0C80A0FB" w14:textId="77777777" w:rsidR="000C6C9E" w:rsidRPr="00CE4330" w:rsidRDefault="000C6C9E" w:rsidP="000C6C9E">
            <w:pPr>
              <w:pStyle w:val="TableTextNoSpace"/>
              <w:jc w:val="center"/>
              <w:rPr>
                <w:rFonts w:cs="Arial"/>
                <w:sz w:val="18"/>
                <w:szCs w:val="18"/>
              </w:rPr>
            </w:pPr>
          </w:p>
        </w:tc>
        <w:tc>
          <w:tcPr>
            <w:tcW w:w="173" w:type="pct"/>
            <w:tcBorders>
              <w:top w:val="single" w:sz="2" w:space="0" w:color="0067AB"/>
              <w:left w:val="single" w:sz="2" w:space="0" w:color="0067AB"/>
              <w:bottom w:val="single" w:sz="2" w:space="0" w:color="0067AB"/>
              <w:right w:val="single" w:sz="2" w:space="0" w:color="0067AB"/>
            </w:tcBorders>
            <w:vAlign w:val="center"/>
          </w:tcPr>
          <w:p w14:paraId="3DAC7947" w14:textId="11F6C659" w:rsidR="000C6C9E" w:rsidRPr="00CE4330" w:rsidRDefault="000C6C9E" w:rsidP="000C6C9E">
            <w:pPr>
              <w:pStyle w:val="TableTextNoSpace"/>
              <w:jc w:val="center"/>
              <w:rPr>
                <w:rFonts w:cs="Arial"/>
                <w:sz w:val="18"/>
                <w:szCs w:val="18"/>
              </w:rPr>
            </w:pPr>
            <w:r>
              <w:rPr>
                <w:rFonts w:cs="Arial"/>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1CB56632" w14:textId="77777777" w:rsidR="000C6C9E" w:rsidRPr="00CE4330" w:rsidRDefault="000C6C9E" w:rsidP="000C6C9E">
            <w:pPr>
              <w:pStyle w:val="TableTextNoSpace"/>
              <w:jc w:val="center"/>
              <w:rPr>
                <w:rFonts w:cs="Arial"/>
                <w:sz w:val="18"/>
                <w:szCs w:val="18"/>
              </w:rPr>
            </w:pPr>
          </w:p>
        </w:tc>
        <w:tc>
          <w:tcPr>
            <w:tcW w:w="173" w:type="pct"/>
            <w:tcBorders>
              <w:top w:val="single" w:sz="2" w:space="0" w:color="0067AB"/>
              <w:left w:val="single" w:sz="2" w:space="0" w:color="0067AB"/>
              <w:bottom w:val="single" w:sz="2" w:space="0" w:color="0067AB"/>
              <w:right w:val="single" w:sz="2" w:space="0" w:color="0067AB"/>
            </w:tcBorders>
            <w:vAlign w:val="center"/>
          </w:tcPr>
          <w:p w14:paraId="761E57FD" w14:textId="77777777" w:rsidR="000C6C9E" w:rsidRPr="00CE4330" w:rsidRDefault="000C6C9E" w:rsidP="000C6C9E">
            <w:pPr>
              <w:pStyle w:val="TableTextNoSpace"/>
              <w:jc w:val="center"/>
              <w:rPr>
                <w:rFonts w:cs="Arial"/>
                <w:sz w:val="18"/>
                <w:szCs w:val="18"/>
              </w:rPr>
            </w:pPr>
          </w:p>
        </w:tc>
        <w:tc>
          <w:tcPr>
            <w:tcW w:w="172" w:type="pct"/>
            <w:tcBorders>
              <w:top w:val="single" w:sz="2" w:space="0" w:color="0067AB"/>
              <w:left w:val="single" w:sz="2" w:space="0" w:color="0067AB"/>
              <w:bottom w:val="single" w:sz="2" w:space="0" w:color="0067AB"/>
              <w:right w:val="single" w:sz="12" w:space="0" w:color="0067AB"/>
            </w:tcBorders>
            <w:vAlign w:val="center"/>
          </w:tcPr>
          <w:p w14:paraId="05227E39" w14:textId="77777777" w:rsidR="000C6C9E" w:rsidRPr="00CE4330" w:rsidRDefault="000C6C9E" w:rsidP="000C6C9E">
            <w:pPr>
              <w:pStyle w:val="TableTextNoSpace"/>
              <w:jc w:val="center"/>
              <w:rPr>
                <w:rFonts w:cs="Arial"/>
                <w:sz w:val="18"/>
                <w:szCs w:val="18"/>
              </w:rPr>
            </w:pPr>
          </w:p>
        </w:tc>
        <w:tc>
          <w:tcPr>
            <w:tcW w:w="174" w:type="pct"/>
            <w:gridSpan w:val="2"/>
            <w:tcBorders>
              <w:top w:val="single" w:sz="2" w:space="0" w:color="0067AB"/>
              <w:left w:val="single" w:sz="12" w:space="0" w:color="0067AB"/>
              <w:bottom w:val="single" w:sz="2" w:space="0" w:color="0067AB"/>
              <w:right w:val="single" w:sz="2" w:space="0" w:color="0067AB"/>
            </w:tcBorders>
            <w:vAlign w:val="center"/>
          </w:tcPr>
          <w:p w14:paraId="1751072F" w14:textId="78F26623"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1A8D4B93" w14:textId="394F3C14"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39991467" w14:textId="68B5BBD4"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2" w:type="pct"/>
            <w:tcBorders>
              <w:top w:val="single" w:sz="2" w:space="0" w:color="0067AB"/>
              <w:left w:val="single" w:sz="2" w:space="0" w:color="0067AB"/>
              <w:bottom w:val="single" w:sz="2" w:space="0" w:color="0067AB"/>
              <w:right w:val="single" w:sz="2" w:space="0" w:color="0067AB"/>
            </w:tcBorders>
            <w:vAlign w:val="center"/>
          </w:tcPr>
          <w:p w14:paraId="40B090A1" w14:textId="7DDF41BB"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3" w:type="pct"/>
            <w:tcBorders>
              <w:top w:val="single" w:sz="2" w:space="0" w:color="0067AB"/>
              <w:left w:val="single" w:sz="2" w:space="0" w:color="0067AB"/>
              <w:bottom w:val="single" w:sz="2" w:space="0" w:color="0067AB"/>
              <w:right w:val="single" w:sz="2" w:space="0" w:color="0067AB"/>
            </w:tcBorders>
            <w:vAlign w:val="center"/>
          </w:tcPr>
          <w:p w14:paraId="50A948D4" w14:textId="20A2B622"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85" w:type="pct"/>
            <w:tcBorders>
              <w:top w:val="single" w:sz="2" w:space="0" w:color="0067AB"/>
              <w:left w:val="single" w:sz="2" w:space="0" w:color="0067AB"/>
              <w:bottom w:val="single" w:sz="2" w:space="0" w:color="0067AB"/>
              <w:right w:val="single" w:sz="2" w:space="0" w:color="0067AB"/>
            </w:tcBorders>
            <w:vAlign w:val="center"/>
          </w:tcPr>
          <w:p w14:paraId="095BCCC7" w14:textId="11F67E0D"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7" w:type="pct"/>
            <w:tcBorders>
              <w:top w:val="single" w:sz="2" w:space="0" w:color="0067AB"/>
              <w:left w:val="single" w:sz="2" w:space="0" w:color="0067AB"/>
              <w:bottom w:val="single" w:sz="2" w:space="0" w:color="0067AB"/>
              <w:right w:val="single" w:sz="2" w:space="0" w:color="0067AB"/>
            </w:tcBorders>
            <w:vAlign w:val="center"/>
          </w:tcPr>
          <w:p w14:paraId="21CBA704" w14:textId="04760DDE"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71" w:type="pct"/>
            <w:tcBorders>
              <w:top w:val="single" w:sz="2" w:space="0" w:color="0067AB"/>
              <w:left w:val="single" w:sz="2" w:space="0" w:color="0067AB"/>
              <w:bottom w:val="single" w:sz="2" w:space="0" w:color="0067AB"/>
              <w:right w:val="single" w:sz="2" w:space="0" w:color="0067AB"/>
            </w:tcBorders>
            <w:vAlign w:val="center"/>
          </w:tcPr>
          <w:p w14:paraId="1CD30B30" w14:textId="77777777" w:rsidR="000C6C9E" w:rsidRPr="00B26E50" w:rsidRDefault="000C6C9E" w:rsidP="000C6C9E">
            <w:pPr>
              <w:pStyle w:val="TableTextNoSpace"/>
              <w:jc w:val="center"/>
              <w:rPr>
                <w:rFonts w:cs="Arial"/>
                <w:b/>
                <w:sz w:val="18"/>
                <w:szCs w:val="18"/>
              </w:rPr>
            </w:pPr>
          </w:p>
        </w:tc>
        <w:tc>
          <w:tcPr>
            <w:tcW w:w="171" w:type="pct"/>
            <w:tcBorders>
              <w:top w:val="single" w:sz="2" w:space="0" w:color="0067AB"/>
              <w:left w:val="single" w:sz="2" w:space="0" w:color="0067AB"/>
              <w:bottom w:val="single" w:sz="2" w:space="0" w:color="0067AB"/>
              <w:right w:val="single" w:sz="2" w:space="0" w:color="0067AB"/>
            </w:tcBorders>
            <w:vAlign w:val="center"/>
          </w:tcPr>
          <w:p w14:paraId="6760F5E5" w14:textId="77777777" w:rsidR="000C6C9E" w:rsidRPr="00B26E50" w:rsidRDefault="000C6C9E" w:rsidP="000C6C9E">
            <w:pPr>
              <w:pStyle w:val="TableTextNoSpace"/>
              <w:jc w:val="center"/>
              <w:rPr>
                <w:rFonts w:cs="Arial"/>
                <w:b/>
                <w:sz w:val="18"/>
                <w:szCs w:val="18"/>
              </w:rPr>
            </w:pPr>
          </w:p>
        </w:tc>
        <w:tc>
          <w:tcPr>
            <w:tcW w:w="167" w:type="pct"/>
            <w:tcBorders>
              <w:top w:val="single" w:sz="2" w:space="0" w:color="0067AB"/>
              <w:left w:val="single" w:sz="2" w:space="0" w:color="0067AB"/>
              <w:bottom w:val="single" w:sz="2" w:space="0" w:color="0067AB"/>
              <w:right w:val="single" w:sz="12" w:space="0" w:color="0067AB"/>
            </w:tcBorders>
            <w:vAlign w:val="center"/>
          </w:tcPr>
          <w:p w14:paraId="0DC63AA5" w14:textId="77777777" w:rsidR="000C6C9E" w:rsidRPr="00B26E50" w:rsidRDefault="000C6C9E" w:rsidP="000C6C9E">
            <w:pPr>
              <w:pStyle w:val="TableTextNoSpace"/>
              <w:jc w:val="center"/>
              <w:rPr>
                <w:rFonts w:cs="Arial"/>
                <w:b/>
                <w:sz w:val="18"/>
                <w:szCs w:val="18"/>
              </w:rPr>
            </w:pPr>
          </w:p>
        </w:tc>
        <w:tc>
          <w:tcPr>
            <w:tcW w:w="159" w:type="pct"/>
            <w:tcBorders>
              <w:top w:val="single" w:sz="2" w:space="0" w:color="0067AB"/>
              <w:left w:val="single" w:sz="12" w:space="0" w:color="0067AB"/>
              <w:bottom w:val="single" w:sz="2" w:space="0" w:color="0067AB"/>
              <w:right w:val="single" w:sz="2" w:space="0" w:color="0067AB"/>
            </w:tcBorders>
            <w:vAlign w:val="center"/>
          </w:tcPr>
          <w:p w14:paraId="08C4875D" w14:textId="77777777" w:rsidR="000C6C9E" w:rsidRPr="00B26E50" w:rsidRDefault="000C6C9E" w:rsidP="000C6C9E">
            <w:pPr>
              <w:pStyle w:val="TableTextNoSpace"/>
              <w:jc w:val="center"/>
              <w:rPr>
                <w:rFonts w:cs="Arial"/>
                <w:b/>
                <w:sz w:val="18"/>
                <w:szCs w:val="18"/>
              </w:rPr>
            </w:pPr>
          </w:p>
        </w:tc>
        <w:tc>
          <w:tcPr>
            <w:tcW w:w="154" w:type="pct"/>
            <w:tcBorders>
              <w:top w:val="single" w:sz="2" w:space="0" w:color="0067AB"/>
              <w:left w:val="single" w:sz="2" w:space="0" w:color="0067AB"/>
              <w:bottom w:val="single" w:sz="2" w:space="0" w:color="0067AB"/>
              <w:right w:val="single" w:sz="2" w:space="0" w:color="0067AB"/>
            </w:tcBorders>
            <w:vAlign w:val="center"/>
          </w:tcPr>
          <w:p w14:paraId="7689AFD5" w14:textId="77777777" w:rsidR="000C6C9E" w:rsidRPr="00B26E50" w:rsidRDefault="000C6C9E" w:rsidP="000C6C9E">
            <w:pPr>
              <w:pStyle w:val="TableTextNoSpace"/>
              <w:jc w:val="center"/>
              <w:rPr>
                <w:rFonts w:cs="Arial"/>
                <w:b/>
                <w:sz w:val="18"/>
                <w:szCs w:val="18"/>
              </w:rPr>
            </w:pPr>
          </w:p>
        </w:tc>
        <w:tc>
          <w:tcPr>
            <w:tcW w:w="147" w:type="pct"/>
            <w:tcBorders>
              <w:top w:val="single" w:sz="2" w:space="0" w:color="0067AB"/>
              <w:left w:val="single" w:sz="2" w:space="0" w:color="0067AB"/>
              <w:bottom w:val="single" w:sz="2" w:space="0" w:color="0067AB"/>
              <w:right w:val="single" w:sz="2" w:space="0" w:color="0067AB"/>
            </w:tcBorders>
            <w:vAlign w:val="center"/>
          </w:tcPr>
          <w:p w14:paraId="1B2B6F4C" w14:textId="4D031EEB" w:rsidR="000C6C9E" w:rsidRPr="00B26E50" w:rsidRDefault="000C6C9E" w:rsidP="000C6C9E">
            <w:pPr>
              <w:pStyle w:val="TableTextNoSpace"/>
              <w:jc w:val="center"/>
              <w:rPr>
                <w:rFonts w:cs="Arial"/>
                <w:b/>
                <w:sz w:val="18"/>
                <w:szCs w:val="18"/>
              </w:rPr>
            </w:pPr>
            <w:r w:rsidRPr="00B26E50">
              <w:rPr>
                <w:rFonts w:cs="Arial"/>
                <w:b/>
                <w:sz w:val="18"/>
                <w:szCs w:val="18"/>
              </w:rPr>
              <w:t>X</w:t>
            </w:r>
          </w:p>
        </w:tc>
        <w:tc>
          <w:tcPr>
            <w:tcW w:w="123" w:type="pct"/>
            <w:tcBorders>
              <w:top w:val="single" w:sz="2" w:space="0" w:color="0067AB"/>
              <w:left w:val="single" w:sz="2" w:space="0" w:color="0067AB"/>
              <w:bottom w:val="single" w:sz="2" w:space="0" w:color="0067AB"/>
              <w:right w:val="single" w:sz="2" w:space="0" w:color="0067AB"/>
            </w:tcBorders>
            <w:vAlign w:val="center"/>
          </w:tcPr>
          <w:p w14:paraId="6C598641" w14:textId="5EAB0208" w:rsidR="000C6C9E" w:rsidRPr="00B26E50" w:rsidRDefault="000C6C9E" w:rsidP="000C6C9E">
            <w:pPr>
              <w:pStyle w:val="TableTextNoSpace"/>
              <w:jc w:val="center"/>
              <w:rPr>
                <w:rFonts w:cs="Arial"/>
                <w:b/>
                <w:sz w:val="18"/>
                <w:szCs w:val="18"/>
              </w:rPr>
            </w:pPr>
            <w:r w:rsidRPr="00B26E50">
              <w:rPr>
                <w:rFonts w:cs="Arial"/>
                <w:b/>
                <w:sz w:val="18"/>
                <w:szCs w:val="18"/>
              </w:rPr>
              <w:t>X</w:t>
            </w:r>
          </w:p>
        </w:tc>
      </w:tr>
    </w:tbl>
    <w:p w14:paraId="260ACD33" w14:textId="77777777" w:rsidR="00E1476F" w:rsidRDefault="00E1476F" w:rsidP="00E1476F">
      <w:pPr>
        <w:pStyle w:val="TableLeft"/>
        <w:numPr>
          <w:ilvl w:val="0"/>
          <w:numId w:val="0"/>
        </w:numPr>
      </w:pPr>
    </w:p>
    <w:p w14:paraId="5CF1609C" w14:textId="77777777" w:rsidR="007A75BE" w:rsidRDefault="007A75BE" w:rsidP="007A75BE">
      <w:pPr>
        <w:sectPr w:rsidR="007A75BE" w:rsidSect="007A75BE">
          <w:headerReference w:type="even" r:id="rId44"/>
          <w:headerReference w:type="default" r:id="rId45"/>
          <w:footerReference w:type="even" r:id="rId46"/>
          <w:footerReference w:type="default" r:id="rId47"/>
          <w:pgSz w:w="16840" w:h="11907" w:orient="landscape" w:code="9"/>
          <w:pgMar w:top="1871" w:right="1417" w:bottom="1020" w:left="1417" w:header="680" w:footer="454" w:gutter="0"/>
          <w:cols w:space="708"/>
          <w:docGrid w:linePitch="360"/>
        </w:sectPr>
      </w:pPr>
    </w:p>
    <w:p w14:paraId="28C46EB9" w14:textId="4877DBA1" w:rsidR="00CA1444" w:rsidRDefault="00CA1444" w:rsidP="00643A19">
      <w:pPr>
        <w:pStyle w:val="Heading2"/>
      </w:pPr>
      <w:bookmarkStart w:id="215" w:name="_Toc407609316"/>
      <w:bookmarkStart w:id="216" w:name="_Toc407617999"/>
      <w:bookmarkStart w:id="217" w:name="_Toc408850991"/>
      <w:bookmarkStart w:id="218" w:name="_Toc407618004"/>
      <w:bookmarkStart w:id="219" w:name="_Toc408093996"/>
      <w:bookmarkStart w:id="220" w:name="_Toc405980780"/>
      <w:bookmarkStart w:id="221" w:name="_Toc405993440"/>
      <w:bookmarkStart w:id="222" w:name="_Toc421880667"/>
      <w:bookmarkEnd w:id="207"/>
      <w:bookmarkEnd w:id="215"/>
      <w:bookmarkEnd w:id="216"/>
      <w:r>
        <w:t>Funding sources for management mechanisms</w:t>
      </w:r>
      <w:bookmarkEnd w:id="217"/>
      <w:bookmarkEnd w:id="222"/>
    </w:p>
    <w:p w14:paraId="65216CEF" w14:textId="65059D65" w:rsidR="00CA1444" w:rsidRDefault="00CA1444" w:rsidP="00CA1444">
      <w:pPr>
        <w:pStyle w:val="BodyText"/>
      </w:pPr>
      <w:r>
        <w:t>Management mechanisms are the instruments through which the management actions to address the Natura 2000 conservation needs can be delivered. There are a number of different management mechanisms that can be used to deliver management actions for Natura 2000 sites</w:t>
      </w:r>
      <w:r w:rsidR="00120495">
        <w:t xml:space="preserve"> (see Section 2 for details)</w:t>
      </w:r>
      <w:r>
        <w:t xml:space="preserve">. </w:t>
      </w:r>
      <w:r w:rsidR="009074FE">
        <w:t>Research by NRW presented in two internal studies (‘</w:t>
      </w:r>
      <w:r w:rsidR="00B31483">
        <w:t>Natural Resources Wales, 2014</w:t>
      </w:r>
      <w:r w:rsidR="009074FE">
        <w:t>), which draw on the views of site managers and other relevant stakeholders, have been used to inform our understanding of these issues and as a basis for selecting the mechanism considered in this research.</w:t>
      </w:r>
    </w:p>
    <w:p w14:paraId="0DE84728" w14:textId="0A11BD5D" w:rsidR="008D15DC" w:rsidRDefault="008D15DC" w:rsidP="00CA1444">
      <w:pPr>
        <w:pStyle w:val="BodyText"/>
      </w:pPr>
      <w:r>
        <w:t>This section presents a review of funding sources against the management</w:t>
      </w:r>
      <w:r w:rsidR="00CA1444">
        <w:t xml:space="preserve"> mechanisms to establish </w:t>
      </w:r>
      <w:r>
        <w:t>the</w:t>
      </w:r>
      <w:r w:rsidR="00CA1444">
        <w:t xml:space="preserve"> </w:t>
      </w:r>
      <w:r w:rsidR="00120495">
        <w:t xml:space="preserve">potential </w:t>
      </w:r>
      <w:r w:rsidR="009074FE">
        <w:t xml:space="preserve">funding </w:t>
      </w:r>
      <w:r w:rsidR="00CA1444">
        <w:t>options</w:t>
      </w:r>
      <w:r>
        <w:t>. In developing the review we initially considered the t</w:t>
      </w:r>
      <w:r w:rsidR="00CA1444">
        <w:t>ype</w:t>
      </w:r>
      <w:r>
        <w:t xml:space="preserve"> of management actions that the mechanisms are used to deliver and the funding sources </w:t>
      </w:r>
      <w:r w:rsidR="00CA1444">
        <w:t xml:space="preserve">that support those management actions, </w:t>
      </w:r>
      <w:r>
        <w:t xml:space="preserve">and then refined this set of options </w:t>
      </w:r>
      <w:r w:rsidR="00CA1444">
        <w:t xml:space="preserve">based on a more detailed understanding of the </w:t>
      </w:r>
      <w:r>
        <w:t xml:space="preserve">management mechanism and the funding sources. </w:t>
      </w:r>
    </w:p>
    <w:p w14:paraId="1B3F1844" w14:textId="659A5E3E" w:rsidR="009074FE" w:rsidRDefault="008D15DC" w:rsidP="00CA1444">
      <w:pPr>
        <w:pStyle w:val="BodyText"/>
      </w:pPr>
      <w:r>
        <w:t>A detailed review of the funding sources is presented in the annexes and a more detailed consideration of the management mechanism funding options is presented in this report’s companion Excel spreadsheet output.</w:t>
      </w:r>
    </w:p>
    <w:p w14:paraId="5E725495" w14:textId="374E6239" w:rsidR="00F2569C" w:rsidRPr="00846A06" w:rsidRDefault="00082CFB" w:rsidP="00CA1444">
      <w:pPr>
        <w:pStyle w:val="BodyText"/>
      </w:pPr>
      <w:r>
        <w:fldChar w:fldCharType="begin"/>
      </w:r>
      <w:r>
        <w:instrText xml:space="preserve"> REF _Ref412639947 \r \h </w:instrText>
      </w:r>
      <w:r>
        <w:fldChar w:fldCharType="separate"/>
      </w:r>
      <w:r w:rsidR="00B31483">
        <w:t>Table 3.4</w:t>
      </w:r>
      <w:r>
        <w:fldChar w:fldCharType="end"/>
      </w:r>
      <w:r>
        <w:t xml:space="preserve"> </w:t>
      </w:r>
      <w:r w:rsidR="00F2569C">
        <w:t xml:space="preserve">identifies the most potentially relevant funding sources for each mechanism and the remainder of this section provides a </w:t>
      </w:r>
      <w:r w:rsidR="00CB40C6">
        <w:t xml:space="preserve">summary </w:t>
      </w:r>
      <w:r w:rsidR="00F2569C">
        <w:t>discussion.</w:t>
      </w:r>
      <w:r w:rsidR="00846A06">
        <w:t xml:space="preserve"> Those denoted by an ‘</w:t>
      </w:r>
      <w:r w:rsidR="00846A06">
        <w:rPr>
          <w:b/>
        </w:rPr>
        <w:t xml:space="preserve">X’ </w:t>
      </w:r>
      <w:r w:rsidR="00846A06">
        <w:t xml:space="preserve">are considered to be primary opportunities for funding, whilst those denoted by an ‘x’ are also potential funding options but may be either already well utilised and hold little scope for increase/enhancement or may only be applicable under specific circumstances. </w:t>
      </w:r>
    </w:p>
    <w:p w14:paraId="63F9CC6A" w14:textId="70B7703B" w:rsidR="00CA1444" w:rsidRDefault="00453109" w:rsidP="00453109">
      <w:pPr>
        <w:pStyle w:val="TableLeft"/>
      </w:pPr>
      <w:bookmarkStart w:id="223" w:name="_Toc408851110"/>
      <w:bookmarkStart w:id="224" w:name="_Ref412639947"/>
      <w:r>
        <w:t>Potential funding sources for management mechanisms</w:t>
      </w:r>
      <w:bookmarkEnd w:id="223"/>
      <w:bookmarkEnd w:id="224"/>
      <w:r>
        <w:t xml:space="preserve"> </w:t>
      </w:r>
    </w:p>
    <w:tbl>
      <w:tblPr>
        <w:tblW w:w="5552" w:type="pct"/>
        <w:tblInd w:w="-287" w:type="dxa"/>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CellMar>
          <w:top w:w="57" w:type="dxa"/>
          <w:left w:w="0" w:type="dxa"/>
          <w:bottom w:w="28" w:type="dxa"/>
          <w:right w:w="0" w:type="dxa"/>
        </w:tblCellMar>
        <w:tblLook w:val="04A0" w:firstRow="1" w:lastRow="0" w:firstColumn="1" w:lastColumn="0" w:noHBand="0" w:noVBand="1"/>
      </w:tblPr>
      <w:tblGrid>
        <w:gridCol w:w="1408"/>
        <w:gridCol w:w="482"/>
        <w:gridCol w:w="482"/>
        <w:gridCol w:w="481"/>
        <w:gridCol w:w="481"/>
        <w:gridCol w:w="481"/>
        <w:gridCol w:w="481"/>
        <w:gridCol w:w="481"/>
        <w:gridCol w:w="481"/>
        <w:gridCol w:w="481"/>
        <w:gridCol w:w="481"/>
        <w:gridCol w:w="481"/>
        <w:gridCol w:w="481"/>
        <w:gridCol w:w="481"/>
        <w:gridCol w:w="481"/>
        <w:gridCol w:w="481"/>
        <w:gridCol w:w="481"/>
        <w:gridCol w:w="481"/>
        <w:gridCol w:w="479"/>
      </w:tblGrid>
      <w:tr w:rsidR="00C15432" w14:paraId="724945FF" w14:textId="77777777" w:rsidTr="00C15432">
        <w:trPr>
          <w:cantSplit/>
          <w:trHeight w:val="80"/>
          <w:tblHeader/>
        </w:trPr>
        <w:tc>
          <w:tcPr>
            <w:tcW w:w="699" w:type="pct"/>
            <w:vMerge w:val="restart"/>
            <w:tcBorders>
              <w:top w:val="single" w:sz="2" w:space="0" w:color="0067AB"/>
              <w:left w:val="single" w:sz="2" w:space="0" w:color="0067AB"/>
              <w:right w:val="single" w:sz="2" w:space="0" w:color="0067AB"/>
            </w:tcBorders>
            <w:vAlign w:val="center"/>
          </w:tcPr>
          <w:p w14:paraId="5E9566C5" w14:textId="77777777" w:rsidR="00C15432" w:rsidRDefault="00C15432" w:rsidP="00C15432">
            <w:pPr>
              <w:spacing w:before="0" w:after="0" w:line="240" w:lineRule="auto"/>
              <w:rPr>
                <w:rFonts w:ascii="Calibri" w:hAnsi="Calibri"/>
                <w:color w:val="0067AC"/>
              </w:rPr>
            </w:pPr>
          </w:p>
        </w:tc>
        <w:tc>
          <w:tcPr>
            <w:tcW w:w="4301" w:type="pct"/>
            <w:gridSpan w:val="18"/>
            <w:tcBorders>
              <w:top w:val="single" w:sz="2" w:space="0" w:color="FFFFFF" w:themeColor="background1"/>
              <w:left w:val="single" w:sz="2" w:space="0" w:color="0067AB"/>
              <w:bottom w:val="single" w:sz="2" w:space="0" w:color="FFFFFF" w:themeColor="background1"/>
              <w:right w:val="single" w:sz="2" w:space="0" w:color="FFFFFF" w:themeColor="background1"/>
            </w:tcBorders>
            <w:shd w:val="solid" w:color="0067AB" w:fill="0067AB"/>
            <w:vAlign w:val="center"/>
          </w:tcPr>
          <w:p w14:paraId="24948F46" w14:textId="77777777" w:rsidR="00C15432" w:rsidRPr="00A317F6" w:rsidRDefault="00C15432" w:rsidP="00C15432">
            <w:pPr>
              <w:pStyle w:val="TableHeadingWhite"/>
              <w:ind w:left="0"/>
              <w:jc w:val="center"/>
              <w:rPr>
                <w:color w:val="FFFFFF" w:themeColor="background1"/>
                <w:sz w:val="18"/>
                <w:szCs w:val="18"/>
              </w:rPr>
            </w:pPr>
            <w:r>
              <w:rPr>
                <w:color w:val="FFFFFF" w:themeColor="background1"/>
                <w:sz w:val="18"/>
                <w:szCs w:val="18"/>
              </w:rPr>
              <w:t>Management Mechanisms</w:t>
            </w:r>
          </w:p>
        </w:tc>
      </w:tr>
      <w:tr w:rsidR="00C15432" w14:paraId="42A23786" w14:textId="77777777" w:rsidTr="00C15432">
        <w:trPr>
          <w:cantSplit/>
          <w:trHeight w:val="79"/>
          <w:tblHeader/>
        </w:trPr>
        <w:tc>
          <w:tcPr>
            <w:tcW w:w="699" w:type="pct"/>
            <w:vMerge/>
            <w:tcBorders>
              <w:left w:val="single" w:sz="2" w:space="0" w:color="0067AB"/>
              <w:right w:val="single" w:sz="2" w:space="0" w:color="0067AB"/>
            </w:tcBorders>
            <w:vAlign w:val="center"/>
          </w:tcPr>
          <w:p w14:paraId="000F321D" w14:textId="77777777" w:rsidR="00C15432" w:rsidRDefault="00C15432" w:rsidP="00C15432">
            <w:pPr>
              <w:spacing w:before="0" w:after="0" w:line="240" w:lineRule="auto"/>
              <w:rPr>
                <w:rFonts w:ascii="Calibri" w:hAnsi="Calibri"/>
                <w:color w:val="0067AC"/>
              </w:rPr>
            </w:pPr>
          </w:p>
        </w:tc>
        <w:tc>
          <w:tcPr>
            <w:tcW w:w="2868" w:type="pct"/>
            <w:gridSpan w:val="12"/>
            <w:tcBorders>
              <w:top w:val="single" w:sz="2" w:space="0" w:color="FFFFFF" w:themeColor="background1"/>
              <w:left w:val="single" w:sz="2" w:space="0" w:color="0067AB"/>
              <w:bottom w:val="single" w:sz="2" w:space="0" w:color="FFFFFF" w:themeColor="background1"/>
              <w:right w:val="single" w:sz="2" w:space="0" w:color="FFFFFF" w:themeColor="background1"/>
            </w:tcBorders>
            <w:shd w:val="solid" w:color="0067AB" w:fill="0067AB"/>
            <w:vAlign w:val="center"/>
          </w:tcPr>
          <w:p w14:paraId="62023A5B" w14:textId="77777777" w:rsidR="00C15432" w:rsidRPr="00A317F6" w:rsidRDefault="00C15432" w:rsidP="00C15432">
            <w:pPr>
              <w:pStyle w:val="TableHeadingWhite"/>
              <w:ind w:left="0"/>
              <w:jc w:val="center"/>
              <w:rPr>
                <w:color w:val="FFFFFF" w:themeColor="background1"/>
                <w:sz w:val="18"/>
                <w:szCs w:val="18"/>
              </w:rPr>
            </w:pPr>
            <w:r>
              <w:rPr>
                <w:color w:val="FFFFFF" w:themeColor="background1"/>
                <w:sz w:val="18"/>
                <w:szCs w:val="18"/>
              </w:rPr>
              <w:t>Current / Potential Mechanisms</w:t>
            </w:r>
          </w:p>
        </w:tc>
        <w:tc>
          <w:tcPr>
            <w:tcW w:w="1433" w:type="pct"/>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solid" w:color="0067AB" w:fill="0067AB"/>
            <w:vAlign w:val="center"/>
          </w:tcPr>
          <w:p w14:paraId="0A859B44" w14:textId="77777777" w:rsidR="00C15432" w:rsidRPr="00A317F6" w:rsidRDefault="00C15432" w:rsidP="00C15432">
            <w:pPr>
              <w:pStyle w:val="TableHeadingWhite"/>
              <w:ind w:left="0"/>
              <w:jc w:val="center"/>
              <w:rPr>
                <w:color w:val="FFFFFF" w:themeColor="background1"/>
                <w:sz w:val="18"/>
                <w:szCs w:val="18"/>
              </w:rPr>
            </w:pPr>
            <w:r>
              <w:rPr>
                <w:color w:val="FFFFFF" w:themeColor="background1"/>
                <w:sz w:val="18"/>
                <w:szCs w:val="18"/>
              </w:rPr>
              <w:t>New Mechanisms</w:t>
            </w:r>
          </w:p>
        </w:tc>
      </w:tr>
      <w:tr w:rsidR="00C15432" w14:paraId="0FD8B8E8" w14:textId="77777777" w:rsidTr="00C15432">
        <w:trPr>
          <w:cantSplit/>
          <w:trHeight w:val="2536"/>
          <w:tblHeader/>
        </w:trPr>
        <w:tc>
          <w:tcPr>
            <w:tcW w:w="699" w:type="pct"/>
            <w:vMerge/>
            <w:tcBorders>
              <w:left w:val="single" w:sz="2" w:space="0" w:color="0067AB"/>
              <w:bottom w:val="single" w:sz="2" w:space="0" w:color="0067AB"/>
              <w:right w:val="single" w:sz="2" w:space="0" w:color="0067AB"/>
            </w:tcBorders>
            <w:vAlign w:val="center"/>
            <w:hideMark/>
          </w:tcPr>
          <w:p w14:paraId="6438F5E1" w14:textId="77777777" w:rsidR="00C15432" w:rsidRDefault="00C15432" w:rsidP="00C15432">
            <w:pPr>
              <w:spacing w:before="0" w:after="0" w:line="240" w:lineRule="auto"/>
              <w:rPr>
                <w:rFonts w:ascii="Calibri" w:hAnsi="Calibri"/>
                <w:color w:val="0067AC"/>
              </w:rPr>
            </w:pPr>
          </w:p>
        </w:tc>
        <w:tc>
          <w:tcPr>
            <w:tcW w:w="239" w:type="pct"/>
            <w:tcBorders>
              <w:top w:val="single" w:sz="2" w:space="0" w:color="FFFFFF" w:themeColor="background1"/>
              <w:left w:val="single" w:sz="2" w:space="0" w:color="0067AB"/>
              <w:bottom w:val="single" w:sz="2" w:space="0" w:color="0067AB"/>
              <w:right w:val="single" w:sz="2" w:space="0" w:color="FFFFFF" w:themeColor="background1"/>
            </w:tcBorders>
            <w:shd w:val="solid" w:color="0067AB" w:fill="0067AB"/>
            <w:textDirection w:val="btLr"/>
            <w:vAlign w:val="center"/>
          </w:tcPr>
          <w:p w14:paraId="783DAFA5" w14:textId="77777777" w:rsidR="00C15432" w:rsidRPr="00A317F6" w:rsidRDefault="00C15432" w:rsidP="00C15432">
            <w:pPr>
              <w:pStyle w:val="TableHeadingWhite"/>
              <w:ind w:left="0"/>
              <w:jc w:val="left"/>
              <w:rPr>
                <w:color w:val="FFFFFF" w:themeColor="background1"/>
                <w:sz w:val="18"/>
              </w:rPr>
            </w:pPr>
            <w:r w:rsidRPr="00A317F6">
              <w:rPr>
                <w:color w:val="FFFFFF" w:themeColor="background1"/>
                <w:sz w:val="18"/>
                <w:szCs w:val="18"/>
              </w:rPr>
              <w:t>Management plans</w:t>
            </w:r>
          </w:p>
        </w:tc>
        <w:tc>
          <w:tcPr>
            <w:tcW w:w="239" w:type="pct"/>
            <w:tcBorders>
              <w:top w:val="single" w:sz="2" w:space="0" w:color="FFFFFF" w:themeColor="background1"/>
              <w:left w:val="single" w:sz="2" w:space="0" w:color="FFFFFF" w:themeColor="background1"/>
              <w:bottom w:val="single" w:sz="2" w:space="0" w:color="0067AB"/>
              <w:right w:val="single" w:sz="2" w:space="0" w:color="FFFFFF" w:themeColor="background1"/>
            </w:tcBorders>
            <w:shd w:val="solid" w:color="0067AB" w:fill="0067AB"/>
            <w:textDirection w:val="btLr"/>
            <w:vAlign w:val="center"/>
          </w:tcPr>
          <w:p w14:paraId="71885742" w14:textId="77777777" w:rsidR="00C15432" w:rsidRPr="00A317F6" w:rsidRDefault="00C15432" w:rsidP="00C15432">
            <w:pPr>
              <w:pStyle w:val="TableHeadingWhite"/>
              <w:ind w:left="0"/>
              <w:jc w:val="left"/>
              <w:rPr>
                <w:color w:val="FFFFFF" w:themeColor="background1"/>
                <w:sz w:val="18"/>
              </w:rPr>
            </w:pPr>
            <w:r w:rsidRPr="00A317F6">
              <w:rPr>
                <w:color w:val="FFFFFF" w:themeColor="background1"/>
                <w:sz w:val="18"/>
                <w:szCs w:val="18"/>
              </w:rPr>
              <w:t>Investigation</w:t>
            </w:r>
          </w:p>
        </w:tc>
        <w:tc>
          <w:tcPr>
            <w:tcW w:w="239" w:type="pct"/>
            <w:tcBorders>
              <w:top w:val="single" w:sz="2" w:space="0" w:color="FFFFFF" w:themeColor="background1"/>
              <w:left w:val="single" w:sz="2" w:space="0" w:color="FFFFFF" w:themeColor="background1"/>
              <w:bottom w:val="single" w:sz="2" w:space="0" w:color="0067AB"/>
              <w:right w:val="single" w:sz="2" w:space="0" w:color="FFFFFF" w:themeColor="background1"/>
            </w:tcBorders>
            <w:shd w:val="solid" w:color="0067AB" w:fill="0067AB"/>
            <w:textDirection w:val="btLr"/>
            <w:vAlign w:val="center"/>
          </w:tcPr>
          <w:p w14:paraId="168864CF" w14:textId="77777777" w:rsidR="00C15432" w:rsidRPr="00A317F6" w:rsidRDefault="00C15432" w:rsidP="00C15432">
            <w:pPr>
              <w:pStyle w:val="TableHeadingWhite"/>
              <w:ind w:left="0"/>
              <w:jc w:val="left"/>
              <w:rPr>
                <w:color w:val="FFFFFF" w:themeColor="background1"/>
                <w:sz w:val="18"/>
              </w:rPr>
            </w:pPr>
            <w:r w:rsidRPr="00A317F6">
              <w:rPr>
                <w:color w:val="FFFFFF" w:themeColor="background1"/>
                <w:sz w:val="18"/>
                <w:szCs w:val="18"/>
              </w:rPr>
              <w:t>Glastir agri-environment agreements</w:t>
            </w:r>
          </w:p>
        </w:tc>
        <w:tc>
          <w:tcPr>
            <w:tcW w:w="239" w:type="pct"/>
            <w:tcBorders>
              <w:top w:val="single" w:sz="2" w:space="0" w:color="FFFFFF" w:themeColor="background1"/>
              <w:left w:val="single" w:sz="2" w:space="0" w:color="FFFFFF" w:themeColor="background1"/>
              <w:bottom w:val="single" w:sz="2" w:space="0" w:color="0067AB"/>
              <w:right w:val="single" w:sz="2" w:space="0" w:color="FFFFFF" w:themeColor="background1"/>
            </w:tcBorders>
            <w:shd w:val="solid" w:color="0067AB" w:fill="0067AB"/>
            <w:textDirection w:val="btLr"/>
            <w:vAlign w:val="center"/>
          </w:tcPr>
          <w:p w14:paraId="099006FC" w14:textId="77777777" w:rsidR="00C15432" w:rsidRPr="00A317F6" w:rsidRDefault="00C15432" w:rsidP="00C15432">
            <w:pPr>
              <w:pStyle w:val="TableHeadingWhite"/>
              <w:ind w:left="0"/>
              <w:jc w:val="left"/>
              <w:rPr>
                <w:color w:val="FFFFFF" w:themeColor="background1"/>
                <w:sz w:val="18"/>
              </w:rPr>
            </w:pPr>
            <w:r w:rsidRPr="00A317F6">
              <w:rPr>
                <w:color w:val="FFFFFF" w:themeColor="background1"/>
                <w:sz w:val="18"/>
                <w:szCs w:val="18"/>
              </w:rPr>
              <w:t>NRW land-use management agreements</w:t>
            </w:r>
          </w:p>
        </w:tc>
        <w:tc>
          <w:tcPr>
            <w:tcW w:w="239" w:type="pct"/>
            <w:tcBorders>
              <w:top w:val="single" w:sz="2" w:space="0" w:color="FFFFFF" w:themeColor="background1"/>
              <w:left w:val="single" w:sz="2" w:space="0" w:color="FFFFFF" w:themeColor="background1"/>
              <w:bottom w:val="single" w:sz="2" w:space="0" w:color="0067AB"/>
              <w:right w:val="single" w:sz="2" w:space="0" w:color="FFFFFF" w:themeColor="background1"/>
            </w:tcBorders>
            <w:shd w:val="solid" w:color="0067AB" w:fill="0067AB"/>
            <w:textDirection w:val="btLr"/>
            <w:vAlign w:val="center"/>
          </w:tcPr>
          <w:p w14:paraId="7568A458" w14:textId="77777777" w:rsidR="00C15432" w:rsidRPr="00A317F6" w:rsidRDefault="00C15432" w:rsidP="00C15432">
            <w:pPr>
              <w:pStyle w:val="TableHeadingWhite"/>
              <w:ind w:left="0"/>
              <w:jc w:val="left"/>
              <w:rPr>
                <w:color w:val="FFFFFF" w:themeColor="background1"/>
                <w:sz w:val="18"/>
              </w:rPr>
            </w:pPr>
            <w:r w:rsidRPr="00A317F6">
              <w:rPr>
                <w:color w:val="FFFFFF" w:themeColor="background1"/>
                <w:sz w:val="18"/>
                <w:szCs w:val="18"/>
              </w:rPr>
              <w:t>Direct conservation management - staff</w:t>
            </w:r>
          </w:p>
        </w:tc>
        <w:tc>
          <w:tcPr>
            <w:tcW w:w="239" w:type="pct"/>
            <w:tcBorders>
              <w:top w:val="single" w:sz="2" w:space="0" w:color="FFFFFF" w:themeColor="background1"/>
              <w:left w:val="single" w:sz="2" w:space="0" w:color="FFFFFF" w:themeColor="background1"/>
              <w:bottom w:val="single" w:sz="2" w:space="0" w:color="0067AB"/>
              <w:right w:val="single" w:sz="2" w:space="0" w:color="FFFFFF" w:themeColor="background1"/>
            </w:tcBorders>
            <w:shd w:val="solid" w:color="0067AB" w:fill="0067AB"/>
            <w:textDirection w:val="btLr"/>
            <w:vAlign w:val="center"/>
          </w:tcPr>
          <w:p w14:paraId="4A75CA04" w14:textId="77777777" w:rsidR="00C15432" w:rsidRPr="00A317F6" w:rsidRDefault="00C15432" w:rsidP="00C15432">
            <w:pPr>
              <w:pStyle w:val="TableHeadingWhite"/>
              <w:ind w:left="0"/>
              <w:jc w:val="left"/>
              <w:rPr>
                <w:color w:val="FFFFFF" w:themeColor="background1"/>
                <w:sz w:val="18"/>
              </w:rPr>
            </w:pPr>
            <w:r w:rsidRPr="00A317F6">
              <w:rPr>
                <w:color w:val="FFFFFF" w:themeColor="background1"/>
                <w:sz w:val="18"/>
                <w:szCs w:val="18"/>
              </w:rPr>
              <w:t>Direct conservation management – small projects</w:t>
            </w:r>
          </w:p>
        </w:tc>
        <w:tc>
          <w:tcPr>
            <w:tcW w:w="239" w:type="pct"/>
            <w:tcBorders>
              <w:top w:val="single" w:sz="2" w:space="0" w:color="FFFFFF" w:themeColor="background1"/>
              <w:left w:val="single" w:sz="2" w:space="0" w:color="FFFFFF" w:themeColor="background1"/>
              <w:bottom w:val="single" w:sz="2" w:space="0" w:color="0067AB"/>
              <w:right w:val="single" w:sz="2" w:space="0" w:color="FFFFFF" w:themeColor="background1"/>
            </w:tcBorders>
            <w:shd w:val="solid" w:color="0067AB" w:fill="0067AB"/>
            <w:textDirection w:val="btLr"/>
            <w:vAlign w:val="center"/>
          </w:tcPr>
          <w:p w14:paraId="23D3D3A5" w14:textId="77777777" w:rsidR="00C15432" w:rsidRPr="00A317F6" w:rsidRDefault="00C15432" w:rsidP="00C15432">
            <w:pPr>
              <w:pStyle w:val="TableHeadingWhite"/>
              <w:ind w:left="0"/>
              <w:jc w:val="left"/>
              <w:rPr>
                <w:color w:val="FFFFFF" w:themeColor="background1"/>
                <w:sz w:val="18"/>
              </w:rPr>
            </w:pPr>
            <w:r w:rsidRPr="00A317F6">
              <w:rPr>
                <w:color w:val="FFFFFF" w:themeColor="background1"/>
                <w:sz w:val="18"/>
                <w:szCs w:val="18"/>
              </w:rPr>
              <w:t>Direct conservation management – large projects</w:t>
            </w:r>
          </w:p>
        </w:tc>
        <w:tc>
          <w:tcPr>
            <w:tcW w:w="239" w:type="pct"/>
            <w:tcBorders>
              <w:top w:val="single" w:sz="2" w:space="0" w:color="FFFFFF" w:themeColor="background1"/>
              <w:left w:val="single" w:sz="2" w:space="0" w:color="FFFFFF" w:themeColor="background1"/>
              <w:bottom w:val="single" w:sz="2" w:space="0" w:color="0067AB"/>
              <w:right w:val="single" w:sz="2" w:space="0" w:color="FFFFFF" w:themeColor="background1"/>
            </w:tcBorders>
            <w:shd w:val="solid" w:color="0067AB" w:fill="0067AB"/>
            <w:textDirection w:val="btLr"/>
            <w:vAlign w:val="center"/>
          </w:tcPr>
          <w:p w14:paraId="106B32C4" w14:textId="77777777" w:rsidR="00C15432" w:rsidRPr="00A317F6" w:rsidRDefault="00C15432" w:rsidP="00C15432">
            <w:pPr>
              <w:pStyle w:val="TableHeadingWhite"/>
              <w:ind w:left="0"/>
              <w:jc w:val="left"/>
              <w:rPr>
                <w:color w:val="FFFFFF" w:themeColor="background1"/>
                <w:sz w:val="18"/>
              </w:rPr>
            </w:pPr>
            <w:r w:rsidRPr="00A317F6">
              <w:rPr>
                <w:color w:val="FFFFFF" w:themeColor="background1"/>
                <w:sz w:val="18"/>
                <w:szCs w:val="18"/>
              </w:rPr>
              <w:t>Land ownership</w:t>
            </w:r>
          </w:p>
        </w:tc>
        <w:tc>
          <w:tcPr>
            <w:tcW w:w="239" w:type="pct"/>
            <w:tcBorders>
              <w:top w:val="single" w:sz="2" w:space="0" w:color="FFFFFF" w:themeColor="background1"/>
              <w:left w:val="single" w:sz="2" w:space="0" w:color="FFFFFF" w:themeColor="background1"/>
              <w:bottom w:val="single" w:sz="2" w:space="0" w:color="0067AB"/>
              <w:right w:val="single" w:sz="2" w:space="0" w:color="FFFFFF" w:themeColor="background1"/>
            </w:tcBorders>
            <w:shd w:val="solid" w:color="0067AB" w:fill="0067AB"/>
            <w:textDirection w:val="btLr"/>
            <w:vAlign w:val="center"/>
          </w:tcPr>
          <w:p w14:paraId="7B874A2A" w14:textId="77777777" w:rsidR="00C15432" w:rsidRPr="00A317F6" w:rsidRDefault="00C15432" w:rsidP="00C15432">
            <w:pPr>
              <w:pStyle w:val="TableHeadingWhite"/>
              <w:ind w:left="0"/>
              <w:jc w:val="left"/>
              <w:rPr>
                <w:color w:val="FFFFFF" w:themeColor="background1"/>
                <w:sz w:val="18"/>
              </w:rPr>
            </w:pPr>
            <w:r w:rsidRPr="00A317F6">
              <w:rPr>
                <w:color w:val="FFFFFF" w:themeColor="background1"/>
                <w:sz w:val="18"/>
                <w:szCs w:val="18"/>
              </w:rPr>
              <w:t>Special initiatives: stakeholder groups</w:t>
            </w:r>
          </w:p>
        </w:tc>
        <w:tc>
          <w:tcPr>
            <w:tcW w:w="239" w:type="pct"/>
            <w:tcBorders>
              <w:top w:val="single" w:sz="2" w:space="0" w:color="FFFFFF" w:themeColor="background1"/>
              <w:left w:val="single" w:sz="2" w:space="0" w:color="FFFFFF" w:themeColor="background1"/>
              <w:bottom w:val="single" w:sz="2" w:space="0" w:color="0067AB"/>
              <w:right w:val="single" w:sz="2" w:space="0" w:color="FFFFFF" w:themeColor="background1"/>
            </w:tcBorders>
            <w:shd w:val="solid" w:color="0067AB" w:fill="0067AB"/>
            <w:textDirection w:val="btLr"/>
            <w:vAlign w:val="center"/>
          </w:tcPr>
          <w:p w14:paraId="1035199B" w14:textId="77777777" w:rsidR="00C15432" w:rsidRPr="00A317F6" w:rsidRDefault="00C15432" w:rsidP="00C15432">
            <w:pPr>
              <w:pStyle w:val="TableHeadingWhite"/>
              <w:ind w:left="0"/>
              <w:jc w:val="left"/>
              <w:rPr>
                <w:color w:val="FFFFFF" w:themeColor="background1"/>
                <w:sz w:val="18"/>
              </w:rPr>
            </w:pPr>
            <w:r w:rsidRPr="00A317F6">
              <w:rPr>
                <w:color w:val="FFFFFF" w:themeColor="background1"/>
                <w:sz w:val="18"/>
                <w:szCs w:val="18"/>
              </w:rPr>
              <w:t>Special initiatives: technology development</w:t>
            </w:r>
          </w:p>
        </w:tc>
        <w:tc>
          <w:tcPr>
            <w:tcW w:w="239" w:type="pct"/>
            <w:tcBorders>
              <w:top w:val="single" w:sz="2" w:space="0" w:color="FFFFFF" w:themeColor="background1"/>
              <w:left w:val="single" w:sz="2" w:space="0" w:color="FFFFFF" w:themeColor="background1"/>
              <w:bottom w:val="single" w:sz="2" w:space="0" w:color="0067AB"/>
              <w:right w:val="single" w:sz="2" w:space="0" w:color="FFFFFF" w:themeColor="background1"/>
            </w:tcBorders>
            <w:shd w:val="solid" w:color="0067AB" w:fill="0067AB"/>
            <w:textDirection w:val="btLr"/>
            <w:vAlign w:val="center"/>
          </w:tcPr>
          <w:p w14:paraId="60241BF5" w14:textId="77777777" w:rsidR="00C15432" w:rsidRPr="00A317F6" w:rsidRDefault="00C15432" w:rsidP="00C15432">
            <w:pPr>
              <w:pStyle w:val="TableHeadingWhite"/>
              <w:ind w:left="0"/>
              <w:jc w:val="left"/>
              <w:rPr>
                <w:color w:val="FFFFFF" w:themeColor="background1"/>
                <w:sz w:val="18"/>
              </w:rPr>
            </w:pPr>
            <w:r w:rsidRPr="00A317F6">
              <w:rPr>
                <w:color w:val="FFFFFF" w:themeColor="background1"/>
                <w:sz w:val="18"/>
                <w:szCs w:val="18"/>
              </w:rPr>
              <w:t>Other sector plans</w:t>
            </w:r>
          </w:p>
        </w:tc>
        <w:tc>
          <w:tcPr>
            <w:tcW w:w="239" w:type="pct"/>
            <w:tcBorders>
              <w:top w:val="single" w:sz="2" w:space="0" w:color="FFFFFF" w:themeColor="background1"/>
              <w:left w:val="single" w:sz="2" w:space="0" w:color="FFFFFF" w:themeColor="background1"/>
              <w:bottom w:val="single" w:sz="2" w:space="0" w:color="0067AB"/>
              <w:right w:val="single" w:sz="2" w:space="0" w:color="FFFFFF" w:themeColor="background1"/>
            </w:tcBorders>
            <w:shd w:val="solid" w:color="0067AB" w:fill="0067AB"/>
            <w:textDirection w:val="btLr"/>
            <w:vAlign w:val="center"/>
          </w:tcPr>
          <w:p w14:paraId="64517F3C" w14:textId="77777777" w:rsidR="00C15432" w:rsidRPr="00A317F6" w:rsidRDefault="00C15432" w:rsidP="00C15432">
            <w:pPr>
              <w:pStyle w:val="TableHeadingWhite"/>
              <w:ind w:left="0"/>
              <w:jc w:val="left"/>
              <w:rPr>
                <w:color w:val="FFFFFF" w:themeColor="background1"/>
                <w:sz w:val="18"/>
              </w:rPr>
            </w:pPr>
            <w:r w:rsidRPr="00A317F6">
              <w:rPr>
                <w:color w:val="FFFFFF" w:themeColor="background1"/>
                <w:sz w:val="18"/>
                <w:szCs w:val="18"/>
              </w:rPr>
              <w:t>Legislation and regulation</w:t>
            </w:r>
          </w:p>
        </w:tc>
        <w:tc>
          <w:tcPr>
            <w:tcW w:w="239" w:type="pct"/>
            <w:tcBorders>
              <w:top w:val="single" w:sz="2" w:space="0" w:color="FFFFFF" w:themeColor="background1"/>
              <w:left w:val="single" w:sz="2" w:space="0" w:color="FFFFFF" w:themeColor="background1"/>
              <w:bottom w:val="single" w:sz="2" w:space="0" w:color="0067AB"/>
              <w:right w:val="single" w:sz="2" w:space="0" w:color="FFFFFF" w:themeColor="background1"/>
            </w:tcBorders>
            <w:shd w:val="solid" w:color="0067AB" w:fill="0067AB"/>
            <w:textDirection w:val="btLr"/>
            <w:vAlign w:val="center"/>
          </w:tcPr>
          <w:p w14:paraId="258B1CF4" w14:textId="77777777" w:rsidR="00C15432" w:rsidRPr="00A317F6" w:rsidRDefault="00C15432" w:rsidP="00C15432">
            <w:pPr>
              <w:pStyle w:val="TableHeadingWhite"/>
              <w:ind w:left="0"/>
              <w:jc w:val="left"/>
              <w:rPr>
                <w:color w:val="FFFFFF" w:themeColor="background1"/>
                <w:sz w:val="18"/>
              </w:rPr>
            </w:pPr>
            <w:r w:rsidRPr="00A317F6">
              <w:rPr>
                <w:color w:val="FFFFFF" w:themeColor="background1"/>
                <w:sz w:val="18"/>
                <w:szCs w:val="18"/>
              </w:rPr>
              <w:t>Promotion of social/community enterprise and green business</w:t>
            </w:r>
          </w:p>
        </w:tc>
        <w:tc>
          <w:tcPr>
            <w:tcW w:w="239" w:type="pct"/>
            <w:tcBorders>
              <w:top w:val="single" w:sz="2" w:space="0" w:color="FFFFFF" w:themeColor="background1"/>
              <w:left w:val="single" w:sz="2" w:space="0" w:color="FFFFFF" w:themeColor="background1"/>
              <w:bottom w:val="single" w:sz="2" w:space="0" w:color="0067AB"/>
              <w:right w:val="single" w:sz="2" w:space="0" w:color="FFFFFF" w:themeColor="background1"/>
            </w:tcBorders>
            <w:shd w:val="solid" w:color="0067AB" w:fill="0067AB"/>
            <w:textDirection w:val="btLr"/>
            <w:vAlign w:val="center"/>
          </w:tcPr>
          <w:p w14:paraId="64E295A7" w14:textId="77777777" w:rsidR="00C15432" w:rsidRPr="00A317F6" w:rsidRDefault="00C15432" w:rsidP="00C15432">
            <w:pPr>
              <w:pStyle w:val="TableHeadingWhite"/>
              <w:ind w:left="0"/>
              <w:jc w:val="left"/>
              <w:rPr>
                <w:color w:val="FFFFFF" w:themeColor="background1"/>
                <w:sz w:val="18"/>
              </w:rPr>
            </w:pPr>
            <w:r w:rsidRPr="00A317F6">
              <w:rPr>
                <w:color w:val="FFFFFF" w:themeColor="background1"/>
                <w:sz w:val="18"/>
                <w:szCs w:val="18"/>
              </w:rPr>
              <w:t xml:space="preserve">Incentivise site users/managers to use skills in </w:t>
            </w:r>
            <w:r>
              <w:rPr>
                <w:color w:val="FFFFFF" w:themeColor="background1"/>
                <w:sz w:val="18"/>
                <w:szCs w:val="18"/>
              </w:rPr>
              <w:t>alternative ways</w:t>
            </w:r>
          </w:p>
        </w:tc>
        <w:tc>
          <w:tcPr>
            <w:tcW w:w="239" w:type="pct"/>
            <w:tcBorders>
              <w:top w:val="single" w:sz="2" w:space="0" w:color="FFFFFF" w:themeColor="background1"/>
              <w:left w:val="single" w:sz="2" w:space="0" w:color="FFFFFF" w:themeColor="background1"/>
              <w:bottom w:val="single" w:sz="2" w:space="0" w:color="0067AB"/>
              <w:right w:val="single" w:sz="2" w:space="0" w:color="FFFFFF" w:themeColor="background1"/>
            </w:tcBorders>
            <w:shd w:val="solid" w:color="0067AB" w:fill="0067AB"/>
            <w:textDirection w:val="btLr"/>
            <w:vAlign w:val="center"/>
          </w:tcPr>
          <w:p w14:paraId="63941FC7" w14:textId="551AE465" w:rsidR="00C15432" w:rsidRPr="00A317F6" w:rsidRDefault="00C15432" w:rsidP="007D5664">
            <w:pPr>
              <w:pStyle w:val="TableHeadingWhite"/>
              <w:ind w:left="0"/>
              <w:jc w:val="left"/>
              <w:rPr>
                <w:color w:val="FFFFFF" w:themeColor="background1"/>
                <w:sz w:val="18"/>
              </w:rPr>
            </w:pPr>
            <w:r w:rsidRPr="00A317F6">
              <w:rPr>
                <w:color w:val="FFFFFF" w:themeColor="background1"/>
                <w:sz w:val="18"/>
                <w:szCs w:val="18"/>
              </w:rPr>
              <w:t xml:space="preserve">Conservation </w:t>
            </w:r>
            <w:r w:rsidR="007D5664">
              <w:rPr>
                <w:color w:val="FFFFFF" w:themeColor="background1"/>
                <w:sz w:val="18"/>
                <w:szCs w:val="18"/>
              </w:rPr>
              <w:t>c</w:t>
            </w:r>
            <w:r w:rsidRPr="00A317F6">
              <w:rPr>
                <w:color w:val="FFFFFF" w:themeColor="background1"/>
                <w:sz w:val="18"/>
                <w:szCs w:val="18"/>
              </w:rPr>
              <w:t>ovenant</w:t>
            </w:r>
          </w:p>
        </w:tc>
        <w:tc>
          <w:tcPr>
            <w:tcW w:w="239" w:type="pct"/>
            <w:tcBorders>
              <w:top w:val="single" w:sz="2" w:space="0" w:color="FFFFFF" w:themeColor="background1"/>
              <w:left w:val="single" w:sz="2" w:space="0" w:color="FFFFFF" w:themeColor="background1"/>
              <w:bottom w:val="single" w:sz="2" w:space="0" w:color="0067AB"/>
              <w:right w:val="single" w:sz="2" w:space="0" w:color="FFFFFF" w:themeColor="background1"/>
            </w:tcBorders>
            <w:shd w:val="solid" w:color="0067AB" w:fill="0067AB"/>
            <w:textDirection w:val="btLr"/>
            <w:vAlign w:val="center"/>
          </w:tcPr>
          <w:p w14:paraId="4493F5A7" w14:textId="77777777" w:rsidR="00C15432" w:rsidRPr="00A317F6" w:rsidRDefault="00C15432" w:rsidP="00C15432">
            <w:pPr>
              <w:pStyle w:val="TableHeadingWhite"/>
              <w:ind w:left="0"/>
              <w:jc w:val="left"/>
              <w:rPr>
                <w:color w:val="FFFFFF" w:themeColor="background1"/>
                <w:sz w:val="18"/>
              </w:rPr>
            </w:pPr>
            <w:r w:rsidRPr="00A317F6">
              <w:rPr>
                <w:color w:val="FFFFFF" w:themeColor="background1"/>
                <w:sz w:val="18"/>
                <w:szCs w:val="18"/>
              </w:rPr>
              <w:t>Resource sharing programme</w:t>
            </w:r>
          </w:p>
        </w:tc>
        <w:tc>
          <w:tcPr>
            <w:tcW w:w="239" w:type="pct"/>
            <w:tcBorders>
              <w:top w:val="single" w:sz="2" w:space="0" w:color="FFFFFF" w:themeColor="background1"/>
              <w:left w:val="single" w:sz="2" w:space="0" w:color="FFFFFF" w:themeColor="background1"/>
              <w:bottom w:val="single" w:sz="2" w:space="0" w:color="0067AB"/>
              <w:right w:val="single" w:sz="2" w:space="0" w:color="FFFFFF" w:themeColor="background1"/>
            </w:tcBorders>
            <w:shd w:val="solid" w:color="0067AB" w:fill="0067AB"/>
            <w:textDirection w:val="btLr"/>
            <w:vAlign w:val="center"/>
          </w:tcPr>
          <w:p w14:paraId="7B43D1C5" w14:textId="77777777" w:rsidR="00C15432" w:rsidRPr="00A317F6" w:rsidRDefault="00C15432" w:rsidP="00C15432">
            <w:pPr>
              <w:pStyle w:val="TableHeadingWhite"/>
              <w:ind w:left="0"/>
              <w:jc w:val="left"/>
              <w:rPr>
                <w:color w:val="FFFFFF" w:themeColor="background1"/>
                <w:sz w:val="18"/>
              </w:rPr>
            </w:pPr>
            <w:r w:rsidRPr="00A317F6">
              <w:rPr>
                <w:color w:val="FFFFFF" w:themeColor="background1"/>
                <w:sz w:val="18"/>
                <w:szCs w:val="18"/>
              </w:rPr>
              <w:t xml:space="preserve">Marketed products </w:t>
            </w:r>
          </w:p>
        </w:tc>
        <w:tc>
          <w:tcPr>
            <w:tcW w:w="238" w:type="pct"/>
            <w:tcBorders>
              <w:top w:val="single" w:sz="2" w:space="0" w:color="FFFFFF" w:themeColor="background1"/>
              <w:left w:val="single" w:sz="2" w:space="0" w:color="FFFFFF" w:themeColor="background1"/>
              <w:bottom w:val="single" w:sz="2" w:space="0" w:color="0067AB"/>
              <w:right w:val="single" w:sz="2" w:space="0" w:color="FFFFFF" w:themeColor="background1"/>
            </w:tcBorders>
            <w:shd w:val="solid" w:color="0067AB" w:fill="0067AB"/>
            <w:textDirection w:val="btLr"/>
            <w:vAlign w:val="center"/>
          </w:tcPr>
          <w:p w14:paraId="73D3650E" w14:textId="77777777" w:rsidR="00C15432" w:rsidRPr="00A317F6" w:rsidRDefault="00C15432" w:rsidP="00C15432">
            <w:pPr>
              <w:pStyle w:val="TableHeadingWhite"/>
              <w:ind w:left="0"/>
              <w:jc w:val="left"/>
              <w:rPr>
                <w:color w:val="FFFFFF" w:themeColor="background1"/>
                <w:sz w:val="18"/>
              </w:rPr>
            </w:pPr>
            <w:r w:rsidRPr="00A317F6">
              <w:rPr>
                <w:color w:val="FFFFFF" w:themeColor="background1"/>
                <w:sz w:val="18"/>
                <w:szCs w:val="18"/>
              </w:rPr>
              <w:t xml:space="preserve">Payment  for ecosystem services </w:t>
            </w:r>
          </w:p>
        </w:tc>
      </w:tr>
      <w:tr w:rsidR="00C15432" w14:paraId="43CCEC36" w14:textId="77777777" w:rsidTr="00C15432">
        <w:tc>
          <w:tcPr>
            <w:tcW w:w="5000" w:type="pct"/>
            <w:gridSpan w:val="19"/>
            <w:tcBorders>
              <w:top w:val="single" w:sz="2" w:space="0" w:color="0067AB"/>
              <w:left w:val="single" w:sz="2" w:space="0" w:color="0067AB"/>
              <w:bottom w:val="single" w:sz="2" w:space="0" w:color="0067AB"/>
              <w:right w:val="single" w:sz="2" w:space="0" w:color="0067AB"/>
            </w:tcBorders>
            <w:shd w:val="clear" w:color="auto" w:fill="F2F2F2" w:themeFill="background1" w:themeFillShade="F2"/>
          </w:tcPr>
          <w:p w14:paraId="083A68A3" w14:textId="77777777" w:rsidR="00C15432" w:rsidRPr="00D60446" w:rsidRDefault="00C15432" w:rsidP="00C15432">
            <w:pPr>
              <w:pStyle w:val="TableTextNoSpace"/>
              <w:jc w:val="left"/>
              <w:rPr>
                <w:rFonts w:asciiTheme="minorHAnsi" w:hAnsiTheme="minorHAnsi"/>
                <w:sz w:val="18"/>
                <w:szCs w:val="18"/>
              </w:rPr>
            </w:pPr>
            <w:r>
              <w:rPr>
                <w:rFonts w:asciiTheme="minorHAnsi" w:hAnsiTheme="minorHAnsi"/>
                <w:b/>
                <w:sz w:val="18"/>
                <w:szCs w:val="18"/>
              </w:rPr>
              <w:t>NRW</w:t>
            </w:r>
          </w:p>
        </w:tc>
      </w:tr>
      <w:tr w:rsidR="00C15432" w14:paraId="2A52D7D9" w14:textId="77777777" w:rsidTr="00C15432">
        <w:tc>
          <w:tcPr>
            <w:tcW w:w="699" w:type="pct"/>
            <w:tcBorders>
              <w:top w:val="single" w:sz="2" w:space="0" w:color="0067AB"/>
              <w:left w:val="single" w:sz="2" w:space="0" w:color="0067AB"/>
              <w:bottom w:val="single" w:sz="2" w:space="0" w:color="0067AB"/>
              <w:right w:val="single" w:sz="2" w:space="0" w:color="0067AB"/>
            </w:tcBorders>
            <w:hideMark/>
          </w:tcPr>
          <w:p w14:paraId="278EB9E5" w14:textId="77777777" w:rsidR="00C15432" w:rsidRPr="00D60446" w:rsidRDefault="00C15432" w:rsidP="00C15432">
            <w:pPr>
              <w:pStyle w:val="TableTextNoSpace"/>
              <w:jc w:val="left"/>
              <w:rPr>
                <w:rFonts w:asciiTheme="minorHAnsi" w:hAnsiTheme="minorHAnsi"/>
                <w:sz w:val="18"/>
                <w:szCs w:val="18"/>
              </w:rPr>
            </w:pPr>
            <w:r w:rsidRPr="00D60446">
              <w:rPr>
                <w:rFonts w:asciiTheme="minorHAnsi" w:hAnsiTheme="minorHAnsi"/>
                <w:sz w:val="18"/>
                <w:szCs w:val="18"/>
              </w:rPr>
              <w:t xml:space="preserve">NRW </w:t>
            </w:r>
          </w:p>
        </w:tc>
        <w:tc>
          <w:tcPr>
            <w:tcW w:w="239" w:type="pct"/>
            <w:tcBorders>
              <w:top w:val="single" w:sz="2" w:space="0" w:color="0067AB"/>
              <w:left w:val="single" w:sz="2" w:space="0" w:color="0067AB"/>
              <w:bottom w:val="single" w:sz="2" w:space="0" w:color="0067AB"/>
              <w:right w:val="single" w:sz="2" w:space="0" w:color="0067AB"/>
            </w:tcBorders>
            <w:vAlign w:val="center"/>
          </w:tcPr>
          <w:p w14:paraId="297E5DB6" w14:textId="77777777" w:rsidR="00C15432" w:rsidRPr="00CE4330" w:rsidRDefault="00C15432" w:rsidP="00C15432">
            <w:pPr>
              <w:pStyle w:val="TableTextNoSpace"/>
              <w:jc w:val="center"/>
              <w:rPr>
                <w:rFonts w:cs="Arial"/>
                <w:sz w:val="18"/>
                <w:szCs w:val="18"/>
              </w:rPr>
            </w:pPr>
            <w:r>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6FDDC896" w14:textId="77777777" w:rsidR="00C15432" w:rsidRPr="00CE4330" w:rsidRDefault="00C15432" w:rsidP="00C15432">
            <w:pPr>
              <w:pStyle w:val="TableTextNoSpace"/>
              <w:jc w:val="center"/>
              <w:rPr>
                <w:rFonts w:cs="Arial"/>
                <w:sz w:val="18"/>
                <w:szCs w:val="18"/>
              </w:rPr>
            </w:pPr>
            <w:r>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shd w:val="clear" w:color="auto" w:fill="auto"/>
            <w:vAlign w:val="center"/>
          </w:tcPr>
          <w:p w14:paraId="2A65088C" w14:textId="77777777" w:rsidR="00C15432" w:rsidRPr="002C12E7" w:rsidRDefault="00C15432" w:rsidP="00C15432">
            <w:pPr>
              <w:pStyle w:val="TableTextNoSpace"/>
              <w:jc w:val="center"/>
              <w:rPr>
                <w:rFonts w:cs="Arial"/>
                <w:b/>
                <w:sz w:val="18"/>
                <w:szCs w:val="18"/>
              </w:rPr>
            </w:pPr>
            <w:r w:rsidRPr="002C12E7">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0105A5A0" w14:textId="77777777" w:rsidR="00C15432" w:rsidRPr="00CE4330" w:rsidRDefault="00C15432" w:rsidP="00C15432">
            <w:pPr>
              <w:pStyle w:val="TableTextNoSpace"/>
              <w:jc w:val="center"/>
              <w:rPr>
                <w:rFonts w:cs="Arial"/>
                <w:sz w:val="18"/>
                <w:szCs w:val="18"/>
              </w:rPr>
            </w:pPr>
            <w:r>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50AF9888" w14:textId="77777777" w:rsidR="00C15432" w:rsidRPr="00CE4330" w:rsidRDefault="00C15432" w:rsidP="00C15432">
            <w:pPr>
              <w:pStyle w:val="TableTextNoSpace"/>
              <w:jc w:val="center"/>
              <w:rPr>
                <w:rFonts w:cs="Arial"/>
                <w:sz w:val="18"/>
                <w:szCs w:val="18"/>
              </w:rPr>
            </w:pPr>
            <w:r>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7B7B7617" w14:textId="77777777" w:rsidR="00C15432" w:rsidRPr="002C12E7" w:rsidRDefault="00C15432" w:rsidP="00C15432">
            <w:pPr>
              <w:pStyle w:val="TableTextNoSpace"/>
              <w:jc w:val="center"/>
              <w:rPr>
                <w:rFonts w:cs="Arial"/>
                <w:b/>
                <w:sz w:val="18"/>
                <w:szCs w:val="18"/>
              </w:rPr>
            </w:pPr>
            <w:r w:rsidRPr="002C12E7">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4A6E501C" w14:textId="77777777" w:rsidR="00C15432" w:rsidRPr="00CE4330" w:rsidRDefault="00C15432" w:rsidP="00C15432">
            <w:pPr>
              <w:pStyle w:val="TableTextNoSpace"/>
              <w:jc w:val="center"/>
              <w:rPr>
                <w:rFonts w:cs="Arial"/>
                <w:sz w:val="18"/>
                <w:szCs w:val="18"/>
              </w:rPr>
            </w:pPr>
            <w:r>
              <w:rPr>
                <w:rFonts w:cs="Arial"/>
                <w:sz w:val="18"/>
                <w:szCs w:val="18"/>
              </w:rPr>
              <w:t>x</w:t>
            </w:r>
          </w:p>
        </w:tc>
        <w:tc>
          <w:tcPr>
            <w:tcW w:w="239" w:type="pct"/>
            <w:tcBorders>
              <w:top w:val="single" w:sz="2" w:space="0" w:color="0067AB"/>
              <w:left w:val="single" w:sz="2" w:space="0" w:color="0067AB"/>
              <w:bottom w:val="single" w:sz="2" w:space="0" w:color="0067AB"/>
              <w:right w:val="single" w:sz="2" w:space="0" w:color="0067AB"/>
            </w:tcBorders>
          </w:tcPr>
          <w:p w14:paraId="0504107A" w14:textId="77777777" w:rsidR="00C15432" w:rsidRPr="00CE4330" w:rsidRDefault="00C15432" w:rsidP="00C15432">
            <w:pPr>
              <w:pStyle w:val="TableTextNoSpace"/>
              <w:jc w:val="center"/>
              <w:rPr>
                <w:rFonts w:cs="Arial"/>
                <w:sz w:val="18"/>
                <w:szCs w:val="18"/>
              </w:rPr>
            </w:pPr>
            <w:r>
              <w:rPr>
                <w:rFonts w:cs="Arial"/>
                <w:sz w:val="18"/>
                <w:szCs w:val="18"/>
              </w:rPr>
              <w:t>x</w:t>
            </w:r>
          </w:p>
        </w:tc>
        <w:tc>
          <w:tcPr>
            <w:tcW w:w="239" w:type="pct"/>
            <w:tcBorders>
              <w:top w:val="single" w:sz="2" w:space="0" w:color="0067AB"/>
              <w:left w:val="single" w:sz="2" w:space="0" w:color="0067AB"/>
              <w:bottom w:val="single" w:sz="2" w:space="0" w:color="0067AB"/>
              <w:right w:val="single" w:sz="2" w:space="0" w:color="0067AB"/>
            </w:tcBorders>
          </w:tcPr>
          <w:p w14:paraId="07F8C4AE" w14:textId="77777777" w:rsidR="00C15432" w:rsidRPr="00CE4330" w:rsidRDefault="00C15432" w:rsidP="00C15432">
            <w:pPr>
              <w:pStyle w:val="TableTextNoSpace"/>
              <w:jc w:val="center"/>
              <w:rPr>
                <w:rFonts w:cs="Arial"/>
                <w:sz w:val="18"/>
                <w:szCs w:val="18"/>
              </w:rPr>
            </w:pPr>
            <w:r>
              <w:rPr>
                <w:rFonts w:cs="Arial"/>
                <w:sz w:val="18"/>
                <w:szCs w:val="18"/>
              </w:rPr>
              <w:t>x</w:t>
            </w:r>
          </w:p>
        </w:tc>
        <w:tc>
          <w:tcPr>
            <w:tcW w:w="239" w:type="pct"/>
            <w:tcBorders>
              <w:top w:val="single" w:sz="2" w:space="0" w:color="0067AB"/>
              <w:left w:val="single" w:sz="2" w:space="0" w:color="0067AB"/>
              <w:bottom w:val="single" w:sz="2" w:space="0" w:color="0067AB"/>
              <w:right w:val="single" w:sz="2" w:space="0" w:color="0067AB"/>
            </w:tcBorders>
          </w:tcPr>
          <w:p w14:paraId="6D9E0F11" w14:textId="77777777" w:rsidR="00C15432" w:rsidRPr="00CE4330" w:rsidRDefault="00C15432" w:rsidP="00C15432">
            <w:pPr>
              <w:pStyle w:val="TableTextNoSpace"/>
              <w:jc w:val="center"/>
              <w:rPr>
                <w:rFonts w:cs="Arial"/>
                <w:sz w:val="18"/>
                <w:szCs w:val="18"/>
              </w:rPr>
            </w:pPr>
            <w:r>
              <w:rPr>
                <w:rFonts w:cs="Arial"/>
                <w:sz w:val="18"/>
                <w:szCs w:val="18"/>
              </w:rPr>
              <w:t>x</w:t>
            </w:r>
          </w:p>
        </w:tc>
        <w:tc>
          <w:tcPr>
            <w:tcW w:w="239" w:type="pct"/>
            <w:tcBorders>
              <w:top w:val="single" w:sz="2" w:space="0" w:color="0067AB"/>
              <w:left w:val="single" w:sz="2" w:space="0" w:color="0067AB"/>
              <w:bottom w:val="single" w:sz="2" w:space="0" w:color="0067AB"/>
              <w:right w:val="single" w:sz="2" w:space="0" w:color="0067AB"/>
            </w:tcBorders>
          </w:tcPr>
          <w:p w14:paraId="63B4E06E" w14:textId="77777777" w:rsidR="00C15432" w:rsidRPr="00CE4330" w:rsidRDefault="00C15432" w:rsidP="00C15432">
            <w:pPr>
              <w:pStyle w:val="TableTextNoSpace"/>
              <w:jc w:val="center"/>
              <w:rPr>
                <w:rFonts w:cs="Arial"/>
                <w:sz w:val="18"/>
                <w:szCs w:val="18"/>
              </w:rPr>
            </w:pPr>
            <w:r>
              <w:rPr>
                <w:rFonts w:cs="Arial"/>
                <w:b/>
                <w:sz w:val="18"/>
                <w:szCs w:val="18"/>
              </w:rPr>
              <w:t>X</w:t>
            </w:r>
          </w:p>
        </w:tc>
        <w:tc>
          <w:tcPr>
            <w:tcW w:w="239" w:type="pct"/>
            <w:tcBorders>
              <w:top w:val="single" w:sz="2" w:space="0" w:color="0067AB"/>
              <w:left w:val="single" w:sz="2" w:space="0" w:color="0067AB"/>
              <w:bottom w:val="single" w:sz="2" w:space="0" w:color="0067AB"/>
              <w:right w:val="single" w:sz="12" w:space="0" w:color="0067AB"/>
            </w:tcBorders>
          </w:tcPr>
          <w:p w14:paraId="2D12D379" w14:textId="77777777" w:rsidR="00C15432" w:rsidRPr="00CE4330" w:rsidRDefault="00C15432" w:rsidP="00C15432">
            <w:pPr>
              <w:pStyle w:val="TableTextNoSpace"/>
              <w:jc w:val="center"/>
              <w:rPr>
                <w:rFonts w:cs="Arial"/>
                <w:sz w:val="18"/>
                <w:szCs w:val="18"/>
              </w:rPr>
            </w:pPr>
            <w:r>
              <w:rPr>
                <w:rFonts w:cs="Arial"/>
                <w:b/>
                <w:sz w:val="18"/>
                <w:szCs w:val="18"/>
              </w:rPr>
              <w:t>X</w:t>
            </w:r>
          </w:p>
        </w:tc>
        <w:tc>
          <w:tcPr>
            <w:tcW w:w="239" w:type="pct"/>
            <w:tcBorders>
              <w:top w:val="single" w:sz="2" w:space="0" w:color="0067AB"/>
              <w:left w:val="single" w:sz="12" w:space="0" w:color="0067AB"/>
              <w:bottom w:val="single" w:sz="2" w:space="0" w:color="0067AB"/>
              <w:right w:val="single" w:sz="2" w:space="0" w:color="0067AB"/>
            </w:tcBorders>
          </w:tcPr>
          <w:p w14:paraId="464797EE" w14:textId="77777777" w:rsidR="00C15432" w:rsidRPr="00CE4330" w:rsidRDefault="00C15432" w:rsidP="00C15432">
            <w:pPr>
              <w:pStyle w:val="TableTextNoSpace"/>
              <w:jc w:val="center"/>
              <w:rPr>
                <w:rFonts w:cs="Arial"/>
                <w:sz w:val="18"/>
                <w:szCs w:val="18"/>
              </w:rPr>
            </w:pPr>
            <w:r>
              <w:rPr>
                <w:rFonts w:cs="Arial"/>
                <w:sz w:val="18"/>
                <w:szCs w:val="18"/>
              </w:rPr>
              <w:t>x</w:t>
            </w:r>
          </w:p>
        </w:tc>
        <w:tc>
          <w:tcPr>
            <w:tcW w:w="239" w:type="pct"/>
            <w:tcBorders>
              <w:top w:val="single" w:sz="2" w:space="0" w:color="0067AB"/>
              <w:left w:val="single" w:sz="2" w:space="0" w:color="0067AB"/>
              <w:bottom w:val="single" w:sz="2" w:space="0" w:color="0067AB"/>
              <w:right w:val="single" w:sz="2" w:space="0" w:color="0067AB"/>
            </w:tcBorders>
          </w:tcPr>
          <w:p w14:paraId="439C7089" w14:textId="77777777" w:rsidR="00C15432" w:rsidRPr="00CE4330" w:rsidRDefault="00C15432" w:rsidP="00C15432">
            <w:pPr>
              <w:pStyle w:val="TableTextNoSpace"/>
              <w:jc w:val="center"/>
              <w:rPr>
                <w:rFonts w:cs="Arial"/>
                <w:sz w:val="18"/>
                <w:szCs w:val="18"/>
              </w:rPr>
            </w:pPr>
            <w:r>
              <w:rPr>
                <w:rFonts w:cs="Arial"/>
                <w:sz w:val="18"/>
                <w:szCs w:val="18"/>
              </w:rPr>
              <w:t>x</w:t>
            </w:r>
          </w:p>
        </w:tc>
        <w:tc>
          <w:tcPr>
            <w:tcW w:w="239" w:type="pct"/>
            <w:tcBorders>
              <w:top w:val="single" w:sz="2" w:space="0" w:color="0067AB"/>
              <w:left w:val="single" w:sz="2" w:space="0" w:color="0067AB"/>
              <w:bottom w:val="single" w:sz="2" w:space="0" w:color="0067AB"/>
              <w:right w:val="single" w:sz="2" w:space="0" w:color="0067AB"/>
            </w:tcBorders>
          </w:tcPr>
          <w:p w14:paraId="639600E6" w14:textId="77777777" w:rsidR="00C15432" w:rsidRPr="00CE4330" w:rsidRDefault="00C15432" w:rsidP="00C15432">
            <w:pPr>
              <w:pStyle w:val="TableTextNoSpace"/>
              <w:jc w:val="center"/>
              <w:rPr>
                <w:rFonts w:cs="Arial"/>
                <w:sz w:val="18"/>
                <w:szCs w:val="18"/>
              </w:rPr>
            </w:pPr>
            <w:r>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tcPr>
          <w:p w14:paraId="0CAD5C30" w14:textId="77777777" w:rsidR="00C15432" w:rsidRPr="00CE4330" w:rsidRDefault="00C15432" w:rsidP="00C15432">
            <w:pPr>
              <w:pStyle w:val="TableTextNoSpace"/>
              <w:jc w:val="center"/>
              <w:rPr>
                <w:rFonts w:cs="Arial"/>
                <w:sz w:val="18"/>
                <w:szCs w:val="18"/>
              </w:rPr>
            </w:pPr>
            <w:r>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tcPr>
          <w:p w14:paraId="71B64EBD" w14:textId="77777777" w:rsidR="00C15432" w:rsidRPr="00CE4330" w:rsidRDefault="00C15432" w:rsidP="00C15432">
            <w:pPr>
              <w:pStyle w:val="TableTextNoSpace"/>
              <w:jc w:val="center"/>
              <w:rPr>
                <w:rFonts w:cs="Arial"/>
                <w:sz w:val="18"/>
                <w:szCs w:val="18"/>
              </w:rPr>
            </w:pPr>
            <w:r>
              <w:rPr>
                <w:rFonts w:cs="Arial"/>
                <w:sz w:val="18"/>
                <w:szCs w:val="18"/>
              </w:rPr>
              <w:t>x</w:t>
            </w:r>
          </w:p>
        </w:tc>
        <w:tc>
          <w:tcPr>
            <w:tcW w:w="238" w:type="pct"/>
            <w:tcBorders>
              <w:top w:val="single" w:sz="2" w:space="0" w:color="0067AB"/>
              <w:left w:val="single" w:sz="2" w:space="0" w:color="0067AB"/>
              <w:bottom w:val="single" w:sz="2" w:space="0" w:color="0067AB"/>
              <w:right w:val="single" w:sz="2" w:space="0" w:color="0067AB"/>
            </w:tcBorders>
          </w:tcPr>
          <w:p w14:paraId="79F7966D" w14:textId="77777777" w:rsidR="00C15432" w:rsidRPr="002C12E7" w:rsidRDefault="00C15432" w:rsidP="00C15432">
            <w:pPr>
              <w:pStyle w:val="TableTextNoSpace"/>
              <w:jc w:val="center"/>
              <w:rPr>
                <w:rFonts w:cs="Arial"/>
                <w:b/>
                <w:sz w:val="18"/>
                <w:szCs w:val="18"/>
              </w:rPr>
            </w:pPr>
            <w:r w:rsidRPr="002C12E7">
              <w:rPr>
                <w:rFonts w:cs="Arial"/>
                <w:b/>
                <w:sz w:val="18"/>
                <w:szCs w:val="18"/>
              </w:rPr>
              <w:t>X</w:t>
            </w:r>
          </w:p>
        </w:tc>
      </w:tr>
      <w:tr w:rsidR="00C15432" w14:paraId="010B67CD" w14:textId="77777777" w:rsidTr="00C15432">
        <w:tc>
          <w:tcPr>
            <w:tcW w:w="5000" w:type="pct"/>
            <w:gridSpan w:val="19"/>
            <w:tcBorders>
              <w:top w:val="single" w:sz="2" w:space="0" w:color="0067AB"/>
              <w:left w:val="single" w:sz="2" w:space="0" w:color="0067AB"/>
              <w:bottom w:val="single" w:sz="2" w:space="0" w:color="0067AB"/>
              <w:right w:val="single" w:sz="2" w:space="0" w:color="0067AB"/>
            </w:tcBorders>
            <w:shd w:val="clear" w:color="auto" w:fill="F2F2F2" w:themeFill="background1" w:themeFillShade="F2"/>
          </w:tcPr>
          <w:p w14:paraId="472F6A3C" w14:textId="77777777" w:rsidR="00C15432" w:rsidRPr="00CE4330" w:rsidRDefault="00C15432" w:rsidP="00C15432">
            <w:pPr>
              <w:pStyle w:val="TableTextNoSpace"/>
              <w:jc w:val="left"/>
              <w:rPr>
                <w:rFonts w:cs="Arial"/>
                <w:sz w:val="18"/>
                <w:szCs w:val="18"/>
              </w:rPr>
            </w:pPr>
            <w:r>
              <w:rPr>
                <w:rFonts w:asciiTheme="minorHAnsi" w:hAnsiTheme="minorHAnsi"/>
                <w:b/>
                <w:sz w:val="18"/>
                <w:szCs w:val="18"/>
              </w:rPr>
              <w:t>European</w:t>
            </w:r>
          </w:p>
        </w:tc>
      </w:tr>
      <w:tr w:rsidR="00C15432" w14:paraId="3FF787FB" w14:textId="77777777" w:rsidTr="00C15432">
        <w:tc>
          <w:tcPr>
            <w:tcW w:w="699" w:type="pct"/>
            <w:tcBorders>
              <w:top w:val="single" w:sz="2" w:space="0" w:color="0067AB"/>
              <w:left w:val="single" w:sz="2" w:space="0" w:color="0067AB"/>
              <w:bottom w:val="single" w:sz="2" w:space="0" w:color="0067AB"/>
              <w:right w:val="single" w:sz="2" w:space="0" w:color="0067AB"/>
            </w:tcBorders>
          </w:tcPr>
          <w:p w14:paraId="2D99DB72" w14:textId="77777777" w:rsidR="00C15432" w:rsidRPr="00D60446" w:rsidRDefault="00C15432" w:rsidP="00C15432">
            <w:pPr>
              <w:pStyle w:val="TableTextNoSpace"/>
              <w:jc w:val="left"/>
              <w:rPr>
                <w:rFonts w:asciiTheme="minorHAnsi" w:hAnsiTheme="minorHAnsi"/>
                <w:sz w:val="18"/>
                <w:szCs w:val="18"/>
              </w:rPr>
            </w:pPr>
            <w:r>
              <w:rPr>
                <w:rFonts w:asciiTheme="minorHAnsi" w:hAnsiTheme="minorHAnsi"/>
                <w:sz w:val="18"/>
                <w:szCs w:val="18"/>
              </w:rPr>
              <w:t xml:space="preserve">EAFRD - </w:t>
            </w:r>
            <w:r w:rsidRPr="00D60446">
              <w:rPr>
                <w:rFonts w:asciiTheme="minorHAnsi" w:hAnsiTheme="minorHAnsi"/>
                <w:sz w:val="18"/>
                <w:szCs w:val="18"/>
              </w:rPr>
              <w:t>RDP</w:t>
            </w:r>
          </w:p>
        </w:tc>
        <w:tc>
          <w:tcPr>
            <w:tcW w:w="239" w:type="pct"/>
            <w:tcBorders>
              <w:top w:val="single" w:sz="2" w:space="0" w:color="0067AB"/>
              <w:left w:val="single" w:sz="2" w:space="0" w:color="0067AB"/>
              <w:bottom w:val="single" w:sz="2" w:space="0" w:color="0067AB"/>
              <w:right w:val="single" w:sz="2" w:space="0" w:color="0067AB"/>
            </w:tcBorders>
          </w:tcPr>
          <w:p w14:paraId="02847232" w14:textId="77777777" w:rsidR="00C15432" w:rsidRPr="00E40D58" w:rsidRDefault="00C15432" w:rsidP="00C15432">
            <w:pPr>
              <w:pStyle w:val="TableTextNoSpace"/>
              <w:jc w:val="center"/>
              <w:rPr>
                <w:rFonts w:cs="Arial"/>
                <w:sz w:val="18"/>
                <w:szCs w:val="18"/>
              </w:rPr>
            </w:pPr>
            <w:r w:rsidRPr="00A61DAF">
              <w:rPr>
                <w:rFonts w:cs="Arial"/>
                <w:sz w:val="18"/>
                <w:szCs w:val="18"/>
              </w:rPr>
              <w:t>x</w:t>
            </w:r>
          </w:p>
        </w:tc>
        <w:tc>
          <w:tcPr>
            <w:tcW w:w="239" w:type="pct"/>
            <w:tcBorders>
              <w:top w:val="single" w:sz="2" w:space="0" w:color="0067AB"/>
              <w:left w:val="single" w:sz="2" w:space="0" w:color="0067AB"/>
              <w:bottom w:val="single" w:sz="2" w:space="0" w:color="0067AB"/>
              <w:right w:val="single" w:sz="2" w:space="0" w:color="0067AB"/>
            </w:tcBorders>
          </w:tcPr>
          <w:p w14:paraId="2E1D959C" w14:textId="77777777" w:rsidR="00C15432" w:rsidRPr="00E40D58" w:rsidRDefault="00C15432" w:rsidP="00C15432">
            <w:pPr>
              <w:pStyle w:val="TableTextNoSpace"/>
              <w:jc w:val="center"/>
              <w:rPr>
                <w:rFonts w:cs="Arial"/>
                <w:sz w:val="18"/>
                <w:szCs w:val="18"/>
              </w:rPr>
            </w:pPr>
            <w:r w:rsidRPr="00A61DAF">
              <w:rPr>
                <w:rFonts w:cs="Arial"/>
                <w:sz w:val="18"/>
                <w:szCs w:val="18"/>
              </w:rPr>
              <w:t>x</w:t>
            </w:r>
          </w:p>
        </w:tc>
        <w:tc>
          <w:tcPr>
            <w:tcW w:w="239" w:type="pct"/>
            <w:tcBorders>
              <w:top w:val="single" w:sz="2" w:space="0" w:color="0067AB"/>
              <w:left w:val="single" w:sz="2" w:space="0" w:color="0067AB"/>
              <w:bottom w:val="single" w:sz="2" w:space="0" w:color="0067AB"/>
              <w:right w:val="single" w:sz="2" w:space="0" w:color="0067AB"/>
            </w:tcBorders>
          </w:tcPr>
          <w:p w14:paraId="40014EAA" w14:textId="77777777" w:rsidR="00C15432" w:rsidRPr="00CE4330" w:rsidRDefault="00C15432" w:rsidP="00C15432">
            <w:pPr>
              <w:pStyle w:val="TableTextNoSpace"/>
              <w:jc w:val="center"/>
              <w:rPr>
                <w:rFonts w:cs="Arial"/>
                <w:sz w:val="18"/>
                <w:szCs w:val="18"/>
              </w:rPr>
            </w:pPr>
            <w:r>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shd w:val="clear" w:color="auto" w:fill="auto"/>
          </w:tcPr>
          <w:p w14:paraId="0D339F73" w14:textId="77777777" w:rsidR="00C15432" w:rsidRPr="00A61DAF"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2" w:space="0" w:color="0067AB"/>
            </w:tcBorders>
          </w:tcPr>
          <w:p w14:paraId="1078A5BE"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tcPr>
          <w:p w14:paraId="7F7B2EE1"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tcPr>
          <w:p w14:paraId="33C26B2B"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tcPr>
          <w:p w14:paraId="44962D28"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tcPr>
          <w:p w14:paraId="504F3DE2" w14:textId="77777777" w:rsidR="00C15432" w:rsidRPr="00CE4330" w:rsidRDefault="00C15432" w:rsidP="00C15432">
            <w:pPr>
              <w:pStyle w:val="TableTextNoSpace"/>
              <w:jc w:val="center"/>
              <w:rPr>
                <w:rFonts w:cs="Arial"/>
                <w:sz w:val="18"/>
                <w:szCs w:val="18"/>
              </w:rPr>
            </w:pPr>
            <w:r>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tcPr>
          <w:p w14:paraId="0B05E597" w14:textId="77777777" w:rsidR="00C15432" w:rsidRPr="00CE4330" w:rsidRDefault="00C15432" w:rsidP="00C15432">
            <w:pPr>
              <w:pStyle w:val="TableTextNoSpace"/>
              <w:jc w:val="center"/>
              <w:rPr>
                <w:rFonts w:cs="Arial"/>
                <w:sz w:val="18"/>
                <w:szCs w:val="18"/>
              </w:rPr>
            </w:pPr>
            <w:r>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tcPr>
          <w:p w14:paraId="7C458733"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12" w:space="0" w:color="0067AB"/>
            </w:tcBorders>
          </w:tcPr>
          <w:p w14:paraId="1260BC52" w14:textId="77777777" w:rsidR="00C15432" w:rsidRPr="001650AD" w:rsidRDefault="00C15432" w:rsidP="00C15432">
            <w:pPr>
              <w:pStyle w:val="TableTextNoSpace"/>
              <w:jc w:val="center"/>
              <w:rPr>
                <w:rFonts w:cs="Arial"/>
                <w:sz w:val="18"/>
                <w:szCs w:val="18"/>
              </w:rPr>
            </w:pPr>
            <w:r w:rsidRPr="001650AD">
              <w:rPr>
                <w:rFonts w:cs="Arial"/>
                <w:sz w:val="18"/>
                <w:szCs w:val="18"/>
              </w:rPr>
              <w:t>x</w:t>
            </w:r>
          </w:p>
        </w:tc>
        <w:tc>
          <w:tcPr>
            <w:tcW w:w="239" w:type="pct"/>
            <w:tcBorders>
              <w:top w:val="single" w:sz="2" w:space="0" w:color="0067AB"/>
              <w:left w:val="single" w:sz="12" w:space="0" w:color="0067AB"/>
              <w:bottom w:val="single" w:sz="2" w:space="0" w:color="0067AB"/>
              <w:right w:val="single" w:sz="2" w:space="0" w:color="0067AB"/>
            </w:tcBorders>
          </w:tcPr>
          <w:p w14:paraId="242554F5" w14:textId="77777777" w:rsidR="00C15432" w:rsidRPr="00CE4330" w:rsidRDefault="00C15432" w:rsidP="00C15432">
            <w:pPr>
              <w:pStyle w:val="TableTextNoSpace"/>
              <w:jc w:val="center"/>
              <w:rPr>
                <w:rFonts w:cs="Arial"/>
                <w:sz w:val="18"/>
                <w:szCs w:val="18"/>
              </w:rPr>
            </w:pPr>
            <w:r>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tcPr>
          <w:p w14:paraId="4738F333" w14:textId="77777777" w:rsidR="00C15432" w:rsidRPr="00CE4330" w:rsidRDefault="00C15432" w:rsidP="00C15432">
            <w:pPr>
              <w:pStyle w:val="TableTextNoSpace"/>
              <w:jc w:val="center"/>
              <w:rPr>
                <w:rFonts w:cs="Arial"/>
                <w:sz w:val="18"/>
                <w:szCs w:val="18"/>
              </w:rPr>
            </w:pPr>
            <w:r>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tcPr>
          <w:p w14:paraId="6ED6CE35"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tcPr>
          <w:p w14:paraId="41B1A98F" w14:textId="77777777" w:rsidR="00C15432" w:rsidRPr="00CE4330" w:rsidRDefault="00C15432" w:rsidP="00C15432">
            <w:pPr>
              <w:pStyle w:val="TableTextNoSpace"/>
              <w:jc w:val="center"/>
              <w:rPr>
                <w:rFonts w:cs="Arial"/>
                <w:sz w:val="18"/>
                <w:szCs w:val="18"/>
              </w:rPr>
            </w:pPr>
            <w:r>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tcPr>
          <w:p w14:paraId="57C2B8C7" w14:textId="77777777" w:rsidR="00C15432" w:rsidRPr="00CE4330" w:rsidRDefault="00C15432" w:rsidP="00C15432">
            <w:pPr>
              <w:pStyle w:val="TableTextNoSpace"/>
              <w:jc w:val="center"/>
              <w:rPr>
                <w:rFonts w:cs="Arial"/>
                <w:sz w:val="18"/>
                <w:szCs w:val="18"/>
              </w:rPr>
            </w:pPr>
            <w:r>
              <w:rPr>
                <w:rFonts w:cs="Arial"/>
                <w:b/>
                <w:sz w:val="18"/>
                <w:szCs w:val="18"/>
              </w:rPr>
              <w:t>X</w:t>
            </w:r>
          </w:p>
        </w:tc>
        <w:tc>
          <w:tcPr>
            <w:tcW w:w="238" w:type="pct"/>
            <w:tcBorders>
              <w:top w:val="single" w:sz="2" w:space="0" w:color="0067AB"/>
              <w:left w:val="single" w:sz="2" w:space="0" w:color="0067AB"/>
              <w:bottom w:val="single" w:sz="2" w:space="0" w:color="0067AB"/>
              <w:right w:val="single" w:sz="2" w:space="0" w:color="0067AB"/>
            </w:tcBorders>
          </w:tcPr>
          <w:p w14:paraId="64377E5C" w14:textId="77777777" w:rsidR="00C15432" w:rsidRPr="00CE4330" w:rsidRDefault="00C15432" w:rsidP="00C15432">
            <w:pPr>
              <w:pStyle w:val="TableTextNoSpace"/>
              <w:jc w:val="center"/>
              <w:rPr>
                <w:rFonts w:cs="Arial"/>
                <w:sz w:val="18"/>
                <w:szCs w:val="18"/>
              </w:rPr>
            </w:pPr>
            <w:r>
              <w:rPr>
                <w:rFonts w:cs="Arial"/>
                <w:b/>
                <w:sz w:val="18"/>
                <w:szCs w:val="18"/>
              </w:rPr>
              <w:t>X</w:t>
            </w:r>
          </w:p>
        </w:tc>
      </w:tr>
      <w:tr w:rsidR="00C15432" w14:paraId="1B4F8EB6" w14:textId="77777777" w:rsidTr="00C15432">
        <w:tc>
          <w:tcPr>
            <w:tcW w:w="699" w:type="pct"/>
            <w:tcBorders>
              <w:top w:val="single" w:sz="2" w:space="0" w:color="0067AB"/>
              <w:left w:val="single" w:sz="2" w:space="0" w:color="0067AB"/>
              <w:bottom w:val="single" w:sz="2" w:space="0" w:color="0067AB"/>
              <w:right w:val="single" w:sz="2" w:space="0" w:color="0067AB"/>
            </w:tcBorders>
          </w:tcPr>
          <w:p w14:paraId="16288BFE" w14:textId="711B499E" w:rsidR="00C15432" w:rsidRPr="00EE77C4" w:rsidRDefault="00C15432" w:rsidP="00EE77C4">
            <w:pPr>
              <w:pStyle w:val="TableTextNoSpace"/>
              <w:jc w:val="left"/>
              <w:rPr>
                <w:rFonts w:asciiTheme="minorHAnsi" w:hAnsiTheme="minorHAnsi"/>
                <w:sz w:val="16"/>
                <w:szCs w:val="16"/>
              </w:rPr>
            </w:pPr>
            <w:r w:rsidRPr="00EE77C4">
              <w:rPr>
                <w:rFonts w:asciiTheme="minorHAnsi" w:hAnsiTheme="minorHAnsi"/>
                <w:sz w:val="16"/>
                <w:szCs w:val="16"/>
              </w:rPr>
              <w:t>CAP</w:t>
            </w:r>
            <w:r w:rsidR="00EE77C4" w:rsidRPr="00EE77C4">
              <w:rPr>
                <w:rFonts w:asciiTheme="minorHAnsi" w:hAnsiTheme="minorHAnsi"/>
                <w:sz w:val="16"/>
                <w:szCs w:val="16"/>
              </w:rPr>
              <w:t xml:space="preserve"> Direct Pay</w:t>
            </w:r>
            <w:r w:rsidR="00EE77C4">
              <w:rPr>
                <w:rFonts w:asciiTheme="minorHAnsi" w:hAnsiTheme="minorHAnsi"/>
                <w:sz w:val="16"/>
                <w:szCs w:val="16"/>
              </w:rPr>
              <w:t>m</w:t>
            </w:r>
            <w:r w:rsidR="00EE77C4" w:rsidRPr="00EE77C4">
              <w:rPr>
                <w:rFonts w:asciiTheme="minorHAnsi" w:hAnsiTheme="minorHAnsi"/>
                <w:sz w:val="16"/>
                <w:szCs w:val="16"/>
              </w:rPr>
              <w:t>’t</w:t>
            </w:r>
            <w:r w:rsidRPr="00EE77C4">
              <w:rPr>
                <w:rFonts w:asciiTheme="minorHAnsi" w:hAnsiTheme="minorHAnsi"/>
                <w:sz w:val="16"/>
                <w:szCs w:val="16"/>
              </w:rPr>
              <w:t xml:space="preserve"> </w:t>
            </w:r>
          </w:p>
        </w:tc>
        <w:tc>
          <w:tcPr>
            <w:tcW w:w="239" w:type="pct"/>
            <w:tcBorders>
              <w:top w:val="single" w:sz="2" w:space="0" w:color="0067AB"/>
              <w:left w:val="single" w:sz="2" w:space="0" w:color="0067AB"/>
              <w:bottom w:val="single" w:sz="2" w:space="0" w:color="0067AB"/>
              <w:right w:val="single" w:sz="2" w:space="0" w:color="0067AB"/>
            </w:tcBorders>
            <w:vAlign w:val="center"/>
          </w:tcPr>
          <w:p w14:paraId="2C8F40A7"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0EB0150C"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142420B0"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4906C3AC"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238D7F1E"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06526F61"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238788AC"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2192FD50"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1F0C9CD6"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41E98F1D"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38242F6A"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12" w:space="0" w:color="0067AB"/>
            </w:tcBorders>
            <w:vAlign w:val="center"/>
          </w:tcPr>
          <w:p w14:paraId="5F3BD437" w14:textId="77777777" w:rsidR="00C15432" w:rsidRPr="001650AD" w:rsidRDefault="00C15432" w:rsidP="00C15432">
            <w:pPr>
              <w:pStyle w:val="TableTextNoSpace"/>
              <w:jc w:val="center"/>
              <w:rPr>
                <w:rFonts w:cs="Arial"/>
                <w:sz w:val="18"/>
                <w:szCs w:val="18"/>
              </w:rPr>
            </w:pPr>
          </w:p>
        </w:tc>
        <w:tc>
          <w:tcPr>
            <w:tcW w:w="239" w:type="pct"/>
            <w:tcBorders>
              <w:top w:val="single" w:sz="2" w:space="0" w:color="0067AB"/>
              <w:left w:val="single" w:sz="12" w:space="0" w:color="0067AB"/>
              <w:bottom w:val="single" w:sz="2" w:space="0" w:color="0067AB"/>
              <w:right w:val="single" w:sz="2" w:space="0" w:color="0067AB"/>
            </w:tcBorders>
            <w:vAlign w:val="center"/>
          </w:tcPr>
          <w:p w14:paraId="1549329A"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3426F1A6"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55112D84"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0F0C1459"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5D754351" w14:textId="77777777" w:rsidR="00C15432" w:rsidRPr="00CE4330" w:rsidRDefault="00C15432" w:rsidP="00C15432">
            <w:pPr>
              <w:pStyle w:val="TableTextNoSpace"/>
              <w:jc w:val="center"/>
              <w:rPr>
                <w:rFonts w:cs="Arial"/>
                <w:sz w:val="18"/>
                <w:szCs w:val="18"/>
              </w:rPr>
            </w:pPr>
          </w:p>
        </w:tc>
        <w:tc>
          <w:tcPr>
            <w:tcW w:w="238" w:type="pct"/>
            <w:tcBorders>
              <w:top w:val="single" w:sz="2" w:space="0" w:color="0067AB"/>
              <w:left w:val="single" w:sz="2" w:space="0" w:color="0067AB"/>
              <w:bottom w:val="single" w:sz="2" w:space="0" w:color="0067AB"/>
              <w:right w:val="single" w:sz="2" w:space="0" w:color="0067AB"/>
            </w:tcBorders>
            <w:vAlign w:val="center"/>
          </w:tcPr>
          <w:p w14:paraId="76A461F9" w14:textId="77777777" w:rsidR="00C15432" w:rsidRPr="00CE4330" w:rsidRDefault="00C15432" w:rsidP="00C15432">
            <w:pPr>
              <w:pStyle w:val="TableTextNoSpace"/>
              <w:jc w:val="center"/>
              <w:rPr>
                <w:rFonts w:cs="Arial"/>
                <w:sz w:val="18"/>
                <w:szCs w:val="18"/>
              </w:rPr>
            </w:pPr>
          </w:p>
        </w:tc>
      </w:tr>
      <w:tr w:rsidR="00C15432" w14:paraId="644E11B3" w14:textId="77777777" w:rsidTr="00C15432">
        <w:tc>
          <w:tcPr>
            <w:tcW w:w="699" w:type="pct"/>
            <w:tcBorders>
              <w:top w:val="single" w:sz="2" w:space="0" w:color="0067AB"/>
              <w:left w:val="single" w:sz="2" w:space="0" w:color="0067AB"/>
              <w:bottom w:val="single" w:sz="2" w:space="0" w:color="0067AB"/>
              <w:right w:val="single" w:sz="2" w:space="0" w:color="0067AB"/>
            </w:tcBorders>
          </w:tcPr>
          <w:p w14:paraId="56229C54" w14:textId="77777777" w:rsidR="00C15432" w:rsidRPr="00D60446" w:rsidRDefault="00C15432" w:rsidP="00C15432">
            <w:pPr>
              <w:pStyle w:val="TableTextNoSpace"/>
              <w:jc w:val="left"/>
              <w:rPr>
                <w:rFonts w:asciiTheme="minorHAnsi" w:hAnsiTheme="minorHAnsi"/>
                <w:sz w:val="18"/>
                <w:szCs w:val="18"/>
              </w:rPr>
            </w:pPr>
            <w:r>
              <w:rPr>
                <w:rFonts w:asciiTheme="minorHAnsi" w:hAnsiTheme="minorHAnsi"/>
                <w:sz w:val="18"/>
                <w:szCs w:val="18"/>
              </w:rPr>
              <w:t>EMFF</w:t>
            </w:r>
          </w:p>
        </w:tc>
        <w:tc>
          <w:tcPr>
            <w:tcW w:w="239" w:type="pct"/>
            <w:tcBorders>
              <w:top w:val="single" w:sz="2" w:space="0" w:color="0067AB"/>
              <w:left w:val="single" w:sz="2" w:space="0" w:color="0067AB"/>
              <w:bottom w:val="single" w:sz="2" w:space="0" w:color="0067AB"/>
              <w:right w:val="single" w:sz="2" w:space="0" w:color="0067AB"/>
            </w:tcBorders>
            <w:vAlign w:val="bottom"/>
          </w:tcPr>
          <w:p w14:paraId="08D435E9" w14:textId="77777777" w:rsidR="00C15432" w:rsidRPr="00CE4330" w:rsidRDefault="00C15432" w:rsidP="00C15432">
            <w:pPr>
              <w:pStyle w:val="TableTextNoSpace"/>
              <w:jc w:val="center"/>
              <w:rPr>
                <w:rFonts w:cs="Arial"/>
                <w:sz w:val="18"/>
                <w:szCs w:val="18"/>
              </w:rPr>
            </w:pPr>
            <w:r>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bottom"/>
          </w:tcPr>
          <w:p w14:paraId="5024D4A1" w14:textId="77777777" w:rsidR="00C15432" w:rsidRPr="00875BDD" w:rsidRDefault="00C15432" w:rsidP="00C15432">
            <w:pPr>
              <w:pStyle w:val="TableTextNoSpace"/>
              <w:jc w:val="center"/>
              <w:rPr>
                <w:rFonts w:cs="Arial"/>
                <w:sz w:val="18"/>
                <w:szCs w:val="18"/>
              </w:rPr>
            </w:pPr>
            <w:r w:rsidRPr="0044600F">
              <w:rPr>
                <w:rFonts w:cs="Arial"/>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bottom"/>
          </w:tcPr>
          <w:p w14:paraId="2FFE0C0A"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bottom"/>
          </w:tcPr>
          <w:p w14:paraId="4020B685"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bottom"/>
          </w:tcPr>
          <w:p w14:paraId="4206F2D2"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bottom"/>
          </w:tcPr>
          <w:p w14:paraId="1F9E2859"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bottom"/>
          </w:tcPr>
          <w:p w14:paraId="117EB1CE"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bottom"/>
          </w:tcPr>
          <w:p w14:paraId="4477ECA6"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bottom"/>
          </w:tcPr>
          <w:p w14:paraId="47BE7AB7" w14:textId="77777777" w:rsidR="00C15432" w:rsidRPr="00CE4330" w:rsidRDefault="00C15432" w:rsidP="00C15432">
            <w:pPr>
              <w:pStyle w:val="TableTextNoSpace"/>
              <w:jc w:val="center"/>
              <w:rPr>
                <w:rFonts w:cs="Arial"/>
                <w:sz w:val="18"/>
                <w:szCs w:val="18"/>
              </w:rPr>
            </w:pPr>
            <w:r>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bottom"/>
          </w:tcPr>
          <w:p w14:paraId="71769339" w14:textId="77777777" w:rsidR="00C15432" w:rsidRPr="00CE4330" w:rsidRDefault="00C15432" w:rsidP="00C15432">
            <w:pPr>
              <w:pStyle w:val="TableTextNoSpace"/>
              <w:jc w:val="center"/>
              <w:rPr>
                <w:rFonts w:cs="Arial"/>
                <w:sz w:val="18"/>
                <w:szCs w:val="18"/>
              </w:rPr>
            </w:pPr>
            <w:r>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bottom"/>
          </w:tcPr>
          <w:p w14:paraId="6CFADC41" w14:textId="77777777" w:rsidR="00C15432" w:rsidRPr="0044600F"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12" w:space="0" w:color="0067AB"/>
            </w:tcBorders>
            <w:vAlign w:val="bottom"/>
          </w:tcPr>
          <w:p w14:paraId="6EE08ED7" w14:textId="77777777" w:rsidR="00C15432" w:rsidRPr="001650AD" w:rsidRDefault="00C15432" w:rsidP="00C15432">
            <w:pPr>
              <w:pStyle w:val="TableTextNoSpace"/>
              <w:jc w:val="center"/>
              <w:rPr>
                <w:rFonts w:cs="Arial"/>
                <w:sz w:val="18"/>
                <w:szCs w:val="18"/>
              </w:rPr>
            </w:pPr>
            <w:r w:rsidRPr="001650AD">
              <w:rPr>
                <w:rFonts w:cs="Arial"/>
                <w:sz w:val="18"/>
                <w:szCs w:val="18"/>
              </w:rPr>
              <w:t>x</w:t>
            </w:r>
          </w:p>
        </w:tc>
        <w:tc>
          <w:tcPr>
            <w:tcW w:w="239" w:type="pct"/>
            <w:tcBorders>
              <w:top w:val="single" w:sz="2" w:space="0" w:color="0067AB"/>
              <w:left w:val="single" w:sz="12" w:space="0" w:color="0067AB"/>
              <w:bottom w:val="single" w:sz="2" w:space="0" w:color="0067AB"/>
              <w:right w:val="single" w:sz="2" w:space="0" w:color="0067AB"/>
            </w:tcBorders>
            <w:vAlign w:val="bottom"/>
          </w:tcPr>
          <w:p w14:paraId="37D4B73B" w14:textId="77777777" w:rsidR="00C15432" w:rsidRPr="00CE4330" w:rsidRDefault="00C15432" w:rsidP="00C15432">
            <w:pPr>
              <w:pStyle w:val="TableTextNoSpace"/>
              <w:jc w:val="center"/>
              <w:rPr>
                <w:rFonts w:cs="Arial"/>
                <w:sz w:val="18"/>
                <w:szCs w:val="18"/>
              </w:rPr>
            </w:pPr>
            <w:r>
              <w:rPr>
                <w:rFonts w:cs="Arial"/>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bottom"/>
          </w:tcPr>
          <w:p w14:paraId="76862646" w14:textId="77777777" w:rsidR="00C15432" w:rsidRPr="00CE4330" w:rsidRDefault="00C15432" w:rsidP="00C15432">
            <w:pPr>
              <w:pStyle w:val="TableTextNoSpace"/>
              <w:jc w:val="center"/>
              <w:rPr>
                <w:rFonts w:cs="Arial"/>
                <w:sz w:val="18"/>
                <w:szCs w:val="18"/>
              </w:rPr>
            </w:pPr>
            <w:r>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bottom"/>
          </w:tcPr>
          <w:p w14:paraId="13775573"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bottom"/>
          </w:tcPr>
          <w:p w14:paraId="6415E6BB" w14:textId="77777777" w:rsidR="00C15432" w:rsidRPr="00CE4330" w:rsidRDefault="00C15432" w:rsidP="00C15432">
            <w:pPr>
              <w:pStyle w:val="TableTextNoSpace"/>
              <w:jc w:val="center"/>
              <w:rPr>
                <w:rFonts w:cs="Arial"/>
                <w:sz w:val="18"/>
                <w:szCs w:val="18"/>
              </w:rPr>
            </w:pPr>
            <w:r>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bottom"/>
          </w:tcPr>
          <w:p w14:paraId="3741787D" w14:textId="77777777" w:rsidR="00C15432" w:rsidRPr="00CE4330" w:rsidRDefault="00C15432" w:rsidP="00C15432">
            <w:pPr>
              <w:pStyle w:val="TableTextNoSpace"/>
              <w:jc w:val="center"/>
              <w:rPr>
                <w:rFonts w:cs="Arial"/>
                <w:sz w:val="18"/>
                <w:szCs w:val="18"/>
              </w:rPr>
            </w:pPr>
            <w:r>
              <w:rPr>
                <w:rFonts w:cs="Arial"/>
                <w:b/>
                <w:sz w:val="18"/>
                <w:szCs w:val="18"/>
              </w:rPr>
              <w:t>X</w:t>
            </w:r>
          </w:p>
        </w:tc>
        <w:tc>
          <w:tcPr>
            <w:tcW w:w="238" w:type="pct"/>
            <w:tcBorders>
              <w:top w:val="single" w:sz="2" w:space="0" w:color="0067AB"/>
              <w:left w:val="single" w:sz="2" w:space="0" w:color="0067AB"/>
              <w:bottom w:val="single" w:sz="2" w:space="0" w:color="0067AB"/>
              <w:right w:val="single" w:sz="2" w:space="0" w:color="0067AB"/>
            </w:tcBorders>
            <w:vAlign w:val="bottom"/>
          </w:tcPr>
          <w:p w14:paraId="65B8241B" w14:textId="77777777" w:rsidR="00C15432" w:rsidRPr="00CE4330" w:rsidRDefault="00C15432" w:rsidP="00C15432">
            <w:pPr>
              <w:pStyle w:val="TableTextNoSpace"/>
              <w:jc w:val="center"/>
              <w:rPr>
                <w:rFonts w:cs="Arial"/>
                <w:sz w:val="18"/>
                <w:szCs w:val="18"/>
              </w:rPr>
            </w:pPr>
          </w:p>
        </w:tc>
      </w:tr>
      <w:tr w:rsidR="00C15432" w:rsidRPr="001650AD" w14:paraId="27561B56" w14:textId="77777777" w:rsidTr="00C15432">
        <w:tc>
          <w:tcPr>
            <w:tcW w:w="699" w:type="pct"/>
            <w:tcBorders>
              <w:top w:val="single" w:sz="2" w:space="0" w:color="0067AB"/>
              <w:left w:val="single" w:sz="2" w:space="0" w:color="0067AB"/>
              <w:bottom w:val="single" w:sz="2" w:space="0" w:color="0067AB"/>
              <w:right w:val="single" w:sz="2" w:space="0" w:color="0067AB"/>
            </w:tcBorders>
          </w:tcPr>
          <w:p w14:paraId="2209DD77" w14:textId="77777777" w:rsidR="00C15432" w:rsidRPr="001650AD" w:rsidRDefault="00C15432" w:rsidP="00C15432">
            <w:pPr>
              <w:pStyle w:val="TableTextNoSpace"/>
              <w:jc w:val="left"/>
              <w:rPr>
                <w:rFonts w:asciiTheme="minorHAnsi" w:hAnsiTheme="minorHAnsi"/>
                <w:sz w:val="18"/>
                <w:szCs w:val="18"/>
              </w:rPr>
            </w:pPr>
            <w:r w:rsidRPr="001650AD">
              <w:rPr>
                <w:rFonts w:asciiTheme="minorHAnsi" w:hAnsiTheme="minorHAnsi"/>
                <w:sz w:val="18"/>
                <w:szCs w:val="18"/>
              </w:rPr>
              <w:t>ERDF</w:t>
            </w:r>
          </w:p>
        </w:tc>
        <w:tc>
          <w:tcPr>
            <w:tcW w:w="239" w:type="pct"/>
            <w:tcBorders>
              <w:top w:val="single" w:sz="2" w:space="0" w:color="0067AB"/>
              <w:left w:val="single" w:sz="2" w:space="0" w:color="0067AB"/>
              <w:bottom w:val="single" w:sz="2" w:space="0" w:color="0067AB"/>
              <w:right w:val="single" w:sz="2" w:space="0" w:color="0067AB"/>
            </w:tcBorders>
            <w:vAlign w:val="bottom"/>
          </w:tcPr>
          <w:p w14:paraId="6F81E51C" w14:textId="77777777" w:rsidR="00C15432" w:rsidRPr="001650AD"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tcPr>
          <w:p w14:paraId="653F5CEE" w14:textId="77777777" w:rsidR="00C15432" w:rsidRPr="001650AD" w:rsidRDefault="00C15432" w:rsidP="00C15432">
            <w:pPr>
              <w:pStyle w:val="TableTextNoSpace"/>
              <w:jc w:val="center"/>
              <w:rPr>
                <w:rFonts w:cs="Arial"/>
                <w:sz w:val="18"/>
                <w:szCs w:val="18"/>
              </w:rPr>
            </w:pPr>
            <w:r w:rsidRPr="001650AD">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tcPr>
          <w:p w14:paraId="4ADCF6BE" w14:textId="77777777" w:rsidR="00C15432" w:rsidRPr="001650AD"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tcPr>
          <w:p w14:paraId="19F2C086" w14:textId="77777777" w:rsidR="00C15432" w:rsidRPr="001650AD"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shd w:val="clear" w:color="auto" w:fill="auto"/>
          </w:tcPr>
          <w:p w14:paraId="10D0A4EE" w14:textId="77777777" w:rsidR="00C15432" w:rsidRPr="001650AD"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shd w:val="clear" w:color="auto" w:fill="auto"/>
          </w:tcPr>
          <w:p w14:paraId="2F54068B" w14:textId="77777777" w:rsidR="00C15432" w:rsidRPr="001650AD"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shd w:val="clear" w:color="auto" w:fill="auto"/>
          </w:tcPr>
          <w:p w14:paraId="458BD24B" w14:textId="77777777" w:rsidR="00C15432" w:rsidRPr="001650AD" w:rsidRDefault="00C15432" w:rsidP="00C15432">
            <w:pPr>
              <w:pStyle w:val="TableTextNoSpace"/>
              <w:jc w:val="center"/>
              <w:rPr>
                <w:rFonts w:cs="Arial"/>
                <w:sz w:val="18"/>
                <w:szCs w:val="18"/>
              </w:rPr>
            </w:pPr>
            <w:r w:rsidRPr="001650AD">
              <w:rPr>
                <w:rFonts w:cs="Arial"/>
                <w:sz w:val="18"/>
                <w:szCs w:val="18"/>
              </w:rPr>
              <w:t>x</w:t>
            </w:r>
          </w:p>
        </w:tc>
        <w:tc>
          <w:tcPr>
            <w:tcW w:w="239" w:type="pct"/>
            <w:tcBorders>
              <w:top w:val="single" w:sz="2" w:space="0" w:color="0067AB"/>
              <w:left w:val="single" w:sz="2" w:space="0" w:color="0067AB"/>
              <w:bottom w:val="single" w:sz="2" w:space="0" w:color="0067AB"/>
              <w:right w:val="single" w:sz="2" w:space="0" w:color="0067AB"/>
            </w:tcBorders>
            <w:shd w:val="clear" w:color="auto" w:fill="auto"/>
          </w:tcPr>
          <w:p w14:paraId="200F723F" w14:textId="77777777" w:rsidR="00C15432" w:rsidRPr="001650AD"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shd w:val="clear" w:color="auto" w:fill="auto"/>
          </w:tcPr>
          <w:p w14:paraId="0B9E9D0D" w14:textId="77777777" w:rsidR="00C15432" w:rsidRPr="001650AD"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tcPr>
          <w:p w14:paraId="5EFBBE1C" w14:textId="77777777" w:rsidR="00C15432" w:rsidRPr="001650AD" w:rsidRDefault="00C15432" w:rsidP="00C15432">
            <w:pPr>
              <w:pStyle w:val="TableTextNoSpace"/>
              <w:jc w:val="center"/>
              <w:rPr>
                <w:rFonts w:cs="Arial"/>
                <w:sz w:val="18"/>
                <w:szCs w:val="18"/>
              </w:rPr>
            </w:pPr>
            <w:r w:rsidRPr="001650AD">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tcPr>
          <w:p w14:paraId="7AB90F76" w14:textId="77777777" w:rsidR="00C15432" w:rsidRPr="001650AD"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12" w:space="0" w:color="0067AB"/>
            </w:tcBorders>
          </w:tcPr>
          <w:p w14:paraId="28931329" w14:textId="77777777" w:rsidR="00C15432" w:rsidRPr="001650AD" w:rsidRDefault="00C15432" w:rsidP="00C15432">
            <w:pPr>
              <w:pStyle w:val="TableTextNoSpace"/>
              <w:jc w:val="center"/>
              <w:rPr>
                <w:rFonts w:cs="Arial"/>
                <w:sz w:val="18"/>
                <w:szCs w:val="18"/>
              </w:rPr>
            </w:pPr>
          </w:p>
        </w:tc>
        <w:tc>
          <w:tcPr>
            <w:tcW w:w="239" w:type="pct"/>
            <w:tcBorders>
              <w:top w:val="single" w:sz="2" w:space="0" w:color="0067AB"/>
              <w:left w:val="single" w:sz="12" w:space="0" w:color="0067AB"/>
              <w:bottom w:val="single" w:sz="2" w:space="0" w:color="0067AB"/>
              <w:right w:val="single" w:sz="2" w:space="0" w:color="0067AB"/>
            </w:tcBorders>
          </w:tcPr>
          <w:p w14:paraId="2D52D7F3" w14:textId="77777777" w:rsidR="00C15432" w:rsidRPr="001650AD" w:rsidRDefault="00C15432" w:rsidP="00C15432">
            <w:pPr>
              <w:pStyle w:val="TableTextNoSpace"/>
              <w:jc w:val="center"/>
              <w:rPr>
                <w:rFonts w:cs="Arial"/>
                <w:sz w:val="18"/>
                <w:szCs w:val="18"/>
              </w:rPr>
            </w:pPr>
            <w:r w:rsidRPr="001650AD">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tcPr>
          <w:p w14:paraId="5E3346C3" w14:textId="77777777" w:rsidR="00C15432" w:rsidRPr="001650AD"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tcPr>
          <w:p w14:paraId="702E9D99" w14:textId="77777777" w:rsidR="00C15432" w:rsidRPr="001650AD"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tcPr>
          <w:p w14:paraId="4760F2F6" w14:textId="77777777" w:rsidR="00C15432" w:rsidRPr="001650AD" w:rsidRDefault="00C15432" w:rsidP="00C15432">
            <w:pPr>
              <w:pStyle w:val="TableTextNoSpace"/>
              <w:jc w:val="center"/>
              <w:rPr>
                <w:rFonts w:cs="Arial"/>
                <w:sz w:val="18"/>
                <w:szCs w:val="18"/>
              </w:rPr>
            </w:pPr>
            <w:r w:rsidRPr="001650AD">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tcPr>
          <w:p w14:paraId="6D55B549" w14:textId="77777777" w:rsidR="00C15432" w:rsidRPr="001650AD" w:rsidRDefault="00C15432" w:rsidP="00C15432">
            <w:pPr>
              <w:pStyle w:val="TableTextNoSpace"/>
              <w:jc w:val="center"/>
              <w:rPr>
                <w:rFonts w:cs="Arial"/>
                <w:b/>
                <w:sz w:val="18"/>
                <w:szCs w:val="18"/>
              </w:rPr>
            </w:pPr>
            <w:r w:rsidRPr="001650AD">
              <w:rPr>
                <w:rFonts w:cs="Arial"/>
                <w:b/>
                <w:sz w:val="18"/>
                <w:szCs w:val="18"/>
              </w:rPr>
              <w:t>X</w:t>
            </w:r>
          </w:p>
        </w:tc>
        <w:tc>
          <w:tcPr>
            <w:tcW w:w="238" w:type="pct"/>
            <w:tcBorders>
              <w:top w:val="single" w:sz="2" w:space="0" w:color="0067AB"/>
              <w:left w:val="single" w:sz="2" w:space="0" w:color="0067AB"/>
              <w:bottom w:val="single" w:sz="2" w:space="0" w:color="0067AB"/>
              <w:right w:val="single" w:sz="2" w:space="0" w:color="0067AB"/>
            </w:tcBorders>
          </w:tcPr>
          <w:p w14:paraId="0C189D45" w14:textId="77777777" w:rsidR="00C15432" w:rsidRPr="001650AD" w:rsidRDefault="00C15432" w:rsidP="00C15432">
            <w:pPr>
              <w:pStyle w:val="TableTextNoSpace"/>
              <w:jc w:val="center"/>
              <w:rPr>
                <w:rFonts w:cs="Arial"/>
                <w:sz w:val="18"/>
                <w:szCs w:val="18"/>
              </w:rPr>
            </w:pPr>
          </w:p>
        </w:tc>
      </w:tr>
      <w:tr w:rsidR="00C15432" w:rsidRPr="001650AD" w14:paraId="66F82B80" w14:textId="77777777" w:rsidTr="00C15432">
        <w:tc>
          <w:tcPr>
            <w:tcW w:w="699" w:type="pct"/>
            <w:tcBorders>
              <w:top w:val="single" w:sz="2" w:space="0" w:color="0067AB"/>
              <w:left w:val="single" w:sz="2" w:space="0" w:color="0067AB"/>
              <w:bottom w:val="single" w:sz="2" w:space="0" w:color="0067AB"/>
              <w:right w:val="single" w:sz="2" w:space="0" w:color="0067AB"/>
            </w:tcBorders>
          </w:tcPr>
          <w:p w14:paraId="2D637FB8" w14:textId="77777777" w:rsidR="00C15432" w:rsidRPr="001650AD" w:rsidRDefault="00C15432" w:rsidP="00C15432">
            <w:pPr>
              <w:pStyle w:val="TableTextNoSpace"/>
              <w:jc w:val="left"/>
              <w:rPr>
                <w:rFonts w:asciiTheme="minorHAnsi" w:hAnsiTheme="minorHAnsi"/>
                <w:sz w:val="18"/>
                <w:szCs w:val="18"/>
              </w:rPr>
            </w:pPr>
            <w:r w:rsidRPr="001650AD">
              <w:rPr>
                <w:rFonts w:asciiTheme="minorHAnsi" w:hAnsiTheme="minorHAnsi"/>
                <w:sz w:val="18"/>
                <w:szCs w:val="18"/>
              </w:rPr>
              <w:t>ESF</w:t>
            </w:r>
          </w:p>
        </w:tc>
        <w:tc>
          <w:tcPr>
            <w:tcW w:w="239" w:type="pct"/>
            <w:tcBorders>
              <w:top w:val="single" w:sz="2" w:space="0" w:color="0067AB"/>
              <w:left w:val="single" w:sz="2" w:space="0" w:color="0067AB"/>
              <w:bottom w:val="single" w:sz="2" w:space="0" w:color="0067AB"/>
              <w:right w:val="single" w:sz="2" w:space="0" w:color="0067AB"/>
            </w:tcBorders>
          </w:tcPr>
          <w:p w14:paraId="5D2788A3" w14:textId="77777777" w:rsidR="00C15432" w:rsidRPr="001650AD"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tcPr>
          <w:p w14:paraId="50B1CA67" w14:textId="77777777" w:rsidR="00C15432" w:rsidRPr="001650AD" w:rsidRDefault="00C15432" w:rsidP="00C15432">
            <w:pPr>
              <w:pStyle w:val="TableTextNoSpace"/>
              <w:jc w:val="center"/>
              <w:rPr>
                <w:rFonts w:cs="Arial"/>
                <w:sz w:val="18"/>
                <w:szCs w:val="18"/>
              </w:rPr>
            </w:pPr>
            <w:r w:rsidRPr="001650AD">
              <w:rPr>
                <w:rFonts w:cs="Arial"/>
                <w:sz w:val="18"/>
                <w:szCs w:val="18"/>
              </w:rPr>
              <w:t>x</w:t>
            </w:r>
          </w:p>
        </w:tc>
        <w:tc>
          <w:tcPr>
            <w:tcW w:w="239" w:type="pct"/>
            <w:tcBorders>
              <w:top w:val="single" w:sz="2" w:space="0" w:color="0067AB"/>
              <w:left w:val="single" w:sz="2" w:space="0" w:color="0067AB"/>
              <w:bottom w:val="single" w:sz="2" w:space="0" w:color="0067AB"/>
              <w:right w:val="single" w:sz="2" w:space="0" w:color="0067AB"/>
            </w:tcBorders>
          </w:tcPr>
          <w:p w14:paraId="4FAEAE8E" w14:textId="77777777" w:rsidR="00C15432" w:rsidRPr="001650AD"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tcPr>
          <w:p w14:paraId="7B6B4EF4" w14:textId="77777777" w:rsidR="00C15432" w:rsidRPr="001650AD"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shd w:val="clear" w:color="auto" w:fill="auto"/>
          </w:tcPr>
          <w:p w14:paraId="5EC0F0E2" w14:textId="77777777" w:rsidR="00C15432" w:rsidRPr="001650AD"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shd w:val="clear" w:color="auto" w:fill="auto"/>
          </w:tcPr>
          <w:p w14:paraId="2AE5ECE3" w14:textId="77777777" w:rsidR="00C15432" w:rsidRPr="001650AD"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shd w:val="clear" w:color="auto" w:fill="auto"/>
          </w:tcPr>
          <w:p w14:paraId="51BD91B0" w14:textId="77777777" w:rsidR="00C15432" w:rsidRPr="001650AD" w:rsidRDefault="00C15432" w:rsidP="00C15432">
            <w:pPr>
              <w:pStyle w:val="TableTextNoSpace"/>
              <w:jc w:val="center"/>
              <w:rPr>
                <w:rFonts w:cs="Arial"/>
                <w:sz w:val="18"/>
                <w:szCs w:val="18"/>
              </w:rPr>
            </w:pPr>
            <w:r w:rsidRPr="001650AD">
              <w:rPr>
                <w:rFonts w:cs="Arial"/>
                <w:sz w:val="18"/>
                <w:szCs w:val="18"/>
              </w:rPr>
              <w:t>x</w:t>
            </w:r>
          </w:p>
        </w:tc>
        <w:tc>
          <w:tcPr>
            <w:tcW w:w="239" w:type="pct"/>
            <w:tcBorders>
              <w:top w:val="single" w:sz="2" w:space="0" w:color="0067AB"/>
              <w:left w:val="single" w:sz="2" w:space="0" w:color="0067AB"/>
              <w:bottom w:val="single" w:sz="2" w:space="0" w:color="0067AB"/>
              <w:right w:val="single" w:sz="2" w:space="0" w:color="0067AB"/>
            </w:tcBorders>
            <w:shd w:val="clear" w:color="auto" w:fill="auto"/>
          </w:tcPr>
          <w:p w14:paraId="708AE2E1" w14:textId="77777777" w:rsidR="00C15432" w:rsidRPr="001650AD"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shd w:val="clear" w:color="auto" w:fill="auto"/>
          </w:tcPr>
          <w:p w14:paraId="1B2EB8B1" w14:textId="77777777" w:rsidR="00C15432" w:rsidRPr="001650AD" w:rsidRDefault="00C15432" w:rsidP="00C15432">
            <w:pPr>
              <w:pStyle w:val="TableTextNoSpace"/>
              <w:jc w:val="center"/>
              <w:rPr>
                <w:rFonts w:cs="Arial"/>
                <w:sz w:val="18"/>
                <w:szCs w:val="18"/>
              </w:rPr>
            </w:pPr>
            <w:r w:rsidRPr="001650AD">
              <w:rPr>
                <w:rFonts w:cs="Arial"/>
                <w:sz w:val="18"/>
                <w:szCs w:val="18"/>
              </w:rPr>
              <w:t>x</w:t>
            </w:r>
          </w:p>
        </w:tc>
        <w:tc>
          <w:tcPr>
            <w:tcW w:w="239" w:type="pct"/>
            <w:tcBorders>
              <w:top w:val="single" w:sz="2" w:space="0" w:color="0067AB"/>
              <w:left w:val="single" w:sz="2" w:space="0" w:color="0067AB"/>
              <w:bottom w:val="single" w:sz="2" w:space="0" w:color="0067AB"/>
              <w:right w:val="single" w:sz="2" w:space="0" w:color="0067AB"/>
            </w:tcBorders>
          </w:tcPr>
          <w:p w14:paraId="6A7027F4" w14:textId="77777777" w:rsidR="00C15432" w:rsidRPr="001650AD"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tcPr>
          <w:p w14:paraId="6BB9AAAF" w14:textId="77777777" w:rsidR="00C15432" w:rsidRPr="001650AD"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12" w:space="0" w:color="0067AB"/>
            </w:tcBorders>
          </w:tcPr>
          <w:p w14:paraId="4CD5DCC1" w14:textId="77777777" w:rsidR="00C15432" w:rsidRPr="001650AD" w:rsidRDefault="00C15432" w:rsidP="00C15432">
            <w:pPr>
              <w:pStyle w:val="TableTextNoSpace"/>
              <w:jc w:val="center"/>
              <w:rPr>
                <w:rFonts w:cs="Arial"/>
                <w:sz w:val="18"/>
                <w:szCs w:val="18"/>
              </w:rPr>
            </w:pPr>
          </w:p>
        </w:tc>
        <w:tc>
          <w:tcPr>
            <w:tcW w:w="239" w:type="pct"/>
            <w:tcBorders>
              <w:top w:val="single" w:sz="2" w:space="0" w:color="0067AB"/>
              <w:left w:val="single" w:sz="12" w:space="0" w:color="0067AB"/>
              <w:bottom w:val="single" w:sz="2" w:space="0" w:color="0067AB"/>
              <w:right w:val="single" w:sz="2" w:space="0" w:color="0067AB"/>
            </w:tcBorders>
          </w:tcPr>
          <w:p w14:paraId="4382C895" w14:textId="77777777" w:rsidR="00C15432" w:rsidRPr="001650AD" w:rsidRDefault="00C15432" w:rsidP="00C15432">
            <w:pPr>
              <w:pStyle w:val="TableTextNoSpace"/>
              <w:jc w:val="center"/>
              <w:rPr>
                <w:rFonts w:cs="Arial"/>
                <w:sz w:val="18"/>
                <w:szCs w:val="18"/>
              </w:rPr>
            </w:pPr>
            <w:r w:rsidRPr="001650AD">
              <w:rPr>
                <w:rFonts w:cs="Arial"/>
                <w:sz w:val="18"/>
                <w:szCs w:val="18"/>
              </w:rPr>
              <w:t>x</w:t>
            </w:r>
          </w:p>
        </w:tc>
        <w:tc>
          <w:tcPr>
            <w:tcW w:w="239" w:type="pct"/>
            <w:tcBorders>
              <w:top w:val="single" w:sz="2" w:space="0" w:color="0067AB"/>
              <w:left w:val="single" w:sz="2" w:space="0" w:color="0067AB"/>
              <w:bottom w:val="single" w:sz="2" w:space="0" w:color="0067AB"/>
              <w:right w:val="single" w:sz="2" w:space="0" w:color="0067AB"/>
            </w:tcBorders>
          </w:tcPr>
          <w:p w14:paraId="0B55C842" w14:textId="77777777" w:rsidR="00C15432" w:rsidRPr="001650AD"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2" w:space="0" w:color="0067AB"/>
            </w:tcBorders>
          </w:tcPr>
          <w:p w14:paraId="74F0546E" w14:textId="77777777" w:rsidR="00C15432" w:rsidRPr="001650AD"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tcPr>
          <w:p w14:paraId="42E3F29A" w14:textId="77777777" w:rsidR="00C15432" w:rsidRPr="001650AD"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tcPr>
          <w:p w14:paraId="3DDED47D" w14:textId="77777777" w:rsidR="00C15432" w:rsidRPr="001650AD" w:rsidRDefault="00C15432" w:rsidP="00C15432">
            <w:pPr>
              <w:pStyle w:val="TableTextNoSpace"/>
              <w:jc w:val="center"/>
              <w:rPr>
                <w:rFonts w:cs="Arial"/>
                <w:sz w:val="18"/>
                <w:szCs w:val="18"/>
              </w:rPr>
            </w:pPr>
          </w:p>
        </w:tc>
        <w:tc>
          <w:tcPr>
            <w:tcW w:w="238" w:type="pct"/>
            <w:tcBorders>
              <w:top w:val="single" w:sz="2" w:space="0" w:color="0067AB"/>
              <w:left w:val="single" w:sz="2" w:space="0" w:color="0067AB"/>
              <w:bottom w:val="single" w:sz="2" w:space="0" w:color="0067AB"/>
              <w:right w:val="single" w:sz="2" w:space="0" w:color="0067AB"/>
            </w:tcBorders>
          </w:tcPr>
          <w:p w14:paraId="288A9162" w14:textId="69DBFB58" w:rsidR="00C15432" w:rsidRPr="001650AD" w:rsidRDefault="00150EA7" w:rsidP="00C15432">
            <w:pPr>
              <w:pStyle w:val="TableTextNoSpace"/>
              <w:jc w:val="center"/>
              <w:rPr>
                <w:rFonts w:cs="Arial"/>
                <w:sz w:val="18"/>
                <w:szCs w:val="18"/>
              </w:rPr>
            </w:pPr>
            <w:r>
              <w:rPr>
                <w:rFonts w:cs="Arial"/>
                <w:sz w:val="18"/>
                <w:szCs w:val="18"/>
              </w:rPr>
              <w:t>x</w:t>
            </w:r>
          </w:p>
        </w:tc>
      </w:tr>
      <w:tr w:rsidR="00C15432" w14:paraId="1CCB4FEE" w14:textId="77777777" w:rsidTr="00C15432">
        <w:tc>
          <w:tcPr>
            <w:tcW w:w="699" w:type="pct"/>
            <w:tcBorders>
              <w:top w:val="single" w:sz="2" w:space="0" w:color="0067AB"/>
              <w:left w:val="single" w:sz="2" w:space="0" w:color="0067AB"/>
              <w:bottom w:val="single" w:sz="2" w:space="0" w:color="0067AB"/>
              <w:right w:val="single" w:sz="2" w:space="0" w:color="0067AB"/>
            </w:tcBorders>
            <w:shd w:val="clear" w:color="auto" w:fill="auto"/>
          </w:tcPr>
          <w:p w14:paraId="59A9B19A" w14:textId="77777777" w:rsidR="00C15432" w:rsidRPr="00D60446" w:rsidRDefault="00C15432" w:rsidP="00C15432">
            <w:pPr>
              <w:pStyle w:val="TableTextNoSpace"/>
              <w:jc w:val="left"/>
              <w:rPr>
                <w:rFonts w:asciiTheme="minorHAnsi" w:hAnsiTheme="minorHAnsi"/>
                <w:sz w:val="18"/>
                <w:szCs w:val="18"/>
              </w:rPr>
            </w:pPr>
            <w:r>
              <w:rPr>
                <w:rFonts w:asciiTheme="minorHAnsi" w:hAnsiTheme="minorHAnsi"/>
                <w:sz w:val="18"/>
                <w:szCs w:val="18"/>
              </w:rPr>
              <w:t>LIFE</w:t>
            </w:r>
          </w:p>
        </w:tc>
        <w:tc>
          <w:tcPr>
            <w:tcW w:w="239" w:type="pct"/>
            <w:tcBorders>
              <w:top w:val="single" w:sz="2" w:space="0" w:color="0067AB"/>
              <w:left w:val="single" w:sz="2" w:space="0" w:color="0067AB"/>
              <w:bottom w:val="single" w:sz="2" w:space="0" w:color="0067AB"/>
              <w:right w:val="single" w:sz="2" w:space="0" w:color="0067AB"/>
            </w:tcBorders>
            <w:shd w:val="clear" w:color="auto" w:fill="auto"/>
          </w:tcPr>
          <w:p w14:paraId="5E0F548F" w14:textId="77777777" w:rsidR="00C15432" w:rsidRPr="00CE4330" w:rsidRDefault="00C15432" w:rsidP="00C15432">
            <w:pPr>
              <w:pStyle w:val="TableTextNoSpace"/>
              <w:jc w:val="center"/>
              <w:rPr>
                <w:rFonts w:cs="Arial"/>
                <w:sz w:val="18"/>
                <w:szCs w:val="18"/>
              </w:rPr>
            </w:pPr>
            <w:r>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shd w:val="clear" w:color="auto" w:fill="auto"/>
          </w:tcPr>
          <w:p w14:paraId="0D2BD635" w14:textId="77777777" w:rsidR="00C15432" w:rsidRPr="00CE4330" w:rsidRDefault="00C15432" w:rsidP="00C15432">
            <w:pPr>
              <w:pStyle w:val="TableTextNoSpace"/>
              <w:jc w:val="center"/>
              <w:rPr>
                <w:rFonts w:cs="Arial"/>
                <w:sz w:val="18"/>
                <w:szCs w:val="18"/>
              </w:rPr>
            </w:pPr>
            <w:r>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shd w:val="clear" w:color="auto" w:fill="auto"/>
          </w:tcPr>
          <w:p w14:paraId="65C56414"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shd w:val="clear" w:color="auto" w:fill="auto"/>
          </w:tcPr>
          <w:p w14:paraId="609D2F47"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shd w:val="clear" w:color="auto" w:fill="auto"/>
          </w:tcPr>
          <w:p w14:paraId="092B92BC"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shd w:val="clear" w:color="auto" w:fill="auto"/>
          </w:tcPr>
          <w:p w14:paraId="67A8E4E6"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shd w:val="clear" w:color="auto" w:fill="auto"/>
          </w:tcPr>
          <w:p w14:paraId="55624B02" w14:textId="77777777" w:rsidR="00C15432" w:rsidRPr="00CE4330" w:rsidRDefault="00C15432" w:rsidP="00C15432">
            <w:pPr>
              <w:pStyle w:val="TableTextNoSpace"/>
              <w:jc w:val="center"/>
              <w:rPr>
                <w:rFonts w:cs="Arial"/>
                <w:sz w:val="18"/>
                <w:szCs w:val="18"/>
              </w:rPr>
            </w:pPr>
            <w:r>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shd w:val="clear" w:color="auto" w:fill="auto"/>
          </w:tcPr>
          <w:p w14:paraId="36E46471" w14:textId="77777777" w:rsidR="00C15432" w:rsidRPr="00CE4330" w:rsidRDefault="00C15432" w:rsidP="00C15432">
            <w:pPr>
              <w:pStyle w:val="TableTextNoSpace"/>
              <w:jc w:val="center"/>
              <w:rPr>
                <w:rFonts w:cs="Arial"/>
                <w:sz w:val="18"/>
                <w:szCs w:val="18"/>
              </w:rPr>
            </w:pPr>
            <w:r>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shd w:val="clear" w:color="auto" w:fill="auto"/>
          </w:tcPr>
          <w:p w14:paraId="72EE1F49" w14:textId="77777777" w:rsidR="00C15432" w:rsidRPr="00CE4330" w:rsidRDefault="00C15432" w:rsidP="00C15432">
            <w:pPr>
              <w:pStyle w:val="TableTextNoSpace"/>
              <w:jc w:val="center"/>
              <w:rPr>
                <w:rFonts w:cs="Arial"/>
                <w:sz w:val="18"/>
                <w:szCs w:val="18"/>
              </w:rPr>
            </w:pPr>
            <w:r>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shd w:val="clear" w:color="auto" w:fill="auto"/>
          </w:tcPr>
          <w:p w14:paraId="3433245D" w14:textId="77777777" w:rsidR="00C15432" w:rsidRPr="00CE4330" w:rsidRDefault="00C15432" w:rsidP="00C15432">
            <w:pPr>
              <w:pStyle w:val="TableTextNoSpace"/>
              <w:jc w:val="center"/>
              <w:rPr>
                <w:rFonts w:cs="Arial"/>
                <w:sz w:val="18"/>
                <w:szCs w:val="18"/>
              </w:rPr>
            </w:pPr>
            <w:r>
              <w:rPr>
                <w:rFonts w:cs="Arial"/>
                <w:sz w:val="18"/>
                <w:szCs w:val="18"/>
              </w:rPr>
              <w:t>x</w:t>
            </w:r>
          </w:p>
        </w:tc>
        <w:tc>
          <w:tcPr>
            <w:tcW w:w="239" w:type="pct"/>
            <w:tcBorders>
              <w:top w:val="single" w:sz="2" w:space="0" w:color="0067AB"/>
              <w:left w:val="single" w:sz="2" w:space="0" w:color="0067AB"/>
              <w:bottom w:val="single" w:sz="2" w:space="0" w:color="0067AB"/>
              <w:right w:val="single" w:sz="2" w:space="0" w:color="0067AB"/>
            </w:tcBorders>
            <w:shd w:val="clear" w:color="auto" w:fill="auto"/>
          </w:tcPr>
          <w:p w14:paraId="2906CC8B" w14:textId="77777777" w:rsidR="00C15432" w:rsidRPr="00CE4330" w:rsidRDefault="00C15432" w:rsidP="00C15432">
            <w:pPr>
              <w:pStyle w:val="TableTextNoSpace"/>
              <w:jc w:val="center"/>
              <w:rPr>
                <w:rFonts w:cs="Arial"/>
                <w:sz w:val="18"/>
                <w:szCs w:val="18"/>
              </w:rPr>
            </w:pPr>
            <w:r>
              <w:rPr>
                <w:rFonts w:cs="Arial"/>
                <w:sz w:val="18"/>
                <w:szCs w:val="18"/>
              </w:rPr>
              <w:t>x</w:t>
            </w:r>
          </w:p>
        </w:tc>
        <w:tc>
          <w:tcPr>
            <w:tcW w:w="239" w:type="pct"/>
            <w:tcBorders>
              <w:top w:val="single" w:sz="2" w:space="0" w:color="0067AB"/>
              <w:left w:val="single" w:sz="2" w:space="0" w:color="0067AB"/>
              <w:bottom w:val="single" w:sz="2" w:space="0" w:color="0067AB"/>
              <w:right w:val="single" w:sz="12" w:space="0" w:color="0067AB"/>
            </w:tcBorders>
            <w:shd w:val="clear" w:color="auto" w:fill="auto"/>
          </w:tcPr>
          <w:p w14:paraId="04E1B249"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12" w:space="0" w:color="0067AB"/>
              <w:bottom w:val="single" w:sz="2" w:space="0" w:color="0067AB"/>
              <w:right w:val="single" w:sz="2" w:space="0" w:color="0067AB"/>
            </w:tcBorders>
            <w:shd w:val="clear" w:color="auto" w:fill="auto"/>
          </w:tcPr>
          <w:p w14:paraId="6181606D"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shd w:val="clear" w:color="auto" w:fill="auto"/>
          </w:tcPr>
          <w:p w14:paraId="3B5D217F"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shd w:val="clear" w:color="auto" w:fill="auto"/>
          </w:tcPr>
          <w:p w14:paraId="7EDACE30"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shd w:val="clear" w:color="auto" w:fill="auto"/>
          </w:tcPr>
          <w:p w14:paraId="2B250B76"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shd w:val="clear" w:color="auto" w:fill="auto"/>
          </w:tcPr>
          <w:p w14:paraId="473589CE" w14:textId="77777777" w:rsidR="00C15432" w:rsidRPr="00CE4330" w:rsidRDefault="00C15432" w:rsidP="00C15432">
            <w:pPr>
              <w:pStyle w:val="TableTextNoSpace"/>
              <w:jc w:val="center"/>
              <w:rPr>
                <w:rFonts w:cs="Arial"/>
                <w:sz w:val="18"/>
                <w:szCs w:val="18"/>
              </w:rPr>
            </w:pPr>
            <w:r>
              <w:rPr>
                <w:rFonts w:cs="Arial"/>
                <w:sz w:val="18"/>
                <w:szCs w:val="18"/>
              </w:rPr>
              <w:t>x</w:t>
            </w:r>
          </w:p>
        </w:tc>
        <w:tc>
          <w:tcPr>
            <w:tcW w:w="238" w:type="pct"/>
            <w:tcBorders>
              <w:top w:val="single" w:sz="2" w:space="0" w:color="0067AB"/>
              <w:left w:val="single" w:sz="2" w:space="0" w:color="0067AB"/>
              <w:bottom w:val="single" w:sz="2" w:space="0" w:color="0067AB"/>
              <w:right w:val="single" w:sz="2" w:space="0" w:color="0067AB"/>
            </w:tcBorders>
            <w:shd w:val="clear" w:color="auto" w:fill="auto"/>
          </w:tcPr>
          <w:p w14:paraId="6BF478CD" w14:textId="77777777" w:rsidR="00C15432" w:rsidRPr="00CE4330" w:rsidRDefault="00C15432" w:rsidP="00C15432">
            <w:pPr>
              <w:pStyle w:val="TableTextNoSpace"/>
              <w:jc w:val="center"/>
              <w:rPr>
                <w:rFonts w:cs="Arial"/>
                <w:sz w:val="18"/>
                <w:szCs w:val="18"/>
              </w:rPr>
            </w:pPr>
            <w:r>
              <w:rPr>
                <w:rFonts w:cs="Arial"/>
                <w:sz w:val="18"/>
                <w:szCs w:val="18"/>
              </w:rPr>
              <w:t>x</w:t>
            </w:r>
          </w:p>
        </w:tc>
      </w:tr>
      <w:tr w:rsidR="00C15432" w14:paraId="78A2FDC6" w14:textId="77777777" w:rsidTr="00C15432">
        <w:tc>
          <w:tcPr>
            <w:tcW w:w="699" w:type="pct"/>
            <w:tcBorders>
              <w:top w:val="single" w:sz="2" w:space="0" w:color="0067AB"/>
              <w:left w:val="single" w:sz="2" w:space="0" w:color="0067AB"/>
              <w:bottom w:val="single" w:sz="2" w:space="0" w:color="0067AB"/>
              <w:right w:val="single" w:sz="2" w:space="0" w:color="0067AB"/>
            </w:tcBorders>
          </w:tcPr>
          <w:p w14:paraId="3EC60FE3" w14:textId="77777777" w:rsidR="00C15432" w:rsidRDefault="00C15432" w:rsidP="00C15432">
            <w:pPr>
              <w:pStyle w:val="TableTextNoSpace"/>
              <w:jc w:val="left"/>
              <w:rPr>
                <w:rFonts w:asciiTheme="minorHAnsi" w:hAnsiTheme="minorHAnsi"/>
                <w:sz w:val="18"/>
                <w:szCs w:val="18"/>
              </w:rPr>
            </w:pPr>
            <w:r>
              <w:rPr>
                <w:rFonts w:asciiTheme="minorHAnsi" w:hAnsiTheme="minorHAnsi"/>
                <w:sz w:val="18"/>
                <w:szCs w:val="18"/>
              </w:rPr>
              <w:t>Horizon 2020</w:t>
            </w:r>
          </w:p>
        </w:tc>
        <w:tc>
          <w:tcPr>
            <w:tcW w:w="239" w:type="pct"/>
            <w:tcBorders>
              <w:top w:val="single" w:sz="2" w:space="0" w:color="0067AB"/>
              <w:left w:val="single" w:sz="2" w:space="0" w:color="0067AB"/>
              <w:bottom w:val="single" w:sz="2" w:space="0" w:color="0067AB"/>
              <w:right w:val="single" w:sz="2" w:space="0" w:color="0067AB"/>
            </w:tcBorders>
          </w:tcPr>
          <w:p w14:paraId="4F5C5AAB" w14:textId="77777777" w:rsidR="00C15432" w:rsidRPr="00CE4330" w:rsidRDefault="00C15432" w:rsidP="00C15432">
            <w:pPr>
              <w:pStyle w:val="TableTextNoSpace"/>
              <w:jc w:val="center"/>
              <w:rPr>
                <w:rFonts w:cs="Arial"/>
                <w:sz w:val="18"/>
                <w:szCs w:val="18"/>
              </w:rPr>
            </w:pPr>
            <w:r w:rsidRPr="00EA413E">
              <w:rPr>
                <w:rFonts w:cs="Arial"/>
                <w:sz w:val="18"/>
                <w:szCs w:val="18"/>
              </w:rPr>
              <w:t>x</w:t>
            </w:r>
          </w:p>
        </w:tc>
        <w:tc>
          <w:tcPr>
            <w:tcW w:w="239" w:type="pct"/>
            <w:tcBorders>
              <w:top w:val="single" w:sz="2" w:space="0" w:color="0067AB"/>
              <w:left w:val="single" w:sz="2" w:space="0" w:color="0067AB"/>
              <w:bottom w:val="single" w:sz="2" w:space="0" w:color="0067AB"/>
              <w:right w:val="single" w:sz="2" w:space="0" w:color="0067AB"/>
            </w:tcBorders>
          </w:tcPr>
          <w:p w14:paraId="250F3ED8" w14:textId="77777777" w:rsidR="00C15432" w:rsidRPr="00A94172" w:rsidRDefault="00C15432" w:rsidP="00C15432">
            <w:pPr>
              <w:pStyle w:val="TableTextNoSpace"/>
              <w:jc w:val="center"/>
              <w:rPr>
                <w:rFonts w:cs="Arial"/>
                <w:sz w:val="18"/>
                <w:szCs w:val="18"/>
              </w:rPr>
            </w:pPr>
            <w:r w:rsidRPr="00EA413E">
              <w:rPr>
                <w:rFonts w:cs="Arial"/>
                <w:sz w:val="18"/>
                <w:szCs w:val="18"/>
              </w:rPr>
              <w:t>x</w:t>
            </w:r>
          </w:p>
        </w:tc>
        <w:tc>
          <w:tcPr>
            <w:tcW w:w="239" w:type="pct"/>
            <w:tcBorders>
              <w:top w:val="single" w:sz="2" w:space="0" w:color="0067AB"/>
              <w:left w:val="single" w:sz="2" w:space="0" w:color="0067AB"/>
              <w:bottom w:val="single" w:sz="2" w:space="0" w:color="0067AB"/>
              <w:right w:val="single" w:sz="2" w:space="0" w:color="0067AB"/>
            </w:tcBorders>
          </w:tcPr>
          <w:p w14:paraId="54EAAD73"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tcPr>
          <w:p w14:paraId="4A0CEB78" w14:textId="77777777" w:rsidR="00C15432" w:rsidRPr="00A317F6"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2" w:space="0" w:color="0067AB"/>
            </w:tcBorders>
          </w:tcPr>
          <w:p w14:paraId="6CB23A80"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tcPr>
          <w:p w14:paraId="0C7B2D86"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tcPr>
          <w:p w14:paraId="6C8E2C3E"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tcPr>
          <w:p w14:paraId="25443A11"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tcPr>
          <w:p w14:paraId="45745540"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tcPr>
          <w:p w14:paraId="1AF73F22" w14:textId="77777777" w:rsidR="00C15432" w:rsidRPr="00CE4330" w:rsidRDefault="00C15432" w:rsidP="00C15432">
            <w:pPr>
              <w:pStyle w:val="TableTextNoSpace"/>
              <w:jc w:val="center"/>
              <w:rPr>
                <w:rFonts w:cs="Arial"/>
                <w:sz w:val="18"/>
                <w:szCs w:val="18"/>
              </w:rPr>
            </w:pPr>
            <w:r>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tcPr>
          <w:p w14:paraId="1A3DCEC0"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12" w:space="0" w:color="0067AB"/>
            </w:tcBorders>
          </w:tcPr>
          <w:p w14:paraId="50315598"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12" w:space="0" w:color="0067AB"/>
              <w:bottom w:val="single" w:sz="2" w:space="0" w:color="0067AB"/>
              <w:right w:val="single" w:sz="2" w:space="0" w:color="0067AB"/>
            </w:tcBorders>
          </w:tcPr>
          <w:p w14:paraId="0FAD8AC1"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tcPr>
          <w:p w14:paraId="0FB0BC1F"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tcPr>
          <w:p w14:paraId="0A2DB8F9"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tcPr>
          <w:p w14:paraId="171DD56B"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tcPr>
          <w:p w14:paraId="6E911CBF" w14:textId="77777777" w:rsidR="00C15432" w:rsidRPr="00CE4330" w:rsidRDefault="00C15432" w:rsidP="00C15432">
            <w:pPr>
              <w:pStyle w:val="TableTextNoSpace"/>
              <w:jc w:val="center"/>
              <w:rPr>
                <w:rFonts w:cs="Arial"/>
                <w:sz w:val="18"/>
                <w:szCs w:val="18"/>
              </w:rPr>
            </w:pPr>
          </w:p>
        </w:tc>
        <w:tc>
          <w:tcPr>
            <w:tcW w:w="238" w:type="pct"/>
            <w:tcBorders>
              <w:top w:val="single" w:sz="2" w:space="0" w:color="0067AB"/>
              <w:left w:val="single" w:sz="2" w:space="0" w:color="0067AB"/>
              <w:bottom w:val="single" w:sz="2" w:space="0" w:color="0067AB"/>
              <w:right w:val="single" w:sz="2" w:space="0" w:color="0067AB"/>
            </w:tcBorders>
          </w:tcPr>
          <w:p w14:paraId="5008B20A" w14:textId="77777777" w:rsidR="00C15432" w:rsidRPr="00CE4330" w:rsidRDefault="00C15432" w:rsidP="00C15432">
            <w:pPr>
              <w:pStyle w:val="TableTextNoSpace"/>
              <w:jc w:val="center"/>
              <w:rPr>
                <w:rFonts w:cs="Arial"/>
                <w:sz w:val="18"/>
                <w:szCs w:val="18"/>
              </w:rPr>
            </w:pPr>
            <w:r>
              <w:rPr>
                <w:rFonts w:cs="Arial"/>
                <w:b/>
                <w:sz w:val="18"/>
                <w:szCs w:val="18"/>
              </w:rPr>
              <w:t>X</w:t>
            </w:r>
          </w:p>
        </w:tc>
      </w:tr>
      <w:tr w:rsidR="00C15432" w14:paraId="1EC22C57" w14:textId="77777777" w:rsidTr="00C15432">
        <w:tc>
          <w:tcPr>
            <w:tcW w:w="5000" w:type="pct"/>
            <w:gridSpan w:val="19"/>
            <w:tcBorders>
              <w:top w:val="single" w:sz="2" w:space="0" w:color="0067AB"/>
              <w:left w:val="single" w:sz="2" w:space="0" w:color="0067AB"/>
              <w:bottom w:val="single" w:sz="2" w:space="0" w:color="0067AB"/>
              <w:right w:val="single" w:sz="2" w:space="0" w:color="0067AB"/>
            </w:tcBorders>
            <w:shd w:val="clear" w:color="auto" w:fill="F2F2F2" w:themeFill="background1" w:themeFillShade="F2"/>
          </w:tcPr>
          <w:p w14:paraId="1FEE9476" w14:textId="77777777" w:rsidR="00C15432" w:rsidRPr="00CE4330" w:rsidRDefault="00C15432" w:rsidP="00082CFB">
            <w:pPr>
              <w:pStyle w:val="TableTextNoSpace"/>
              <w:jc w:val="left"/>
              <w:rPr>
                <w:rFonts w:cs="Arial"/>
                <w:sz w:val="18"/>
                <w:szCs w:val="18"/>
              </w:rPr>
            </w:pPr>
            <w:r>
              <w:rPr>
                <w:rFonts w:asciiTheme="minorHAnsi" w:hAnsiTheme="minorHAnsi"/>
                <w:b/>
                <w:sz w:val="18"/>
                <w:szCs w:val="18"/>
              </w:rPr>
              <w:t>Other sector plans, strategies and public funds</w:t>
            </w:r>
          </w:p>
        </w:tc>
      </w:tr>
      <w:tr w:rsidR="00C15432" w14:paraId="77B077C7" w14:textId="77777777" w:rsidTr="00C15432">
        <w:tc>
          <w:tcPr>
            <w:tcW w:w="699" w:type="pct"/>
            <w:tcBorders>
              <w:top w:val="single" w:sz="2" w:space="0" w:color="0067AB"/>
              <w:left w:val="single" w:sz="2" w:space="0" w:color="0067AB"/>
              <w:bottom w:val="single" w:sz="2" w:space="0" w:color="0067AB"/>
              <w:right w:val="single" w:sz="2" w:space="0" w:color="0067AB"/>
            </w:tcBorders>
            <w:shd w:val="clear" w:color="auto" w:fill="auto"/>
          </w:tcPr>
          <w:p w14:paraId="1A2BC54C" w14:textId="77777777" w:rsidR="00C15432" w:rsidRDefault="00C15432" w:rsidP="00C15432">
            <w:pPr>
              <w:pStyle w:val="TableTextNoSpace"/>
              <w:jc w:val="left"/>
              <w:rPr>
                <w:rFonts w:asciiTheme="minorHAnsi" w:hAnsiTheme="minorHAnsi"/>
                <w:b/>
                <w:sz w:val="18"/>
                <w:szCs w:val="18"/>
              </w:rPr>
            </w:pPr>
            <w:r>
              <w:rPr>
                <w:rFonts w:asciiTheme="minorHAnsi" w:hAnsiTheme="minorHAnsi"/>
                <w:sz w:val="18"/>
                <w:szCs w:val="18"/>
              </w:rPr>
              <w:t>Other sector plans</w:t>
            </w:r>
          </w:p>
        </w:tc>
        <w:tc>
          <w:tcPr>
            <w:tcW w:w="239" w:type="pct"/>
            <w:tcBorders>
              <w:top w:val="single" w:sz="2" w:space="0" w:color="0067AB"/>
              <w:left w:val="single" w:sz="2" w:space="0" w:color="0067AB"/>
              <w:bottom w:val="single" w:sz="2" w:space="0" w:color="0067AB"/>
              <w:right w:val="single" w:sz="2" w:space="0" w:color="0067AB"/>
            </w:tcBorders>
            <w:shd w:val="clear" w:color="auto" w:fill="auto"/>
            <w:vAlign w:val="center"/>
          </w:tcPr>
          <w:p w14:paraId="1C3CB739" w14:textId="77777777" w:rsidR="00C15432" w:rsidRPr="00CE4330" w:rsidRDefault="00C15432" w:rsidP="00C15432">
            <w:pPr>
              <w:pStyle w:val="TableTextNoSpace"/>
              <w:jc w:val="center"/>
              <w:rPr>
                <w:rFonts w:cs="Arial"/>
                <w:sz w:val="18"/>
                <w:szCs w:val="18"/>
              </w:rPr>
            </w:pPr>
            <w:r>
              <w:rPr>
                <w:rFonts w:cs="Arial"/>
                <w:sz w:val="18"/>
                <w:szCs w:val="18"/>
              </w:rPr>
              <w:t>x</w:t>
            </w:r>
          </w:p>
        </w:tc>
        <w:tc>
          <w:tcPr>
            <w:tcW w:w="239" w:type="pct"/>
            <w:tcBorders>
              <w:top w:val="single" w:sz="2" w:space="0" w:color="0067AB"/>
              <w:left w:val="single" w:sz="2" w:space="0" w:color="0067AB"/>
              <w:bottom w:val="single" w:sz="2" w:space="0" w:color="0067AB"/>
              <w:right w:val="single" w:sz="2" w:space="0" w:color="0067AB"/>
            </w:tcBorders>
            <w:shd w:val="clear" w:color="auto" w:fill="auto"/>
            <w:vAlign w:val="center"/>
          </w:tcPr>
          <w:p w14:paraId="604DCB8A" w14:textId="77777777" w:rsidR="00C15432" w:rsidRPr="00CE4330" w:rsidRDefault="00C15432" w:rsidP="00C15432">
            <w:pPr>
              <w:pStyle w:val="TableTextNoSpace"/>
              <w:jc w:val="center"/>
              <w:rPr>
                <w:rFonts w:cs="Arial"/>
                <w:sz w:val="18"/>
                <w:szCs w:val="18"/>
              </w:rPr>
            </w:pPr>
            <w:r>
              <w:rPr>
                <w:rFonts w:cs="Arial"/>
                <w:sz w:val="18"/>
                <w:szCs w:val="18"/>
              </w:rPr>
              <w:t>x</w:t>
            </w:r>
          </w:p>
        </w:tc>
        <w:tc>
          <w:tcPr>
            <w:tcW w:w="239" w:type="pct"/>
            <w:tcBorders>
              <w:top w:val="single" w:sz="2" w:space="0" w:color="0067AB"/>
              <w:left w:val="single" w:sz="2" w:space="0" w:color="0067AB"/>
              <w:bottom w:val="single" w:sz="2" w:space="0" w:color="0067AB"/>
              <w:right w:val="single" w:sz="2" w:space="0" w:color="0067AB"/>
            </w:tcBorders>
            <w:shd w:val="clear" w:color="auto" w:fill="auto"/>
            <w:vAlign w:val="center"/>
          </w:tcPr>
          <w:p w14:paraId="23865210"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shd w:val="clear" w:color="auto" w:fill="auto"/>
            <w:vAlign w:val="center"/>
          </w:tcPr>
          <w:p w14:paraId="7306FCFC"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shd w:val="clear" w:color="auto" w:fill="auto"/>
            <w:vAlign w:val="center"/>
          </w:tcPr>
          <w:p w14:paraId="6E245332"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shd w:val="clear" w:color="auto" w:fill="auto"/>
            <w:vAlign w:val="center"/>
          </w:tcPr>
          <w:p w14:paraId="0298848D" w14:textId="77777777" w:rsidR="00C15432" w:rsidRPr="00CE4330" w:rsidRDefault="00C15432" w:rsidP="00C15432">
            <w:pPr>
              <w:pStyle w:val="TableTextNoSpace"/>
              <w:jc w:val="center"/>
              <w:rPr>
                <w:rFonts w:cs="Arial"/>
                <w:sz w:val="18"/>
                <w:szCs w:val="18"/>
              </w:rPr>
            </w:pPr>
            <w:r>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shd w:val="clear" w:color="auto" w:fill="auto"/>
            <w:vAlign w:val="center"/>
          </w:tcPr>
          <w:p w14:paraId="3021D18B" w14:textId="77777777" w:rsidR="00C15432" w:rsidRPr="00CE4330" w:rsidRDefault="00C15432" w:rsidP="00C15432">
            <w:pPr>
              <w:pStyle w:val="TableTextNoSpace"/>
              <w:jc w:val="center"/>
              <w:rPr>
                <w:rFonts w:cs="Arial"/>
                <w:sz w:val="18"/>
                <w:szCs w:val="18"/>
              </w:rPr>
            </w:pPr>
            <w:r>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shd w:val="clear" w:color="auto" w:fill="auto"/>
            <w:vAlign w:val="center"/>
          </w:tcPr>
          <w:p w14:paraId="1C707D72"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shd w:val="clear" w:color="auto" w:fill="auto"/>
            <w:vAlign w:val="center"/>
          </w:tcPr>
          <w:p w14:paraId="22892E85" w14:textId="77777777" w:rsidR="00C15432" w:rsidRPr="00CE4330" w:rsidRDefault="00C15432" w:rsidP="00C15432">
            <w:pPr>
              <w:pStyle w:val="TableTextNoSpace"/>
              <w:jc w:val="center"/>
              <w:rPr>
                <w:rFonts w:cs="Arial"/>
                <w:sz w:val="18"/>
                <w:szCs w:val="18"/>
              </w:rPr>
            </w:pPr>
            <w:r>
              <w:rPr>
                <w:rFonts w:cs="Arial"/>
                <w:sz w:val="18"/>
                <w:szCs w:val="18"/>
              </w:rPr>
              <w:t>x</w:t>
            </w:r>
          </w:p>
        </w:tc>
        <w:tc>
          <w:tcPr>
            <w:tcW w:w="239" w:type="pct"/>
            <w:tcBorders>
              <w:top w:val="single" w:sz="2" w:space="0" w:color="0067AB"/>
              <w:left w:val="single" w:sz="2" w:space="0" w:color="0067AB"/>
              <w:bottom w:val="single" w:sz="2" w:space="0" w:color="0067AB"/>
              <w:right w:val="single" w:sz="2" w:space="0" w:color="0067AB"/>
            </w:tcBorders>
            <w:shd w:val="clear" w:color="auto" w:fill="auto"/>
            <w:vAlign w:val="center"/>
          </w:tcPr>
          <w:p w14:paraId="03CA6F53"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shd w:val="clear" w:color="auto" w:fill="auto"/>
            <w:vAlign w:val="center"/>
          </w:tcPr>
          <w:p w14:paraId="081D6FD0" w14:textId="77777777" w:rsidR="00C15432" w:rsidRPr="00CE4330" w:rsidRDefault="00C15432" w:rsidP="00C15432">
            <w:pPr>
              <w:pStyle w:val="TableTextNoSpace"/>
              <w:jc w:val="center"/>
              <w:rPr>
                <w:rFonts w:cs="Arial"/>
                <w:sz w:val="18"/>
                <w:szCs w:val="18"/>
              </w:rPr>
            </w:pPr>
            <w:r>
              <w:rPr>
                <w:rFonts w:cs="Arial"/>
                <w:b/>
                <w:sz w:val="18"/>
                <w:szCs w:val="18"/>
              </w:rPr>
              <w:t>X</w:t>
            </w:r>
          </w:p>
        </w:tc>
        <w:tc>
          <w:tcPr>
            <w:tcW w:w="239" w:type="pct"/>
            <w:tcBorders>
              <w:top w:val="single" w:sz="2" w:space="0" w:color="0067AB"/>
              <w:left w:val="single" w:sz="2" w:space="0" w:color="0067AB"/>
              <w:bottom w:val="single" w:sz="2" w:space="0" w:color="0067AB"/>
              <w:right w:val="single" w:sz="12" w:space="0" w:color="0067AB"/>
            </w:tcBorders>
            <w:shd w:val="clear" w:color="auto" w:fill="auto"/>
            <w:vAlign w:val="center"/>
          </w:tcPr>
          <w:p w14:paraId="6C573BED" w14:textId="77777777" w:rsidR="00C15432" w:rsidRPr="00A61DAF" w:rsidRDefault="00C15432" w:rsidP="00C15432">
            <w:pPr>
              <w:pStyle w:val="TableTextNoSpace"/>
              <w:jc w:val="center"/>
              <w:rPr>
                <w:rFonts w:cs="Arial"/>
                <w:b/>
                <w:sz w:val="18"/>
                <w:szCs w:val="18"/>
              </w:rPr>
            </w:pPr>
            <w:r w:rsidRPr="00A61DAF">
              <w:rPr>
                <w:rFonts w:cs="Arial"/>
                <w:b/>
                <w:sz w:val="18"/>
                <w:szCs w:val="18"/>
              </w:rPr>
              <w:t>X</w:t>
            </w:r>
          </w:p>
        </w:tc>
        <w:tc>
          <w:tcPr>
            <w:tcW w:w="239" w:type="pct"/>
            <w:tcBorders>
              <w:top w:val="single" w:sz="2" w:space="0" w:color="0067AB"/>
              <w:left w:val="single" w:sz="12" w:space="0" w:color="0067AB"/>
              <w:bottom w:val="single" w:sz="2" w:space="0" w:color="0067AB"/>
              <w:right w:val="single" w:sz="2" w:space="0" w:color="0067AB"/>
            </w:tcBorders>
            <w:shd w:val="clear" w:color="auto" w:fill="auto"/>
            <w:vAlign w:val="center"/>
          </w:tcPr>
          <w:p w14:paraId="69A2EA3B" w14:textId="77777777" w:rsidR="00C15432" w:rsidRPr="00CE4330" w:rsidRDefault="00C15432" w:rsidP="00C15432">
            <w:pPr>
              <w:pStyle w:val="TableTextNoSpace"/>
              <w:jc w:val="center"/>
              <w:rPr>
                <w:rFonts w:cs="Arial"/>
                <w:sz w:val="18"/>
                <w:szCs w:val="18"/>
              </w:rPr>
            </w:pPr>
            <w:r>
              <w:rPr>
                <w:rFonts w:cs="Arial"/>
                <w:sz w:val="18"/>
                <w:szCs w:val="18"/>
              </w:rPr>
              <w:t>x</w:t>
            </w:r>
          </w:p>
        </w:tc>
        <w:tc>
          <w:tcPr>
            <w:tcW w:w="239" w:type="pct"/>
            <w:tcBorders>
              <w:top w:val="single" w:sz="2" w:space="0" w:color="0067AB"/>
              <w:left w:val="single" w:sz="2" w:space="0" w:color="0067AB"/>
              <w:bottom w:val="single" w:sz="2" w:space="0" w:color="0067AB"/>
              <w:right w:val="single" w:sz="2" w:space="0" w:color="0067AB"/>
            </w:tcBorders>
            <w:shd w:val="clear" w:color="auto" w:fill="auto"/>
            <w:vAlign w:val="center"/>
          </w:tcPr>
          <w:p w14:paraId="2A00D272"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shd w:val="clear" w:color="auto" w:fill="auto"/>
            <w:vAlign w:val="center"/>
          </w:tcPr>
          <w:p w14:paraId="7C96204C"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shd w:val="clear" w:color="auto" w:fill="auto"/>
            <w:vAlign w:val="center"/>
          </w:tcPr>
          <w:p w14:paraId="26620F5A"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shd w:val="clear" w:color="auto" w:fill="auto"/>
            <w:vAlign w:val="center"/>
          </w:tcPr>
          <w:p w14:paraId="1AF3C065" w14:textId="77777777" w:rsidR="00C15432" w:rsidRPr="005C0780" w:rsidRDefault="00C15432" w:rsidP="00C15432">
            <w:pPr>
              <w:pStyle w:val="TableTextNoSpace"/>
              <w:jc w:val="center"/>
              <w:rPr>
                <w:rFonts w:cs="Arial"/>
                <w:b/>
                <w:sz w:val="18"/>
                <w:szCs w:val="18"/>
              </w:rPr>
            </w:pPr>
            <w:r w:rsidRPr="005C0780">
              <w:rPr>
                <w:rFonts w:cs="Arial"/>
                <w:b/>
                <w:sz w:val="18"/>
                <w:szCs w:val="18"/>
              </w:rPr>
              <w:t>X</w:t>
            </w:r>
          </w:p>
        </w:tc>
        <w:tc>
          <w:tcPr>
            <w:tcW w:w="238" w:type="pct"/>
            <w:tcBorders>
              <w:top w:val="single" w:sz="2" w:space="0" w:color="0067AB"/>
              <w:left w:val="single" w:sz="2" w:space="0" w:color="0067AB"/>
              <w:bottom w:val="single" w:sz="2" w:space="0" w:color="0067AB"/>
              <w:right w:val="single" w:sz="2" w:space="0" w:color="0067AB"/>
            </w:tcBorders>
            <w:shd w:val="clear" w:color="auto" w:fill="auto"/>
            <w:vAlign w:val="center"/>
          </w:tcPr>
          <w:p w14:paraId="1428AE39" w14:textId="77777777" w:rsidR="00C15432" w:rsidRPr="00CE4330" w:rsidRDefault="00C15432" w:rsidP="00C15432">
            <w:pPr>
              <w:pStyle w:val="TableTextNoSpace"/>
              <w:jc w:val="center"/>
              <w:rPr>
                <w:rFonts w:cs="Arial"/>
                <w:sz w:val="18"/>
                <w:szCs w:val="18"/>
              </w:rPr>
            </w:pPr>
            <w:r>
              <w:rPr>
                <w:rFonts w:cs="Arial"/>
                <w:b/>
                <w:sz w:val="18"/>
                <w:szCs w:val="18"/>
              </w:rPr>
              <w:t>X</w:t>
            </w:r>
          </w:p>
        </w:tc>
      </w:tr>
      <w:tr w:rsidR="00C15432" w14:paraId="1CBEBF37" w14:textId="77777777" w:rsidTr="00C15432">
        <w:tc>
          <w:tcPr>
            <w:tcW w:w="699" w:type="pct"/>
            <w:tcBorders>
              <w:top w:val="single" w:sz="2" w:space="0" w:color="0067AB"/>
              <w:left w:val="single" w:sz="2" w:space="0" w:color="0067AB"/>
              <w:bottom w:val="single" w:sz="2" w:space="0" w:color="0067AB"/>
              <w:right w:val="single" w:sz="2" w:space="0" w:color="0067AB"/>
            </w:tcBorders>
            <w:shd w:val="clear" w:color="auto" w:fill="auto"/>
          </w:tcPr>
          <w:p w14:paraId="47EFFA8A" w14:textId="77777777" w:rsidR="00C15432" w:rsidRDefault="00C15432" w:rsidP="00C15432">
            <w:pPr>
              <w:pStyle w:val="TableTextNoSpace"/>
              <w:jc w:val="left"/>
              <w:rPr>
                <w:rFonts w:asciiTheme="minorHAnsi" w:hAnsiTheme="minorHAnsi"/>
                <w:sz w:val="18"/>
                <w:szCs w:val="18"/>
              </w:rPr>
            </w:pPr>
            <w:r w:rsidRPr="00D60446">
              <w:rPr>
                <w:rFonts w:asciiTheme="minorHAnsi" w:hAnsiTheme="minorHAnsi"/>
                <w:sz w:val="18"/>
                <w:szCs w:val="18"/>
              </w:rPr>
              <w:t>Research grants</w:t>
            </w:r>
          </w:p>
        </w:tc>
        <w:tc>
          <w:tcPr>
            <w:tcW w:w="239" w:type="pct"/>
            <w:tcBorders>
              <w:top w:val="single" w:sz="2" w:space="0" w:color="0067AB"/>
              <w:left w:val="single" w:sz="2" w:space="0" w:color="0067AB"/>
              <w:bottom w:val="single" w:sz="2" w:space="0" w:color="0067AB"/>
              <w:right w:val="single" w:sz="2" w:space="0" w:color="0067AB"/>
            </w:tcBorders>
            <w:shd w:val="clear" w:color="auto" w:fill="auto"/>
            <w:vAlign w:val="center"/>
          </w:tcPr>
          <w:p w14:paraId="5C6B53AD" w14:textId="77777777" w:rsidR="00C15432" w:rsidRPr="00CE4330" w:rsidRDefault="00C15432" w:rsidP="00C15432">
            <w:pPr>
              <w:pStyle w:val="TableTextNoSpace"/>
              <w:jc w:val="center"/>
              <w:rPr>
                <w:rFonts w:cs="Arial"/>
                <w:sz w:val="18"/>
                <w:szCs w:val="18"/>
              </w:rPr>
            </w:pPr>
            <w:r>
              <w:rPr>
                <w:rFonts w:cs="Arial"/>
                <w:sz w:val="18"/>
                <w:szCs w:val="18"/>
              </w:rPr>
              <w:t>x</w:t>
            </w:r>
          </w:p>
        </w:tc>
        <w:tc>
          <w:tcPr>
            <w:tcW w:w="239" w:type="pct"/>
            <w:tcBorders>
              <w:top w:val="single" w:sz="2" w:space="0" w:color="0067AB"/>
              <w:left w:val="single" w:sz="2" w:space="0" w:color="0067AB"/>
              <w:bottom w:val="single" w:sz="2" w:space="0" w:color="0067AB"/>
              <w:right w:val="single" w:sz="2" w:space="0" w:color="0067AB"/>
            </w:tcBorders>
            <w:shd w:val="clear" w:color="auto" w:fill="auto"/>
            <w:vAlign w:val="center"/>
          </w:tcPr>
          <w:p w14:paraId="1C7601FF" w14:textId="77777777" w:rsidR="00C15432" w:rsidRPr="00CE4330" w:rsidRDefault="00C15432" w:rsidP="00C15432">
            <w:pPr>
              <w:pStyle w:val="TableTextNoSpace"/>
              <w:jc w:val="center"/>
              <w:rPr>
                <w:rFonts w:cs="Arial"/>
                <w:sz w:val="18"/>
                <w:szCs w:val="18"/>
              </w:rPr>
            </w:pPr>
            <w:r>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shd w:val="clear" w:color="auto" w:fill="auto"/>
            <w:vAlign w:val="center"/>
          </w:tcPr>
          <w:p w14:paraId="7637478F"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shd w:val="clear" w:color="auto" w:fill="auto"/>
            <w:vAlign w:val="center"/>
          </w:tcPr>
          <w:p w14:paraId="41C1346E"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shd w:val="clear" w:color="auto" w:fill="auto"/>
            <w:vAlign w:val="center"/>
          </w:tcPr>
          <w:p w14:paraId="2C0546FD"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shd w:val="clear" w:color="auto" w:fill="auto"/>
            <w:vAlign w:val="center"/>
          </w:tcPr>
          <w:p w14:paraId="61812862" w14:textId="77777777" w:rsidR="00C15432"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shd w:val="clear" w:color="auto" w:fill="auto"/>
            <w:vAlign w:val="center"/>
          </w:tcPr>
          <w:p w14:paraId="32F71497" w14:textId="77777777" w:rsidR="00C15432"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shd w:val="clear" w:color="auto" w:fill="auto"/>
            <w:vAlign w:val="center"/>
          </w:tcPr>
          <w:p w14:paraId="4BDDA84A"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shd w:val="clear" w:color="auto" w:fill="auto"/>
            <w:vAlign w:val="center"/>
          </w:tcPr>
          <w:p w14:paraId="118E0B02"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shd w:val="clear" w:color="auto" w:fill="auto"/>
            <w:vAlign w:val="center"/>
          </w:tcPr>
          <w:p w14:paraId="11490354" w14:textId="77777777" w:rsidR="00C15432" w:rsidRPr="00CE4330" w:rsidRDefault="00C15432" w:rsidP="00C15432">
            <w:pPr>
              <w:pStyle w:val="TableTextNoSpace"/>
              <w:jc w:val="center"/>
              <w:rPr>
                <w:rFonts w:cs="Arial"/>
                <w:sz w:val="18"/>
                <w:szCs w:val="18"/>
              </w:rPr>
            </w:pPr>
            <w:r>
              <w:rPr>
                <w:rFonts w:cs="Arial"/>
                <w:sz w:val="18"/>
                <w:szCs w:val="18"/>
              </w:rPr>
              <w:t>x</w:t>
            </w:r>
          </w:p>
        </w:tc>
        <w:tc>
          <w:tcPr>
            <w:tcW w:w="239" w:type="pct"/>
            <w:tcBorders>
              <w:top w:val="single" w:sz="2" w:space="0" w:color="0067AB"/>
              <w:left w:val="single" w:sz="2" w:space="0" w:color="0067AB"/>
              <w:bottom w:val="single" w:sz="2" w:space="0" w:color="0067AB"/>
              <w:right w:val="single" w:sz="2" w:space="0" w:color="0067AB"/>
            </w:tcBorders>
            <w:shd w:val="clear" w:color="auto" w:fill="auto"/>
            <w:vAlign w:val="center"/>
          </w:tcPr>
          <w:p w14:paraId="39115873" w14:textId="77777777" w:rsidR="00C15432"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12" w:space="0" w:color="0067AB"/>
            </w:tcBorders>
            <w:shd w:val="clear" w:color="auto" w:fill="auto"/>
            <w:vAlign w:val="center"/>
          </w:tcPr>
          <w:p w14:paraId="697B10B0"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12" w:space="0" w:color="0067AB"/>
              <w:bottom w:val="single" w:sz="2" w:space="0" w:color="0067AB"/>
              <w:right w:val="single" w:sz="2" w:space="0" w:color="0067AB"/>
            </w:tcBorders>
            <w:shd w:val="clear" w:color="auto" w:fill="auto"/>
            <w:vAlign w:val="center"/>
          </w:tcPr>
          <w:p w14:paraId="313C12C5"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shd w:val="clear" w:color="auto" w:fill="auto"/>
            <w:vAlign w:val="center"/>
          </w:tcPr>
          <w:p w14:paraId="68A8D972"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shd w:val="clear" w:color="auto" w:fill="auto"/>
            <w:vAlign w:val="center"/>
          </w:tcPr>
          <w:p w14:paraId="30AAC800"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shd w:val="clear" w:color="auto" w:fill="auto"/>
            <w:vAlign w:val="center"/>
          </w:tcPr>
          <w:p w14:paraId="22C77CD2"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shd w:val="clear" w:color="auto" w:fill="auto"/>
            <w:vAlign w:val="center"/>
          </w:tcPr>
          <w:p w14:paraId="5A0C4F71" w14:textId="77777777" w:rsidR="00C15432" w:rsidRPr="00CE4330" w:rsidRDefault="00C15432" w:rsidP="00C15432">
            <w:pPr>
              <w:pStyle w:val="TableTextNoSpace"/>
              <w:jc w:val="center"/>
              <w:rPr>
                <w:rFonts w:cs="Arial"/>
                <w:sz w:val="18"/>
                <w:szCs w:val="18"/>
              </w:rPr>
            </w:pPr>
          </w:p>
        </w:tc>
        <w:tc>
          <w:tcPr>
            <w:tcW w:w="238" w:type="pct"/>
            <w:tcBorders>
              <w:top w:val="single" w:sz="2" w:space="0" w:color="0067AB"/>
              <w:left w:val="single" w:sz="2" w:space="0" w:color="0067AB"/>
              <w:bottom w:val="single" w:sz="2" w:space="0" w:color="0067AB"/>
              <w:right w:val="single" w:sz="2" w:space="0" w:color="0067AB"/>
            </w:tcBorders>
            <w:shd w:val="clear" w:color="auto" w:fill="auto"/>
            <w:vAlign w:val="center"/>
          </w:tcPr>
          <w:p w14:paraId="25508303" w14:textId="77777777" w:rsidR="00C15432" w:rsidRDefault="00C15432" w:rsidP="00C15432">
            <w:pPr>
              <w:pStyle w:val="TableTextNoSpace"/>
              <w:jc w:val="center"/>
              <w:rPr>
                <w:rFonts w:cs="Arial"/>
                <w:sz w:val="18"/>
                <w:szCs w:val="18"/>
              </w:rPr>
            </w:pPr>
            <w:r>
              <w:rPr>
                <w:rFonts w:cs="Arial"/>
                <w:sz w:val="18"/>
                <w:szCs w:val="18"/>
              </w:rPr>
              <w:t>x</w:t>
            </w:r>
          </w:p>
        </w:tc>
      </w:tr>
      <w:tr w:rsidR="00C15432" w14:paraId="77C78A50" w14:textId="77777777" w:rsidTr="00C15432">
        <w:tc>
          <w:tcPr>
            <w:tcW w:w="5000" w:type="pct"/>
            <w:gridSpan w:val="19"/>
            <w:tcBorders>
              <w:top w:val="single" w:sz="2" w:space="0" w:color="0067AB"/>
              <w:left w:val="single" w:sz="2" w:space="0" w:color="0067AB"/>
              <w:bottom w:val="single" w:sz="2" w:space="0" w:color="0067AB"/>
              <w:right w:val="single" w:sz="2" w:space="0" w:color="0067AB"/>
            </w:tcBorders>
            <w:shd w:val="clear" w:color="auto" w:fill="F2F2F2" w:themeFill="background1" w:themeFillShade="F2"/>
          </w:tcPr>
          <w:p w14:paraId="5CBA7280" w14:textId="77777777" w:rsidR="00C15432" w:rsidRPr="00366762" w:rsidRDefault="00C15432" w:rsidP="00C15432">
            <w:pPr>
              <w:pStyle w:val="TableTextNoSpace"/>
              <w:jc w:val="left"/>
              <w:rPr>
                <w:rFonts w:asciiTheme="minorHAnsi" w:hAnsiTheme="minorHAnsi" w:cs="Arial"/>
                <w:sz w:val="18"/>
                <w:szCs w:val="18"/>
              </w:rPr>
            </w:pPr>
            <w:r w:rsidRPr="00366762">
              <w:rPr>
                <w:rFonts w:asciiTheme="minorHAnsi" w:hAnsiTheme="minorHAnsi"/>
                <w:b/>
                <w:sz w:val="18"/>
                <w:szCs w:val="18"/>
              </w:rPr>
              <w:t>Private, Lottery and voluntary sector funds</w:t>
            </w:r>
          </w:p>
        </w:tc>
      </w:tr>
      <w:tr w:rsidR="00C15432" w14:paraId="1D43BE42" w14:textId="77777777" w:rsidTr="00C15432">
        <w:tc>
          <w:tcPr>
            <w:tcW w:w="699" w:type="pct"/>
            <w:tcBorders>
              <w:top w:val="single" w:sz="2" w:space="0" w:color="0067AB"/>
              <w:left w:val="single" w:sz="2" w:space="0" w:color="0067AB"/>
              <w:bottom w:val="single" w:sz="2" w:space="0" w:color="0067AB"/>
              <w:right w:val="single" w:sz="2" w:space="0" w:color="0067AB"/>
            </w:tcBorders>
          </w:tcPr>
          <w:p w14:paraId="3D121BE5" w14:textId="77777777" w:rsidR="00C15432" w:rsidRPr="00D60446" w:rsidRDefault="00C15432" w:rsidP="00C15432">
            <w:pPr>
              <w:pStyle w:val="TableTextNoSpace"/>
              <w:jc w:val="left"/>
              <w:rPr>
                <w:rFonts w:asciiTheme="minorHAnsi" w:hAnsiTheme="minorHAnsi"/>
                <w:sz w:val="18"/>
                <w:szCs w:val="18"/>
              </w:rPr>
            </w:pPr>
            <w:r w:rsidRPr="00D60446">
              <w:rPr>
                <w:rFonts w:asciiTheme="minorHAnsi" w:hAnsiTheme="minorHAnsi"/>
                <w:sz w:val="18"/>
                <w:szCs w:val="18"/>
              </w:rPr>
              <w:t>Business sponsorship</w:t>
            </w:r>
          </w:p>
        </w:tc>
        <w:tc>
          <w:tcPr>
            <w:tcW w:w="239" w:type="pct"/>
            <w:tcBorders>
              <w:top w:val="single" w:sz="2" w:space="0" w:color="0067AB"/>
              <w:left w:val="single" w:sz="2" w:space="0" w:color="0067AB"/>
              <w:bottom w:val="single" w:sz="2" w:space="0" w:color="0067AB"/>
              <w:right w:val="single" w:sz="2" w:space="0" w:color="0067AB"/>
            </w:tcBorders>
            <w:vAlign w:val="center"/>
          </w:tcPr>
          <w:p w14:paraId="7AC4EB57" w14:textId="77777777" w:rsidR="00C15432" w:rsidRPr="00CE4330" w:rsidRDefault="00C15432" w:rsidP="00C15432">
            <w:pPr>
              <w:pStyle w:val="TableTextNoSpace"/>
              <w:jc w:val="center"/>
              <w:rPr>
                <w:rFonts w:cs="Arial"/>
                <w:sz w:val="18"/>
                <w:szCs w:val="18"/>
              </w:rPr>
            </w:pPr>
            <w:r>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6F856FEC" w14:textId="77777777" w:rsidR="00C15432" w:rsidRPr="00CE4330" w:rsidRDefault="00C15432" w:rsidP="00C15432">
            <w:pPr>
              <w:pStyle w:val="TableTextNoSpace"/>
              <w:jc w:val="center"/>
              <w:rPr>
                <w:rFonts w:cs="Arial"/>
                <w:sz w:val="18"/>
                <w:szCs w:val="18"/>
              </w:rPr>
            </w:pPr>
            <w:r>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6D23B2BC"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0D8CB5D5" w14:textId="77777777" w:rsidR="00C15432" w:rsidRPr="00CE4330" w:rsidRDefault="00C15432" w:rsidP="00C15432">
            <w:pPr>
              <w:pStyle w:val="TableTextNoSpace"/>
              <w:jc w:val="center"/>
              <w:rPr>
                <w:rFonts w:cs="Arial"/>
                <w:sz w:val="18"/>
                <w:szCs w:val="18"/>
              </w:rPr>
            </w:pPr>
            <w:r>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6A2876A1" w14:textId="77777777" w:rsidR="00C15432" w:rsidRPr="00CE4330" w:rsidRDefault="00C15432" w:rsidP="00C15432">
            <w:pPr>
              <w:pStyle w:val="TableTextNoSpace"/>
              <w:jc w:val="center"/>
              <w:rPr>
                <w:rFonts w:cs="Arial"/>
                <w:sz w:val="18"/>
                <w:szCs w:val="18"/>
              </w:rPr>
            </w:pPr>
            <w:r>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2D5BFEEB" w14:textId="77777777" w:rsidR="00C15432" w:rsidRPr="0021522B" w:rsidRDefault="00C15432" w:rsidP="00C15432">
            <w:pPr>
              <w:pStyle w:val="TableTextNoSpace"/>
              <w:jc w:val="center"/>
              <w:rPr>
                <w:rFonts w:cs="Arial"/>
                <w:b/>
                <w:sz w:val="18"/>
                <w:szCs w:val="18"/>
              </w:rPr>
            </w:pPr>
            <w:r w:rsidRPr="0021522B">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3D4F3D96" w14:textId="77777777" w:rsidR="00C15432" w:rsidRPr="0021522B" w:rsidRDefault="00C15432" w:rsidP="00C15432">
            <w:pPr>
              <w:pStyle w:val="TableTextNoSpace"/>
              <w:jc w:val="center"/>
              <w:rPr>
                <w:rFonts w:cs="Arial"/>
                <w:b/>
                <w:sz w:val="18"/>
                <w:szCs w:val="18"/>
              </w:rPr>
            </w:pPr>
            <w:r w:rsidRPr="0021522B">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23FA7085" w14:textId="77777777" w:rsidR="00C15432" w:rsidRPr="0021522B" w:rsidRDefault="00C15432" w:rsidP="00C15432">
            <w:pPr>
              <w:pStyle w:val="TableTextNoSpace"/>
              <w:jc w:val="center"/>
              <w:rPr>
                <w:rFonts w:cs="Arial"/>
                <w:b/>
                <w:sz w:val="18"/>
                <w:szCs w:val="18"/>
              </w:rPr>
            </w:pPr>
            <w:r w:rsidRPr="0021522B">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59BB6DAA" w14:textId="77777777" w:rsidR="00C15432" w:rsidRPr="00CE4330" w:rsidRDefault="00C15432" w:rsidP="00C15432">
            <w:pPr>
              <w:pStyle w:val="TableTextNoSpace"/>
              <w:jc w:val="center"/>
              <w:rPr>
                <w:rFonts w:cs="Arial"/>
                <w:sz w:val="18"/>
                <w:szCs w:val="18"/>
              </w:rPr>
            </w:pPr>
            <w:r>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066AFA50" w14:textId="77777777" w:rsidR="00C15432" w:rsidRPr="0021522B" w:rsidRDefault="00C15432" w:rsidP="00C15432">
            <w:pPr>
              <w:pStyle w:val="TableTextNoSpace"/>
              <w:jc w:val="center"/>
              <w:rPr>
                <w:rFonts w:cs="Arial"/>
                <w:b/>
                <w:sz w:val="18"/>
                <w:szCs w:val="18"/>
              </w:rPr>
            </w:pPr>
            <w:r w:rsidRPr="0021522B">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51118396"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12" w:space="0" w:color="0067AB"/>
            </w:tcBorders>
            <w:vAlign w:val="center"/>
          </w:tcPr>
          <w:p w14:paraId="27F1F7FF"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12" w:space="0" w:color="0067AB"/>
              <w:bottom w:val="single" w:sz="2" w:space="0" w:color="0067AB"/>
              <w:right w:val="single" w:sz="2" w:space="0" w:color="0067AB"/>
            </w:tcBorders>
            <w:vAlign w:val="center"/>
          </w:tcPr>
          <w:p w14:paraId="08C3B7B3" w14:textId="77777777" w:rsidR="00C15432" w:rsidRPr="00CE4330" w:rsidRDefault="00C15432" w:rsidP="00C15432">
            <w:pPr>
              <w:pStyle w:val="TableTextNoSpace"/>
              <w:jc w:val="center"/>
              <w:rPr>
                <w:rFonts w:cs="Arial"/>
                <w:sz w:val="18"/>
                <w:szCs w:val="18"/>
              </w:rPr>
            </w:pPr>
            <w:r>
              <w:rPr>
                <w:rFonts w:cs="Arial"/>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576AFB22"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3E312E87"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7FD2CF73"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556D69E2" w14:textId="77777777" w:rsidR="00C15432" w:rsidRPr="0021522B" w:rsidRDefault="00C15432" w:rsidP="00C15432">
            <w:pPr>
              <w:pStyle w:val="TableTextNoSpace"/>
              <w:jc w:val="center"/>
              <w:rPr>
                <w:rFonts w:cs="Arial"/>
                <w:b/>
                <w:sz w:val="18"/>
                <w:szCs w:val="18"/>
              </w:rPr>
            </w:pPr>
            <w:r w:rsidRPr="0021522B">
              <w:rPr>
                <w:rFonts w:cs="Arial"/>
                <w:b/>
                <w:sz w:val="18"/>
                <w:szCs w:val="18"/>
              </w:rPr>
              <w:t>X</w:t>
            </w:r>
          </w:p>
        </w:tc>
        <w:tc>
          <w:tcPr>
            <w:tcW w:w="238" w:type="pct"/>
            <w:tcBorders>
              <w:top w:val="single" w:sz="2" w:space="0" w:color="0067AB"/>
              <w:left w:val="single" w:sz="2" w:space="0" w:color="0067AB"/>
              <w:bottom w:val="single" w:sz="2" w:space="0" w:color="0067AB"/>
              <w:right w:val="single" w:sz="2" w:space="0" w:color="0067AB"/>
            </w:tcBorders>
            <w:vAlign w:val="center"/>
          </w:tcPr>
          <w:p w14:paraId="6183EDB9" w14:textId="77777777" w:rsidR="00C15432" w:rsidRPr="0021522B" w:rsidRDefault="00C15432" w:rsidP="00C15432">
            <w:pPr>
              <w:pStyle w:val="TableTextNoSpace"/>
              <w:jc w:val="center"/>
              <w:rPr>
                <w:rFonts w:cs="Arial"/>
                <w:b/>
                <w:sz w:val="18"/>
                <w:szCs w:val="18"/>
              </w:rPr>
            </w:pPr>
            <w:r w:rsidRPr="0021522B">
              <w:rPr>
                <w:rFonts w:cs="Arial"/>
                <w:b/>
                <w:sz w:val="18"/>
                <w:szCs w:val="18"/>
              </w:rPr>
              <w:t>X</w:t>
            </w:r>
          </w:p>
        </w:tc>
      </w:tr>
      <w:tr w:rsidR="00C15432" w14:paraId="71CBA49B" w14:textId="77777777" w:rsidTr="00C15432">
        <w:tc>
          <w:tcPr>
            <w:tcW w:w="699" w:type="pct"/>
            <w:tcBorders>
              <w:top w:val="single" w:sz="2" w:space="0" w:color="0067AB"/>
              <w:left w:val="single" w:sz="2" w:space="0" w:color="0067AB"/>
              <w:bottom w:val="single" w:sz="2" w:space="0" w:color="0067AB"/>
              <w:right w:val="single" w:sz="2" w:space="0" w:color="0067AB"/>
            </w:tcBorders>
          </w:tcPr>
          <w:p w14:paraId="4AE69A9B" w14:textId="68273822" w:rsidR="00C15432" w:rsidRPr="00D60446" w:rsidRDefault="00150EA7" w:rsidP="00150EA7">
            <w:pPr>
              <w:pStyle w:val="TableTextNoSpace"/>
              <w:jc w:val="left"/>
              <w:rPr>
                <w:rFonts w:asciiTheme="minorHAnsi" w:hAnsiTheme="minorHAnsi"/>
                <w:sz w:val="18"/>
                <w:szCs w:val="18"/>
              </w:rPr>
            </w:pPr>
            <w:r>
              <w:rPr>
                <w:rFonts w:asciiTheme="minorHAnsi" w:hAnsiTheme="minorHAnsi"/>
                <w:sz w:val="18"/>
                <w:szCs w:val="18"/>
              </w:rPr>
              <w:t>Private, Lottery, voluntary sector</w:t>
            </w:r>
            <w:r w:rsidR="00C15432">
              <w:rPr>
                <w:rFonts w:asciiTheme="minorHAnsi" w:hAnsiTheme="minorHAnsi"/>
                <w:sz w:val="18"/>
                <w:szCs w:val="18"/>
              </w:rPr>
              <w:t>:</w:t>
            </w:r>
            <w:r w:rsidR="00C15432" w:rsidRPr="00D60446">
              <w:rPr>
                <w:rFonts w:asciiTheme="minorHAnsi" w:hAnsiTheme="minorHAnsi"/>
                <w:sz w:val="18"/>
                <w:szCs w:val="18"/>
              </w:rPr>
              <w:t xml:space="preserve"> landscape </w:t>
            </w:r>
          </w:p>
        </w:tc>
        <w:tc>
          <w:tcPr>
            <w:tcW w:w="239" w:type="pct"/>
            <w:tcBorders>
              <w:top w:val="single" w:sz="2" w:space="0" w:color="0067AB"/>
              <w:left w:val="single" w:sz="2" w:space="0" w:color="0067AB"/>
              <w:bottom w:val="single" w:sz="2" w:space="0" w:color="0067AB"/>
              <w:right w:val="single" w:sz="2" w:space="0" w:color="0067AB"/>
            </w:tcBorders>
            <w:vAlign w:val="center"/>
          </w:tcPr>
          <w:p w14:paraId="0BC601BB" w14:textId="77777777" w:rsidR="00C15432" w:rsidRPr="00CE4330" w:rsidRDefault="00C15432" w:rsidP="00C15432">
            <w:pPr>
              <w:pStyle w:val="TableTextNoSpace"/>
              <w:jc w:val="center"/>
              <w:rPr>
                <w:rFonts w:cs="Arial"/>
                <w:sz w:val="18"/>
                <w:szCs w:val="18"/>
              </w:rPr>
            </w:pPr>
            <w:r>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463D191B" w14:textId="77777777" w:rsidR="00C15432" w:rsidRPr="00CE4330" w:rsidRDefault="00C15432" w:rsidP="00C15432">
            <w:pPr>
              <w:pStyle w:val="TableTextNoSpace"/>
              <w:jc w:val="center"/>
              <w:rPr>
                <w:rFonts w:cs="Arial"/>
                <w:sz w:val="18"/>
                <w:szCs w:val="18"/>
              </w:rPr>
            </w:pPr>
            <w:r>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30F90729"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5C948E61" w14:textId="77777777" w:rsidR="00C15432" w:rsidRPr="00CE4330" w:rsidRDefault="00C15432" w:rsidP="00C15432">
            <w:pPr>
              <w:pStyle w:val="TableTextNoSpace"/>
              <w:jc w:val="center"/>
              <w:rPr>
                <w:rFonts w:cs="Arial"/>
                <w:sz w:val="18"/>
                <w:szCs w:val="18"/>
              </w:rPr>
            </w:pPr>
            <w:r>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4A26FAF3"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547622B4" w14:textId="77777777" w:rsidR="00C15432" w:rsidRPr="00CE4330" w:rsidRDefault="00C15432" w:rsidP="00C15432">
            <w:pPr>
              <w:pStyle w:val="TableTextNoSpace"/>
              <w:jc w:val="center"/>
              <w:rPr>
                <w:rFonts w:cs="Arial"/>
                <w:sz w:val="18"/>
                <w:szCs w:val="18"/>
              </w:rPr>
            </w:pPr>
            <w:r>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531E38D8" w14:textId="77777777" w:rsidR="00C15432" w:rsidRPr="00CE4330" w:rsidRDefault="00C15432" w:rsidP="00C15432">
            <w:pPr>
              <w:pStyle w:val="TableTextNoSpace"/>
              <w:jc w:val="center"/>
              <w:rPr>
                <w:rFonts w:cs="Arial"/>
                <w:sz w:val="18"/>
                <w:szCs w:val="18"/>
              </w:rPr>
            </w:pPr>
            <w:r>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49778E0F" w14:textId="77777777" w:rsidR="00C15432" w:rsidRPr="00CE4330" w:rsidRDefault="00C15432" w:rsidP="00C15432">
            <w:pPr>
              <w:pStyle w:val="TableTextNoSpace"/>
              <w:jc w:val="center"/>
              <w:rPr>
                <w:rFonts w:cs="Arial"/>
                <w:sz w:val="18"/>
                <w:szCs w:val="18"/>
              </w:rPr>
            </w:pPr>
            <w:r>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0A91BC41" w14:textId="77777777" w:rsidR="00C15432" w:rsidRPr="00CE4330" w:rsidRDefault="00C15432" w:rsidP="00C15432">
            <w:pPr>
              <w:pStyle w:val="TableTextNoSpace"/>
              <w:jc w:val="center"/>
              <w:rPr>
                <w:rFonts w:cs="Arial"/>
                <w:sz w:val="18"/>
                <w:szCs w:val="18"/>
              </w:rPr>
            </w:pPr>
            <w:r>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13EFC52F"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706C5F0F"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12" w:space="0" w:color="0067AB"/>
            </w:tcBorders>
            <w:vAlign w:val="center"/>
          </w:tcPr>
          <w:p w14:paraId="0887AB21"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12" w:space="0" w:color="0067AB"/>
              <w:bottom w:val="single" w:sz="2" w:space="0" w:color="0067AB"/>
              <w:right w:val="single" w:sz="2" w:space="0" w:color="0067AB"/>
            </w:tcBorders>
            <w:vAlign w:val="center"/>
          </w:tcPr>
          <w:p w14:paraId="57BCBB06" w14:textId="77777777" w:rsidR="00C15432" w:rsidRPr="00CE4330" w:rsidRDefault="00C15432" w:rsidP="00C15432">
            <w:pPr>
              <w:pStyle w:val="TableTextNoSpace"/>
              <w:jc w:val="center"/>
              <w:rPr>
                <w:rFonts w:cs="Arial"/>
                <w:sz w:val="18"/>
                <w:szCs w:val="18"/>
              </w:rPr>
            </w:pPr>
            <w:r>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7E5FAB32" w14:textId="77777777" w:rsidR="00C15432" w:rsidRPr="00CE4330" w:rsidRDefault="00C15432" w:rsidP="00C15432">
            <w:pPr>
              <w:pStyle w:val="TableTextNoSpace"/>
              <w:jc w:val="center"/>
              <w:rPr>
                <w:rFonts w:cs="Arial"/>
                <w:sz w:val="18"/>
                <w:szCs w:val="18"/>
              </w:rPr>
            </w:pPr>
            <w:r>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37378B16" w14:textId="77777777" w:rsidR="00C15432" w:rsidRPr="00CE4330" w:rsidRDefault="00C15432" w:rsidP="00C15432">
            <w:pPr>
              <w:pStyle w:val="TableTextNoSpace"/>
              <w:jc w:val="center"/>
              <w:rPr>
                <w:rFonts w:cs="Arial"/>
                <w:sz w:val="18"/>
                <w:szCs w:val="18"/>
              </w:rPr>
            </w:pPr>
            <w:r>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68DF9073"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63B5743A" w14:textId="77777777" w:rsidR="00C15432" w:rsidRPr="00CE4330" w:rsidRDefault="00C15432" w:rsidP="00C15432">
            <w:pPr>
              <w:pStyle w:val="TableTextNoSpace"/>
              <w:jc w:val="center"/>
              <w:rPr>
                <w:rFonts w:cs="Arial"/>
                <w:sz w:val="18"/>
                <w:szCs w:val="18"/>
              </w:rPr>
            </w:pPr>
            <w:r>
              <w:rPr>
                <w:rFonts w:cs="Arial"/>
                <w:sz w:val="18"/>
                <w:szCs w:val="18"/>
              </w:rPr>
              <w:t>x</w:t>
            </w:r>
          </w:p>
        </w:tc>
        <w:tc>
          <w:tcPr>
            <w:tcW w:w="238" w:type="pct"/>
            <w:tcBorders>
              <w:top w:val="single" w:sz="2" w:space="0" w:color="0067AB"/>
              <w:left w:val="single" w:sz="2" w:space="0" w:color="0067AB"/>
              <w:bottom w:val="single" w:sz="2" w:space="0" w:color="0067AB"/>
              <w:right w:val="single" w:sz="2" w:space="0" w:color="0067AB"/>
            </w:tcBorders>
            <w:vAlign w:val="center"/>
          </w:tcPr>
          <w:p w14:paraId="4338B6DA" w14:textId="77777777" w:rsidR="00C15432" w:rsidRPr="00CE4330" w:rsidRDefault="00C15432" w:rsidP="00C15432">
            <w:pPr>
              <w:pStyle w:val="TableTextNoSpace"/>
              <w:jc w:val="center"/>
              <w:rPr>
                <w:rFonts w:cs="Arial"/>
                <w:sz w:val="18"/>
                <w:szCs w:val="18"/>
              </w:rPr>
            </w:pPr>
            <w:r w:rsidRPr="00846A06">
              <w:rPr>
                <w:rFonts w:cs="Arial"/>
                <w:sz w:val="18"/>
                <w:szCs w:val="18"/>
              </w:rPr>
              <w:t>x</w:t>
            </w:r>
          </w:p>
        </w:tc>
      </w:tr>
      <w:tr w:rsidR="00C15432" w14:paraId="2BF5429A" w14:textId="77777777" w:rsidTr="00C15432">
        <w:tc>
          <w:tcPr>
            <w:tcW w:w="699" w:type="pct"/>
            <w:tcBorders>
              <w:top w:val="single" w:sz="2" w:space="0" w:color="0067AB"/>
              <w:left w:val="single" w:sz="2" w:space="0" w:color="0067AB"/>
              <w:bottom w:val="single" w:sz="2" w:space="0" w:color="0067AB"/>
              <w:right w:val="single" w:sz="2" w:space="0" w:color="0067AB"/>
            </w:tcBorders>
          </w:tcPr>
          <w:p w14:paraId="2C76BF3A" w14:textId="1E02B003" w:rsidR="00C15432" w:rsidRDefault="00150EA7" w:rsidP="00150EA7">
            <w:pPr>
              <w:pStyle w:val="TableTextNoSpace"/>
              <w:jc w:val="left"/>
              <w:rPr>
                <w:rFonts w:asciiTheme="minorHAnsi" w:hAnsiTheme="minorHAnsi"/>
                <w:sz w:val="18"/>
                <w:szCs w:val="18"/>
              </w:rPr>
            </w:pPr>
            <w:r>
              <w:rPr>
                <w:rFonts w:asciiTheme="minorHAnsi" w:hAnsiTheme="minorHAnsi"/>
                <w:sz w:val="18"/>
                <w:szCs w:val="18"/>
              </w:rPr>
              <w:t>Private, Lottery, voluntary sector</w:t>
            </w:r>
            <w:r w:rsidR="00C15432">
              <w:rPr>
                <w:rFonts w:asciiTheme="minorHAnsi" w:hAnsiTheme="minorHAnsi"/>
                <w:sz w:val="18"/>
                <w:szCs w:val="18"/>
              </w:rPr>
              <w:t>:</w:t>
            </w:r>
            <w:r w:rsidR="00C15432" w:rsidRPr="00D60446">
              <w:rPr>
                <w:rFonts w:asciiTheme="minorHAnsi" w:hAnsiTheme="minorHAnsi"/>
                <w:sz w:val="18"/>
                <w:szCs w:val="18"/>
              </w:rPr>
              <w:t xml:space="preserve"> skills/training</w:t>
            </w:r>
          </w:p>
        </w:tc>
        <w:tc>
          <w:tcPr>
            <w:tcW w:w="239" w:type="pct"/>
            <w:tcBorders>
              <w:top w:val="single" w:sz="2" w:space="0" w:color="0067AB"/>
              <w:left w:val="single" w:sz="2" w:space="0" w:color="0067AB"/>
              <w:bottom w:val="single" w:sz="2" w:space="0" w:color="0067AB"/>
              <w:right w:val="single" w:sz="2" w:space="0" w:color="0067AB"/>
            </w:tcBorders>
            <w:vAlign w:val="center"/>
          </w:tcPr>
          <w:p w14:paraId="6292E3B8" w14:textId="77777777" w:rsidR="00C15432"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3836E6E8" w14:textId="77777777" w:rsidR="00C15432"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2D451CB0"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4F6A4D93" w14:textId="77777777" w:rsidR="00C15432"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shd w:val="clear" w:color="auto" w:fill="auto"/>
            <w:vAlign w:val="center"/>
          </w:tcPr>
          <w:p w14:paraId="3C2EDEBD" w14:textId="77777777" w:rsidR="00C15432" w:rsidRPr="00AB18E3" w:rsidRDefault="00C15432" w:rsidP="00C15432">
            <w:pPr>
              <w:pStyle w:val="TableTextNoSpace"/>
              <w:jc w:val="center"/>
              <w:rPr>
                <w:rFonts w:cs="Arial"/>
                <w:sz w:val="18"/>
                <w:szCs w:val="18"/>
                <w:highlight w:val="yellow"/>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6D23C66F" w14:textId="77777777" w:rsidR="00C15432"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10807EFF" w14:textId="77777777" w:rsidR="00C15432"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2C94BB0E" w14:textId="77777777" w:rsidR="00C15432"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60D8C753" w14:textId="77777777" w:rsidR="00C15432"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7763A0AD"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441811C5"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12" w:space="0" w:color="0067AB"/>
            </w:tcBorders>
            <w:vAlign w:val="center"/>
          </w:tcPr>
          <w:p w14:paraId="6A6E9565"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12" w:space="0" w:color="0067AB"/>
              <w:bottom w:val="single" w:sz="2" w:space="0" w:color="0067AB"/>
              <w:right w:val="single" w:sz="2" w:space="0" w:color="0067AB"/>
            </w:tcBorders>
            <w:vAlign w:val="center"/>
          </w:tcPr>
          <w:p w14:paraId="2F6633EF" w14:textId="77777777" w:rsidR="00C15432"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7EE33568" w14:textId="77777777" w:rsidR="00C15432" w:rsidRDefault="00C15432" w:rsidP="00C15432">
            <w:pPr>
              <w:pStyle w:val="TableTextNoSpace"/>
              <w:jc w:val="center"/>
              <w:rPr>
                <w:rFonts w:cs="Arial"/>
                <w:sz w:val="18"/>
                <w:szCs w:val="18"/>
              </w:rPr>
            </w:pPr>
            <w:r>
              <w:rPr>
                <w:rFonts w:cs="Arial"/>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6D84D1F6" w14:textId="77777777" w:rsidR="00C15432"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1B77BBE3"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5B6FAE22" w14:textId="77777777" w:rsidR="00C15432" w:rsidRPr="00CE4330" w:rsidRDefault="00C15432" w:rsidP="00C15432">
            <w:pPr>
              <w:pStyle w:val="TableTextNoSpace"/>
              <w:jc w:val="center"/>
              <w:rPr>
                <w:rFonts w:cs="Arial"/>
                <w:sz w:val="18"/>
                <w:szCs w:val="18"/>
              </w:rPr>
            </w:pPr>
          </w:p>
        </w:tc>
        <w:tc>
          <w:tcPr>
            <w:tcW w:w="238" w:type="pct"/>
            <w:tcBorders>
              <w:top w:val="single" w:sz="2" w:space="0" w:color="0067AB"/>
              <w:left w:val="single" w:sz="2" w:space="0" w:color="0067AB"/>
              <w:bottom w:val="single" w:sz="2" w:space="0" w:color="0067AB"/>
              <w:right w:val="single" w:sz="2" w:space="0" w:color="0067AB"/>
            </w:tcBorders>
            <w:vAlign w:val="center"/>
          </w:tcPr>
          <w:p w14:paraId="667830CE" w14:textId="77777777" w:rsidR="00C15432" w:rsidRPr="00A94172" w:rsidRDefault="00C15432" w:rsidP="00C15432">
            <w:pPr>
              <w:pStyle w:val="TableTextNoSpace"/>
              <w:jc w:val="center"/>
              <w:rPr>
                <w:rFonts w:cs="Arial"/>
                <w:sz w:val="18"/>
                <w:szCs w:val="18"/>
                <w:highlight w:val="yellow"/>
              </w:rPr>
            </w:pPr>
          </w:p>
        </w:tc>
      </w:tr>
      <w:tr w:rsidR="00C15432" w14:paraId="323D5BE4" w14:textId="77777777" w:rsidTr="00C15432">
        <w:tc>
          <w:tcPr>
            <w:tcW w:w="699" w:type="pct"/>
            <w:tcBorders>
              <w:top w:val="single" w:sz="2" w:space="0" w:color="0067AB"/>
              <w:left w:val="single" w:sz="2" w:space="0" w:color="0067AB"/>
              <w:bottom w:val="single" w:sz="2" w:space="0" w:color="0067AB"/>
              <w:right w:val="single" w:sz="2" w:space="0" w:color="0067AB"/>
            </w:tcBorders>
          </w:tcPr>
          <w:p w14:paraId="7B08D9C5" w14:textId="77777777" w:rsidR="00C15432" w:rsidRPr="00D60446" w:rsidRDefault="00C15432" w:rsidP="00C15432">
            <w:pPr>
              <w:pStyle w:val="TableTextNoSpace"/>
              <w:jc w:val="left"/>
              <w:rPr>
                <w:rFonts w:asciiTheme="minorHAnsi" w:hAnsiTheme="minorHAnsi"/>
                <w:sz w:val="18"/>
                <w:szCs w:val="18"/>
              </w:rPr>
            </w:pPr>
            <w:r w:rsidRPr="00D60446">
              <w:rPr>
                <w:rFonts w:asciiTheme="minorHAnsi" w:hAnsiTheme="minorHAnsi"/>
                <w:sz w:val="18"/>
                <w:szCs w:val="18"/>
              </w:rPr>
              <w:t xml:space="preserve">Landfill Funds </w:t>
            </w:r>
          </w:p>
        </w:tc>
        <w:tc>
          <w:tcPr>
            <w:tcW w:w="239" w:type="pct"/>
            <w:tcBorders>
              <w:top w:val="single" w:sz="2" w:space="0" w:color="0067AB"/>
              <w:left w:val="single" w:sz="2" w:space="0" w:color="0067AB"/>
              <w:bottom w:val="single" w:sz="2" w:space="0" w:color="0067AB"/>
              <w:right w:val="single" w:sz="2" w:space="0" w:color="0067AB"/>
            </w:tcBorders>
            <w:vAlign w:val="center"/>
          </w:tcPr>
          <w:p w14:paraId="1D9753E1"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51799536" w14:textId="77777777" w:rsidR="00C15432" w:rsidRPr="00CE4330" w:rsidRDefault="00C15432" w:rsidP="00C15432">
            <w:pPr>
              <w:pStyle w:val="TableTextNoSpace"/>
              <w:jc w:val="center"/>
              <w:rPr>
                <w:rFonts w:cs="Arial"/>
                <w:sz w:val="18"/>
                <w:szCs w:val="18"/>
              </w:rPr>
            </w:pPr>
            <w:r>
              <w:rPr>
                <w:rFonts w:cs="Arial"/>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405E147B"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744480AE"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shd w:val="clear" w:color="auto" w:fill="auto"/>
            <w:vAlign w:val="center"/>
          </w:tcPr>
          <w:p w14:paraId="030996CA" w14:textId="77777777" w:rsidR="00C15432" w:rsidRPr="003C25F8" w:rsidRDefault="00C15432" w:rsidP="00C15432">
            <w:pPr>
              <w:pStyle w:val="TableTextNoSpace"/>
              <w:jc w:val="center"/>
              <w:rPr>
                <w:rFonts w:cs="Arial"/>
                <w:sz w:val="18"/>
                <w:szCs w:val="18"/>
                <w:highlight w:val="yellow"/>
              </w:rPr>
            </w:pPr>
            <w:r w:rsidRPr="003C25F8">
              <w:rPr>
                <w:rFonts w:cs="Arial"/>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21EA755D" w14:textId="77777777" w:rsidR="00C15432" w:rsidRPr="00CE4330" w:rsidRDefault="00C15432" w:rsidP="00C15432">
            <w:pPr>
              <w:pStyle w:val="TableTextNoSpace"/>
              <w:jc w:val="center"/>
              <w:rPr>
                <w:rFonts w:cs="Arial"/>
                <w:sz w:val="18"/>
                <w:szCs w:val="18"/>
              </w:rPr>
            </w:pPr>
            <w:r>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3AA52A2F"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6D501CCC"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356DA224"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49F2056F"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64C762AA"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12" w:space="0" w:color="0067AB"/>
            </w:tcBorders>
            <w:vAlign w:val="center"/>
          </w:tcPr>
          <w:p w14:paraId="502110D0"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12" w:space="0" w:color="0067AB"/>
              <w:bottom w:val="single" w:sz="2" w:space="0" w:color="0067AB"/>
              <w:right w:val="single" w:sz="2" w:space="0" w:color="0067AB"/>
            </w:tcBorders>
            <w:vAlign w:val="center"/>
          </w:tcPr>
          <w:p w14:paraId="1F8EDB79"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4686779D"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2FA7A6E4"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4DBA3F09"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7D111DAC" w14:textId="77777777" w:rsidR="00C15432" w:rsidRPr="00CE4330" w:rsidRDefault="00C15432" w:rsidP="00C15432">
            <w:pPr>
              <w:pStyle w:val="TableTextNoSpace"/>
              <w:jc w:val="center"/>
              <w:rPr>
                <w:rFonts w:cs="Arial"/>
                <w:sz w:val="18"/>
                <w:szCs w:val="18"/>
              </w:rPr>
            </w:pPr>
            <w:r>
              <w:rPr>
                <w:rFonts w:cs="Arial"/>
                <w:sz w:val="18"/>
                <w:szCs w:val="18"/>
              </w:rPr>
              <w:t>x</w:t>
            </w:r>
          </w:p>
        </w:tc>
        <w:tc>
          <w:tcPr>
            <w:tcW w:w="238" w:type="pct"/>
            <w:tcBorders>
              <w:top w:val="single" w:sz="2" w:space="0" w:color="0067AB"/>
              <w:left w:val="single" w:sz="2" w:space="0" w:color="0067AB"/>
              <w:bottom w:val="single" w:sz="2" w:space="0" w:color="0067AB"/>
              <w:right w:val="single" w:sz="2" w:space="0" w:color="0067AB"/>
            </w:tcBorders>
            <w:vAlign w:val="center"/>
          </w:tcPr>
          <w:p w14:paraId="14AC54C9" w14:textId="77777777" w:rsidR="00C15432" w:rsidRPr="00CE4330" w:rsidRDefault="00C15432" w:rsidP="00C15432">
            <w:pPr>
              <w:pStyle w:val="TableTextNoSpace"/>
              <w:jc w:val="center"/>
              <w:rPr>
                <w:rFonts w:cs="Arial"/>
                <w:sz w:val="18"/>
                <w:szCs w:val="18"/>
              </w:rPr>
            </w:pPr>
            <w:r>
              <w:rPr>
                <w:rFonts w:cs="Arial"/>
                <w:sz w:val="18"/>
                <w:szCs w:val="18"/>
              </w:rPr>
              <w:t>x</w:t>
            </w:r>
          </w:p>
        </w:tc>
      </w:tr>
      <w:tr w:rsidR="00C15432" w14:paraId="186801B8" w14:textId="77777777" w:rsidTr="00C15432">
        <w:tc>
          <w:tcPr>
            <w:tcW w:w="5000" w:type="pct"/>
            <w:gridSpan w:val="19"/>
            <w:tcBorders>
              <w:top w:val="single" w:sz="2" w:space="0" w:color="0067AB"/>
              <w:left w:val="single" w:sz="2" w:space="0" w:color="0067AB"/>
              <w:bottom w:val="single" w:sz="2" w:space="0" w:color="0067AB"/>
              <w:right w:val="single" w:sz="2" w:space="0" w:color="0067AB"/>
            </w:tcBorders>
            <w:shd w:val="clear" w:color="auto" w:fill="F2F2F2" w:themeFill="background1" w:themeFillShade="F2"/>
          </w:tcPr>
          <w:p w14:paraId="76FB0E7E" w14:textId="77777777" w:rsidR="00C15432" w:rsidRPr="00CE4330" w:rsidRDefault="00C15432" w:rsidP="00C15432">
            <w:pPr>
              <w:pStyle w:val="TableTextNoSpace"/>
              <w:jc w:val="left"/>
              <w:rPr>
                <w:rFonts w:cs="Arial"/>
                <w:sz w:val="18"/>
                <w:szCs w:val="18"/>
              </w:rPr>
            </w:pPr>
            <w:r>
              <w:rPr>
                <w:rFonts w:asciiTheme="minorHAnsi" w:hAnsiTheme="minorHAnsi"/>
                <w:b/>
                <w:sz w:val="18"/>
                <w:szCs w:val="18"/>
              </w:rPr>
              <w:t>Alternative funding sources</w:t>
            </w:r>
          </w:p>
        </w:tc>
      </w:tr>
      <w:tr w:rsidR="00C15432" w14:paraId="70D5D9F6" w14:textId="77777777" w:rsidTr="00C15432">
        <w:tc>
          <w:tcPr>
            <w:tcW w:w="699" w:type="pct"/>
            <w:tcBorders>
              <w:top w:val="single" w:sz="2" w:space="0" w:color="0067AB"/>
              <w:left w:val="single" w:sz="2" w:space="0" w:color="0067AB"/>
              <w:bottom w:val="single" w:sz="2" w:space="0" w:color="0067AB"/>
              <w:right w:val="single" w:sz="2" w:space="0" w:color="0067AB"/>
            </w:tcBorders>
            <w:hideMark/>
          </w:tcPr>
          <w:p w14:paraId="6916B2C1" w14:textId="77777777" w:rsidR="00C15432" w:rsidRPr="00A94172" w:rsidRDefault="00C15432" w:rsidP="00C15432">
            <w:pPr>
              <w:pStyle w:val="TableTextNoSpace"/>
              <w:jc w:val="left"/>
              <w:rPr>
                <w:rFonts w:asciiTheme="minorHAnsi" w:hAnsiTheme="minorHAnsi"/>
                <w:sz w:val="16"/>
                <w:szCs w:val="16"/>
              </w:rPr>
            </w:pPr>
            <w:r w:rsidRPr="00A94172">
              <w:rPr>
                <w:rFonts w:asciiTheme="minorHAnsi" w:hAnsiTheme="minorHAnsi"/>
                <w:sz w:val="16"/>
                <w:szCs w:val="16"/>
              </w:rPr>
              <w:t xml:space="preserve">Biodiversity offsets / ecological compensation </w:t>
            </w:r>
          </w:p>
        </w:tc>
        <w:tc>
          <w:tcPr>
            <w:tcW w:w="239" w:type="pct"/>
            <w:tcBorders>
              <w:top w:val="single" w:sz="2" w:space="0" w:color="0067AB"/>
              <w:left w:val="single" w:sz="2" w:space="0" w:color="0067AB"/>
              <w:bottom w:val="single" w:sz="2" w:space="0" w:color="0067AB"/>
              <w:right w:val="single" w:sz="2" w:space="0" w:color="0067AB"/>
            </w:tcBorders>
            <w:vAlign w:val="center"/>
          </w:tcPr>
          <w:p w14:paraId="26D477D2" w14:textId="77777777" w:rsidR="00C15432" w:rsidRPr="00CE4330" w:rsidRDefault="00C15432" w:rsidP="00C15432">
            <w:pPr>
              <w:pStyle w:val="TableTextNoSpace"/>
              <w:jc w:val="center"/>
              <w:rPr>
                <w:rFonts w:cs="Arial"/>
                <w:sz w:val="18"/>
                <w:szCs w:val="18"/>
              </w:rPr>
            </w:pPr>
            <w:r>
              <w:rPr>
                <w:rFonts w:cs="Arial"/>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400587BC" w14:textId="77777777" w:rsidR="00C15432" w:rsidRPr="00CE4330" w:rsidRDefault="00C15432" w:rsidP="00C15432">
            <w:pPr>
              <w:pStyle w:val="TableTextNoSpace"/>
              <w:jc w:val="center"/>
              <w:rPr>
                <w:rFonts w:cs="Arial"/>
                <w:sz w:val="18"/>
                <w:szCs w:val="18"/>
              </w:rPr>
            </w:pPr>
            <w:r>
              <w:rPr>
                <w:rFonts w:cs="Arial"/>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2F3505F9"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2032F0A9" w14:textId="77777777" w:rsidR="00C15432" w:rsidRPr="00CE4330" w:rsidRDefault="00C15432" w:rsidP="00C15432">
            <w:pPr>
              <w:pStyle w:val="TableTextNoSpace"/>
              <w:jc w:val="center"/>
              <w:rPr>
                <w:rFonts w:cs="Arial"/>
                <w:sz w:val="18"/>
                <w:szCs w:val="18"/>
              </w:rPr>
            </w:pPr>
            <w:r>
              <w:rPr>
                <w:rFonts w:cs="Arial"/>
                <w:sz w:val="18"/>
                <w:szCs w:val="18"/>
              </w:rPr>
              <w:t>x</w:t>
            </w:r>
          </w:p>
        </w:tc>
        <w:tc>
          <w:tcPr>
            <w:tcW w:w="239" w:type="pct"/>
            <w:tcBorders>
              <w:top w:val="single" w:sz="2" w:space="0" w:color="0067AB"/>
              <w:left w:val="single" w:sz="2" w:space="0" w:color="0067AB"/>
              <w:bottom w:val="single" w:sz="2" w:space="0" w:color="0067AB"/>
              <w:right w:val="single" w:sz="2" w:space="0" w:color="0067AB"/>
            </w:tcBorders>
            <w:shd w:val="clear" w:color="auto" w:fill="auto"/>
            <w:vAlign w:val="center"/>
          </w:tcPr>
          <w:p w14:paraId="5D4736A5"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10083B13" w14:textId="77777777" w:rsidR="00C15432" w:rsidRPr="00CE4330" w:rsidRDefault="00C15432" w:rsidP="00C15432">
            <w:pPr>
              <w:pStyle w:val="TableTextNoSpace"/>
              <w:jc w:val="center"/>
              <w:rPr>
                <w:rFonts w:cs="Arial"/>
                <w:sz w:val="18"/>
                <w:szCs w:val="18"/>
              </w:rPr>
            </w:pPr>
            <w:r>
              <w:rPr>
                <w:rFonts w:cs="Arial"/>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26CF074B" w14:textId="77777777" w:rsidR="00C15432" w:rsidRPr="00CE4330" w:rsidRDefault="00C15432" w:rsidP="00C15432">
            <w:pPr>
              <w:pStyle w:val="TableTextNoSpace"/>
              <w:jc w:val="center"/>
              <w:rPr>
                <w:rFonts w:cs="Arial"/>
                <w:sz w:val="18"/>
                <w:szCs w:val="18"/>
              </w:rPr>
            </w:pPr>
            <w:r>
              <w:rPr>
                <w:rFonts w:cs="Arial"/>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6F579558" w14:textId="77777777" w:rsidR="00C15432" w:rsidRPr="00CE4330" w:rsidRDefault="00C15432" w:rsidP="00C15432">
            <w:pPr>
              <w:pStyle w:val="TableTextNoSpace"/>
              <w:jc w:val="center"/>
              <w:rPr>
                <w:rFonts w:cs="Arial"/>
                <w:sz w:val="18"/>
                <w:szCs w:val="18"/>
              </w:rPr>
            </w:pPr>
            <w:r>
              <w:rPr>
                <w:rFonts w:cs="Arial"/>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0E094DA7" w14:textId="77777777" w:rsidR="00C15432" w:rsidRPr="00CE4330" w:rsidRDefault="00C15432" w:rsidP="00C15432">
            <w:pPr>
              <w:pStyle w:val="TableTextNoSpace"/>
              <w:jc w:val="center"/>
              <w:rPr>
                <w:rFonts w:cs="Arial"/>
                <w:sz w:val="18"/>
                <w:szCs w:val="18"/>
              </w:rPr>
            </w:pPr>
            <w:r>
              <w:rPr>
                <w:rFonts w:cs="Arial"/>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15F4BCBD" w14:textId="77777777" w:rsidR="00C15432" w:rsidRPr="00CE4330" w:rsidRDefault="00C15432" w:rsidP="00C15432">
            <w:pPr>
              <w:pStyle w:val="TableTextNoSpace"/>
              <w:jc w:val="center"/>
              <w:rPr>
                <w:rFonts w:cs="Arial"/>
                <w:sz w:val="18"/>
                <w:szCs w:val="18"/>
              </w:rPr>
            </w:pPr>
            <w:r>
              <w:rPr>
                <w:rFonts w:cs="Arial"/>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68F9538F"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12" w:space="0" w:color="0067AB"/>
            </w:tcBorders>
            <w:vAlign w:val="center"/>
          </w:tcPr>
          <w:p w14:paraId="400777EE"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12" w:space="0" w:color="0067AB"/>
              <w:bottom w:val="single" w:sz="2" w:space="0" w:color="0067AB"/>
              <w:right w:val="single" w:sz="2" w:space="0" w:color="0067AB"/>
            </w:tcBorders>
            <w:vAlign w:val="center"/>
          </w:tcPr>
          <w:p w14:paraId="7990BD46"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40BA2223"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3FBC6E5C" w14:textId="77777777" w:rsidR="00C15432" w:rsidRPr="006E560E" w:rsidRDefault="00C15432" w:rsidP="00C15432">
            <w:pPr>
              <w:pStyle w:val="TableTextNoSpace"/>
              <w:jc w:val="center"/>
              <w:rPr>
                <w:rFonts w:cs="Arial"/>
                <w:b/>
                <w:sz w:val="18"/>
                <w:szCs w:val="18"/>
              </w:rPr>
            </w:pPr>
            <w:r>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3AE28A80"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1FE82A7E" w14:textId="77777777" w:rsidR="00C15432" w:rsidRPr="00CE4330" w:rsidRDefault="00C15432" w:rsidP="00C15432">
            <w:pPr>
              <w:pStyle w:val="TableTextNoSpace"/>
              <w:jc w:val="center"/>
              <w:rPr>
                <w:rFonts w:cs="Arial"/>
                <w:sz w:val="18"/>
                <w:szCs w:val="18"/>
              </w:rPr>
            </w:pPr>
          </w:p>
        </w:tc>
        <w:tc>
          <w:tcPr>
            <w:tcW w:w="238" w:type="pct"/>
            <w:tcBorders>
              <w:top w:val="single" w:sz="2" w:space="0" w:color="0067AB"/>
              <w:left w:val="single" w:sz="2" w:space="0" w:color="0067AB"/>
              <w:bottom w:val="single" w:sz="2" w:space="0" w:color="0067AB"/>
              <w:right w:val="single" w:sz="2" w:space="0" w:color="0067AB"/>
            </w:tcBorders>
            <w:vAlign w:val="center"/>
          </w:tcPr>
          <w:p w14:paraId="28B2DD05" w14:textId="77777777" w:rsidR="00C15432" w:rsidRPr="00CE4330" w:rsidRDefault="00C15432" w:rsidP="00C15432">
            <w:pPr>
              <w:pStyle w:val="TableTextNoSpace"/>
              <w:jc w:val="center"/>
              <w:rPr>
                <w:rFonts w:cs="Arial"/>
                <w:sz w:val="18"/>
                <w:szCs w:val="18"/>
              </w:rPr>
            </w:pPr>
          </w:p>
        </w:tc>
      </w:tr>
      <w:tr w:rsidR="00C15432" w14:paraId="4F02BD95" w14:textId="77777777" w:rsidTr="00C15432">
        <w:tc>
          <w:tcPr>
            <w:tcW w:w="699" w:type="pct"/>
            <w:tcBorders>
              <w:top w:val="single" w:sz="2" w:space="0" w:color="0067AB"/>
              <w:left w:val="single" w:sz="2" w:space="0" w:color="0067AB"/>
              <w:bottom w:val="single" w:sz="2" w:space="0" w:color="0067AB"/>
              <w:right w:val="single" w:sz="2" w:space="0" w:color="0067AB"/>
            </w:tcBorders>
            <w:hideMark/>
          </w:tcPr>
          <w:p w14:paraId="5717A7B4" w14:textId="77777777" w:rsidR="00C15432" w:rsidRPr="00150EA7" w:rsidRDefault="00C15432" w:rsidP="00C15432">
            <w:pPr>
              <w:pStyle w:val="TableTextNoSpace"/>
              <w:jc w:val="left"/>
              <w:rPr>
                <w:rFonts w:asciiTheme="minorHAnsi" w:hAnsiTheme="minorHAnsi"/>
                <w:sz w:val="18"/>
                <w:szCs w:val="18"/>
              </w:rPr>
            </w:pPr>
            <w:r w:rsidRPr="00150EA7">
              <w:rPr>
                <w:rFonts w:asciiTheme="minorHAnsi" w:hAnsiTheme="minorHAnsi"/>
                <w:sz w:val="18"/>
                <w:szCs w:val="18"/>
              </w:rPr>
              <w:t xml:space="preserve">Nutrient offsetting </w:t>
            </w:r>
          </w:p>
        </w:tc>
        <w:tc>
          <w:tcPr>
            <w:tcW w:w="239" w:type="pct"/>
            <w:tcBorders>
              <w:top w:val="single" w:sz="2" w:space="0" w:color="0067AB"/>
              <w:left w:val="single" w:sz="2" w:space="0" w:color="0067AB"/>
              <w:bottom w:val="single" w:sz="2" w:space="0" w:color="0067AB"/>
              <w:right w:val="single" w:sz="2" w:space="0" w:color="0067AB"/>
            </w:tcBorders>
            <w:vAlign w:val="center"/>
          </w:tcPr>
          <w:p w14:paraId="41898F9D" w14:textId="77777777" w:rsidR="00C15432" w:rsidRPr="00CE4330" w:rsidRDefault="00C15432" w:rsidP="00C15432">
            <w:pPr>
              <w:pStyle w:val="TableTextNoSpace"/>
              <w:jc w:val="center"/>
              <w:rPr>
                <w:rFonts w:cs="Arial"/>
                <w:sz w:val="18"/>
                <w:szCs w:val="18"/>
              </w:rPr>
            </w:pPr>
            <w:r>
              <w:rPr>
                <w:rFonts w:cs="Arial"/>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5557511A" w14:textId="77777777" w:rsidR="00C15432" w:rsidRPr="00CE4330" w:rsidRDefault="00C15432" w:rsidP="00C15432">
            <w:pPr>
              <w:pStyle w:val="TableTextNoSpace"/>
              <w:jc w:val="center"/>
              <w:rPr>
                <w:rFonts w:cs="Arial"/>
                <w:sz w:val="18"/>
                <w:szCs w:val="18"/>
              </w:rPr>
            </w:pPr>
            <w:r>
              <w:rPr>
                <w:rFonts w:cs="Arial"/>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11CF2ED6"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544479CB" w14:textId="77777777" w:rsidR="00C15432" w:rsidRPr="00CE4330" w:rsidRDefault="00C15432" w:rsidP="00C15432">
            <w:pPr>
              <w:pStyle w:val="TableTextNoSpace"/>
              <w:jc w:val="center"/>
              <w:rPr>
                <w:rFonts w:cs="Arial"/>
                <w:sz w:val="18"/>
                <w:szCs w:val="18"/>
              </w:rPr>
            </w:pPr>
            <w:r>
              <w:rPr>
                <w:rFonts w:cs="Arial"/>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62014779"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661FC7EB"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6C456FD7"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3EE07368"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43B830A0"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0C2E4DC8"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676ABB75"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12" w:space="0" w:color="0067AB"/>
            </w:tcBorders>
            <w:shd w:val="clear" w:color="auto" w:fill="auto"/>
            <w:vAlign w:val="center"/>
          </w:tcPr>
          <w:p w14:paraId="04A6747D" w14:textId="77777777" w:rsidR="00C15432" w:rsidRPr="0044600F" w:rsidRDefault="00C15432" w:rsidP="00C15432">
            <w:pPr>
              <w:pStyle w:val="TableTextNoSpace"/>
              <w:jc w:val="center"/>
              <w:rPr>
                <w:rFonts w:cs="Arial"/>
                <w:b/>
                <w:sz w:val="18"/>
                <w:szCs w:val="18"/>
              </w:rPr>
            </w:pPr>
            <w:r w:rsidRPr="0044600F">
              <w:rPr>
                <w:rFonts w:cs="Arial"/>
                <w:b/>
                <w:sz w:val="18"/>
                <w:szCs w:val="18"/>
              </w:rPr>
              <w:t>X</w:t>
            </w:r>
          </w:p>
        </w:tc>
        <w:tc>
          <w:tcPr>
            <w:tcW w:w="239" w:type="pct"/>
            <w:tcBorders>
              <w:top w:val="single" w:sz="2" w:space="0" w:color="0067AB"/>
              <w:left w:val="single" w:sz="12" w:space="0" w:color="0067AB"/>
              <w:bottom w:val="single" w:sz="2" w:space="0" w:color="0067AB"/>
              <w:right w:val="single" w:sz="2" w:space="0" w:color="0067AB"/>
            </w:tcBorders>
            <w:vAlign w:val="center"/>
          </w:tcPr>
          <w:p w14:paraId="00CF91FE"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362061B1"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1350816C"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1281BB11"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15F242CF" w14:textId="77777777" w:rsidR="00C15432" w:rsidRPr="00CE4330" w:rsidRDefault="00C15432" w:rsidP="00C15432">
            <w:pPr>
              <w:pStyle w:val="TableTextNoSpace"/>
              <w:jc w:val="center"/>
              <w:rPr>
                <w:rFonts w:cs="Arial"/>
                <w:sz w:val="18"/>
                <w:szCs w:val="18"/>
              </w:rPr>
            </w:pPr>
          </w:p>
        </w:tc>
        <w:tc>
          <w:tcPr>
            <w:tcW w:w="238" w:type="pct"/>
            <w:tcBorders>
              <w:top w:val="single" w:sz="2" w:space="0" w:color="0067AB"/>
              <w:left w:val="single" w:sz="2" w:space="0" w:color="0067AB"/>
              <w:bottom w:val="single" w:sz="2" w:space="0" w:color="0067AB"/>
              <w:right w:val="single" w:sz="2" w:space="0" w:color="0067AB"/>
            </w:tcBorders>
            <w:vAlign w:val="center"/>
          </w:tcPr>
          <w:p w14:paraId="09F9CB8E" w14:textId="77777777" w:rsidR="00C15432" w:rsidRPr="00CE4330" w:rsidRDefault="00C15432" w:rsidP="00C15432">
            <w:pPr>
              <w:pStyle w:val="TableTextNoSpace"/>
              <w:jc w:val="center"/>
              <w:rPr>
                <w:rFonts w:cs="Arial"/>
                <w:sz w:val="18"/>
                <w:szCs w:val="18"/>
              </w:rPr>
            </w:pPr>
          </w:p>
        </w:tc>
      </w:tr>
      <w:tr w:rsidR="00C15432" w14:paraId="35250641" w14:textId="77777777" w:rsidTr="00C15432">
        <w:tc>
          <w:tcPr>
            <w:tcW w:w="699" w:type="pct"/>
            <w:tcBorders>
              <w:top w:val="single" w:sz="2" w:space="0" w:color="0067AB"/>
              <w:left w:val="single" w:sz="2" w:space="0" w:color="0067AB"/>
              <w:bottom w:val="single" w:sz="2" w:space="0" w:color="0067AB"/>
              <w:right w:val="single" w:sz="2" w:space="0" w:color="0067AB"/>
            </w:tcBorders>
            <w:hideMark/>
          </w:tcPr>
          <w:p w14:paraId="372FE368" w14:textId="77777777" w:rsidR="00C15432" w:rsidRPr="00150EA7" w:rsidRDefault="00C15432" w:rsidP="00C15432">
            <w:pPr>
              <w:pStyle w:val="TableTextNoSpace"/>
              <w:jc w:val="left"/>
              <w:rPr>
                <w:rFonts w:asciiTheme="minorHAnsi" w:hAnsiTheme="minorHAnsi"/>
                <w:sz w:val="18"/>
                <w:szCs w:val="18"/>
              </w:rPr>
            </w:pPr>
            <w:r w:rsidRPr="00150EA7">
              <w:rPr>
                <w:rFonts w:asciiTheme="minorHAnsi" w:hAnsiTheme="minorHAnsi"/>
                <w:sz w:val="18"/>
                <w:szCs w:val="18"/>
              </w:rPr>
              <w:t xml:space="preserve">User fees / visitor payback </w:t>
            </w:r>
          </w:p>
        </w:tc>
        <w:tc>
          <w:tcPr>
            <w:tcW w:w="239" w:type="pct"/>
            <w:tcBorders>
              <w:top w:val="single" w:sz="2" w:space="0" w:color="0067AB"/>
              <w:left w:val="single" w:sz="2" w:space="0" w:color="0067AB"/>
              <w:bottom w:val="single" w:sz="2" w:space="0" w:color="0067AB"/>
              <w:right w:val="single" w:sz="2" w:space="0" w:color="0067AB"/>
            </w:tcBorders>
            <w:vAlign w:val="center"/>
          </w:tcPr>
          <w:p w14:paraId="4333E44C" w14:textId="77777777" w:rsidR="00C15432" w:rsidRPr="006E560E" w:rsidRDefault="00C15432" w:rsidP="00C15432">
            <w:pPr>
              <w:pStyle w:val="TableTextNoSpace"/>
              <w:jc w:val="center"/>
              <w:rPr>
                <w:rFonts w:cs="Arial"/>
                <w:b/>
                <w:sz w:val="18"/>
                <w:szCs w:val="18"/>
              </w:rPr>
            </w:pPr>
            <w:r w:rsidRPr="006E560E">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38CA1772" w14:textId="77777777" w:rsidR="00C15432" w:rsidRPr="006E560E" w:rsidRDefault="00C15432" w:rsidP="00C15432">
            <w:pPr>
              <w:pStyle w:val="TableTextNoSpace"/>
              <w:jc w:val="center"/>
              <w:rPr>
                <w:rFonts w:cs="Arial"/>
                <w:b/>
                <w:sz w:val="18"/>
                <w:szCs w:val="18"/>
              </w:rPr>
            </w:pPr>
            <w:r w:rsidRPr="006E560E">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3BF2301B"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552C3E6B" w14:textId="77777777" w:rsidR="00C15432" w:rsidRPr="006E560E" w:rsidRDefault="00C15432" w:rsidP="00C15432">
            <w:pPr>
              <w:pStyle w:val="TableTextNoSpace"/>
              <w:jc w:val="center"/>
              <w:rPr>
                <w:rFonts w:cs="Arial"/>
                <w:b/>
                <w:sz w:val="18"/>
                <w:szCs w:val="18"/>
              </w:rPr>
            </w:pPr>
            <w:r w:rsidRPr="006E560E">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1D637B12" w14:textId="77777777" w:rsidR="00C15432" w:rsidRPr="006E560E" w:rsidRDefault="00C15432" w:rsidP="00C15432">
            <w:pPr>
              <w:pStyle w:val="TableTextNoSpace"/>
              <w:jc w:val="center"/>
              <w:rPr>
                <w:rFonts w:cs="Arial"/>
                <w:b/>
                <w:sz w:val="18"/>
                <w:szCs w:val="18"/>
              </w:rPr>
            </w:pPr>
            <w:r w:rsidRPr="006E560E">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0C75201C" w14:textId="77777777" w:rsidR="00C15432" w:rsidRPr="00AB18E3" w:rsidRDefault="00C15432" w:rsidP="00C15432">
            <w:pPr>
              <w:pStyle w:val="TableTextNoSpace"/>
              <w:jc w:val="center"/>
              <w:rPr>
                <w:rFonts w:cs="Arial"/>
                <w:b/>
                <w:sz w:val="18"/>
                <w:szCs w:val="18"/>
              </w:rPr>
            </w:pPr>
            <w:r w:rsidRPr="00AB18E3">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045D78FD" w14:textId="77777777" w:rsidR="00C15432" w:rsidRPr="00AB18E3" w:rsidRDefault="00C15432" w:rsidP="00C15432">
            <w:pPr>
              <w:pStyle w:val="TableTextNoSpace"/>
              <w:jc w:val="center"/>
              <w:rPr>
                <w:rFonts w:cs="Arial"/>
                <w:b/>
                <w:sz w:val="18"/>
                <w:szCs w:val="18"/>
              </w:rPr>
            </w:pPr>
            <w:r w:rsidRPr="00AB18E3">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10F738D6" w14:textId="77777777" w:rsidR="00C15432" w:rsidRPr="00CE4330" w:rsidRDefault="00C15432" w:rsidP="00C15432">
            <w:pPr>
              <w:pStyle w:val="TableTextNoSpace"/>
              <w:jc w:val="center"/>
              <w:rPr>
                <w:rFonts w:cs="Arial"/>
                <w:sz w:val="18"/>
                <w:szCs w:val="18"/>
              </w:rPr>
            </w:pPr>
            <w:r>
              <w:rPr>
                <w:rFonts w:cs="Arial"/>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774C22AF" w14:textId="77777777" w:rsidR="00C15432" w:rsidRPr="006E560E" w:rsidRDefault="00C15432" w:rsidP="00C15432">
            <w:pPr>
              <w:pStyle w:val="TableTextNoSpace"/>
              <w:jc w:val="center"/>
              <w:rPr>
                <w:rFonts w:cs="Arial"/>
                <w:b/>
                <w:sz w:val="18"/>
                <w:szCs w:val="18"/>
              </w:rPr>
            </w:pPr>
            <w:r w:rsidRPr="006E560E">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3EDB9593" w14:textId="77777777" w:rsidR="00C15432" w:rsidRPr="0021522B" w:rsidRDefault="00C15432" w:rsidP="00C15432">
            <w:pPr>
              <w:pStyle w:val="TableTextNoSpace"/>
              <w:jc w:val="center"/>
              <w:rPr>
                <w:rFonts w:cs="Arial"/>
                <w:sz w:val="18"/>
                <w:szCs w:val="18"/>
              </w:rPr>
            </w:pPr>
            <w:r w:rsidRPr="0021522B">
              <w:rPr>
                <w:rFonts w:cs="Arial"/>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090607F1"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12" w:space="0" w:color="0067AB"/>
            </w:tcBorders>
            <w:vAlign w:val="center"/>
          </w:tcPr>
          <w:p w14:paraId="476B4C5E" w14:textId="77777777" w:rsidR="00C15432" w:rsidRPr="00A317F6" w:rsidRDefault="00C15432" w:rsidP="00C15432">
            <w:pPr>
              <w:pStyle w:val="TableTextNoSpace"/>
              <w:jc w:val="center"/>
              <w:rPr>
                <w:rFonts w:cs="Arial"/>
                <w:b/>
                <w:sz w:val="18"/>
                <w:szCs w:val="18"/>
              </w:rPr>
            </w:pPr>
          </w:p>
        </w:tc>
        <w:tc>
          <w:tcPr>
            <w:tcW w:w="239" w:type="pct"/>
            <w:tcBorders>
              <w:top w:val="single" w:sz="2" w:space="0" w:color="0067AB"/>
              <w:left w:val="single" w:sz="12" w:space="0" w:color="0067AB"/>
              <w:bottom w:val="single" w:sz="2" w:space="0" w:color="0067AB"/>
              <w:right w:val="single" w:sz="2" w:space="0" w:color="0067AB"/>
            </w:tcBorders>
            <w:vAlign w:val="center"/>
          </w:tcPr>
          <w:p w14:paraId="7A5D853E" w14:textId="77777777" w:rsidR="00C15432" w:rsidRPr="00AB18E3" w:rsidRDefault="00C15432" w:rsidP="00C15432">
            <w:pPr>
              <w:pStyle w:val="TableTextNoSpace"/>
              <w:jc w:val="center"/>
              <w:rPr>
                <w:rFonts w:cs="Arial"/>
                <w:sz w:val="18"/>
                <w:szCs w:val="18"/>
              </w:rPr>
            </w:pPr>
            <w:r w:rsidRPr="00AB18E3">
              <w:rPr>
                <w:rFonts w:cs="Arial"/>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70CD8638" w14:textId="77777777" w:rsidR="00C15432" w:rsidRPr="00AB18E3"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17A3055D"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64116D5E" w14:textId="77777777" w:rsidR="00C15432" w:rsidRPr="00CE4330" w:rsidRDefault="00C15432" w:rsidP="00C15432">
            <w:pPr>
              <w:pStyle w:val="TableTextNoSpace"/>
              <w:jc w:val="center"/>
              <w:rPr>
                <w:rFonts w:cs="Arial"/>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0B9D8BEA" w14:textId="1E089516" w:rsidR="00C15432" w:rsidRPr="00CE4330" w:rsidRDefault="00150EA7" w:rsidP="00C15432">
            <w:pPr>
              <w:pStyle w:val="TableTextNoSpace"/>
              <w:jc w:val="center"/>
              <w:rPr>
                <w:rFonts w:cs="Arial"/>
                <w:sz w:val="18"/>
                <w:szCs w:val="18"/>
              </w:rPr>
            </w:pPr>
            <w:r w:rsidRPr="00AB18E3">
              <w:rPr>
                <w:rFonts w:cs="Arial"/>
                <w:b/>
                <w:sz w:val="18"/>
                <w:szCs w:val="18"/>
              </w:rPr>
              <w:t>X</w:t>
            </w:r>
          </w:p>
        </w:tc>
        <w:tc>
          <w:tcPr>
            <w:tcW w:w="238" w:type="pct"/>
            <w:tcBorders>
              <w:top w:val="single" w:sz="2" w:space="0" w:color="0067AB"/>
              <w:left w:val="single" w:sz="2" w:space="0" w:color="0067AB"/>
              <w:bottom w:val="single" w:sz="2" w:space="0" w:color="0067AB"/>
              <w:right w:val="single" w:sz="2" w:space="0" w:color="0067AB"/>
            </w:tcBorders>
            <w:vAlign w:val="center"/>
          </w:tcPr>
          <w:p w14:paraId="360D3E8A" w14:textId="77777777" w:rsidR="00C15432" w:rsidRPr="00AB18E3" w:rsidRDefault="00C15432" w:rsidP="00C15432">
            <w:pPr>
              <w:pStyle w:val="TableTextNoSpace"/>
              <w:jc w:val="center"/>
              <w:rPr>
                <w:rFonts w:cs="Arial"/>
                <w:b/>
                <w:sz w:val="18"/>
                <w:szCs w:val="18"/>
              </w:rPr>
            </w:pPr>
            <w:r w:rsidRPr="00AB18E3">
              <w:rPr>
                <w:rFonts w:cs="Arial"/>
                <w:b/>
                <w:sz w:val="18"/>
                <w:szCs w:val="18"/>
              </w:rPr>
              <w:t>X</w:t>
            </w:r>
          </w:p>
        </w:tc>
      </w:tr>
      <w:tr w:rsidR="00C15432" w14:paraId="5FB1B9CD" w14:textId="77777777" w:rsidTr="00C15432">
        <w:tc>
          <w:tcPr>
            <w:tcW w:w="699" w:type="pct"/>
            <w:tcBorders>
              <w:top w:val="single" w:sz="2" w:space="0" w:color="0067AB"/>
              <w:left w:val="single" w:sz="2" w:space="0" w:color="0067AB"/>
              <w:bottom w:val="single" w:sz="2" w:space="0" w:color="0067AB"/>
              <w:right w:val="single" w:sz="2" w:space="0" w:color="0067AB"/>
            </w:tcBorders>
          </w:tcPr>
          <w:p w14:paraId="686DC873" w14:textId="77777777" w:rsidR="00C15432" w:rsidRPr="00150EA7" w:rsidRDefault="00C15432" w:rsidP="00C15432">
            <w:pPr>
              <w:pStyle w:val="TableTextNoSpace"/>
              <w:jc w:val="left"/>
              <w:rPr>
                <w:rFonts w:asciiTheme="minorHAnsi" w:hAnsiTheme="minorHAnsi"/>
                <w:sz w:val="18"/>
                <w:szCs w:val="18"/>
              </w:rPr>
            </w:pPr>
            <w:r w:rsidRPr="00150EA7">
              <w:rPr>
                <w:rFonts w:asciiTheme="minorHAnsi" w:hAnsiTheme="minorHAnsi"/>
                <w:sz w:val="18"/>
                <w:szCs w:val="18"/>
              </w:rPr>
              <w:t>Tax incentives</w:t>
            </w:r>
          </w:p>
        </w:tc>
        <w:tc>
          <w:tcPr>
            <w:tcW w:w="239" w:type="pct"/>
            <w:tcBorders>
              <w:top w:val="single" w:sz="2" w:space="0" w:color="0067AB"/>
              <w:left w:val="single" w:sz="2" w:space="0" w:color="0067AB"/>
              <w:bottom w:val="single" w:sz="2" w:space="0" w:color="0067AB"/>
              <w:right w:val="single" w:sz="2" w:space="0" w:color="0067AB"/>
            </w:tcBorders>
            <w:vAlign w:val="center"/>
          </w:tcPr>
          <w:p w14:paraId="56AFBFA3"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2F57C494"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551D3EFA"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5E05D529"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20CF65A8"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4F7B96C0" w14:textId="77777777" w:rsidR="00C15432" w:rsidRPr="0021522B" w:rsidRDefault="00C15432" w:rsidP="00C15432">
            <w:pPr>
              <w:pStyle w:val="TableTextNoSpace"/>
              <w:jc w:val="center"/>
              <w:rPr>
                <w:rFonts w:cs="Arial"/>
                <w:sz w:val="18"/>
                <w:szCs w:val="18"/>
              </w:rPr>
            </w:pPr>
            <w:r w:rsidRPr="0021522B">
              <w:rPr>
                <w:rFonts w:cs="Arial"/>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535330D8" w14:textId="77777777" w:rsidR="00C15432" w:rsidRPr="0021522B" w:rsidRDefault="00C15432" w:rsidP="00C15432">
            <w:pPr>
              <w:pStyle w:val="TableTextNoSpace"/>
              <w:jc w:val="center"/>
              <w:rPr>
                <w:rFonts w:cs="Arial"/>
                <w:sz w:val="18"/>
                <w:szCs w:val="18"/>
              </w:rPr>
            </w:pPr>
            <w:r w:rsidRPr="0021522B">
              <w:rPr>
                <w:rFonts w:cs="Arial"/>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3985BA4B" w14:textId="77777777" w:rsidR="00C15432" w:rsidRPr="0021522B" w:rsidRDefault="00C15432" w:rsidP="00C15432">
            <w:pPr>
              <w:pStyle w:val="TableTextNoSpace"/>
              <w:jc w:val="center"/>
              <w:rPr>
                <w:rFonts w:cs="Arial"/>
                <w:sz w:val="18"/>
                <w:szCs w:val="18"/>
              </w:rPr>
            </w:pPr>
            <w:r w:rsidRPr="0021522B">
              <w:rPr>
                <w:rFonts w:cs="Arial"/>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5A489155"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2CFC4BA9"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65EF6DCE"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12" w:space="0" w:color="0067AB"/>
            </w:tcBorders>
            <w:vAlign w:val="center"/>
          </w:tcPr>
          <w:p w14:paraId="2D5468C1"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12" w:space="0" w:color="0067AB"/>
              <w:bottom w:val="single" w:sz="2" w:space="0" w:color="0067AB"/>
              <w:right w:val="single" w:sz="2" w:space="0" w:color="0067AB"/>
            </w:tcBorders>
            <w:vAlign w:val="center"/>
          </w:tcPr>
          <w:p w14:paraId="1A4383B1"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2B1FCD08"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7E097A6D" w14:textId="77777777" w:rsidR="00C15432" w:rsidRPr="006E560E" w:rsidRDefault="00C15432" w:rsidP="00C15432">
            <w:pPr>
              <w:pStyle w:val="TableTextNoSpace"/>
              <w:jc w:val="center"/>
              <w:rPr>
                <w:rFonts w:cs="Arial"/>
                <w:b/>
                <w:sz w:val="18"/>
                <w:szCs w:val="18"/>
              </w:rPr>
            </w:pPr>
            <w:r w:rsidRPr="006E560E">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4CAAB596"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4C051D6C" w14:textId="77777777" w:rsidR="00C15432" w:rsidRPr="006E560E" w:rsidRDefault="00C15432" w:rsidP="00C15432">
            <w:pPr>
              <w:pStyle w:val="TableTextNoSpace"/>
              <w:jc w:val="center"/>
              <w:rPr>
                <w:rFonts w:cs="Arial"/>
                <w:b/>
                <w:sz w:val="18"/>
                <w:szCs w:val="18"/>
              </w:rPr>
            </w:pPr>
          </w:p>
        </w:tc>
        <w:tc>
          <w:tcPr>
            <w:tcW w:w="238" w:type="pct"/>
            <w:tcBorders>
              <w:top w:val="single" w:sz="2" w:space="0" w:color="0067AB"/>
              <w:left w:val="single" w:sz="2" w:space="0" w:color="0067AB"/>
              <w:bottom w:val="single" w:sz="2" w:space="0" w:color="0067AB"/>
              <w:right w:val="single" w:sz="2" w:space="0" w:color="0067AB"/>
            </w:tcBorders>
            <w:vAlign w:val="center"/>
          </w:tcPr>
          <w:p w14:paraId="7B46A195" w14:textId="77777777" w:rsidR="00C15432" w:rsidRPr="006E560E" w:rsidRDefault="00C15432" w:rsidP="00C15432">
            <w:pPr>
              <w:pStyle w:val="TableTextNoSpace"/>
              <w:jc w:val="center"/>
              <w:rPr>
                <w:rFonts w:cs="Arial"/>
                <w:b/>
                <w:sz w:val="18"/>
                <w:szCs w:val="18"/>
              </w:rPr>
            </w:pPr>
          </w:p>
        </w:tc>
      </w:tr>
      <w:tr w:rsidR="00C15432" w14:paraId="49AF9BA8" w14:textId="77777777" w:rsidTr="00C15432">
        <w:tc>
          <w:tcPr>
            <w:tcW w:w="699" w:type="pct"/>
            <w:tcBorders>
              <w:top w:val="single" w:sz="2" w:space="0" w:color="0067AB"/>
              <w:left w:val="single" w:sz="2" w:space="0" w:color="0067AB"/>
              <w:bottom w:val="single" w:sz="2" w:space="0" w:color="0067AB"/>
              <w:right w:val="single" w:sz="2" w:space="0" w:color="0067AB"/>
            </w:tcBorders>
          </w:tcPr>
          <w:p w14:paraId="4031E43C" w14:textId="77777777" w:rsidR="00C15432" w:rsidRPr="00150EA7" w:rsidRDefault="00C15432" w:rsidP="00C15432">
            <w:pPr>
              <w:pStyle w:val="TableTextNoSpace"/>
              <w:jc w:val="left"/>
              <w:rPr>
                <w:rFonts w:asciiTheme="minorHAnsi" w:hAnsiTheme="minorHAnsi"/>
                <w:sz w:val="18"/>
                <w:szCs w:val="18"/>
              </w:rPr>
            </w:pPr>
            <w:r w:rsidRPr="00150EA7">
              <w:rPr>
                <w:rFonts w:asciiTheme="minorHAnsi" w:hAnsiTheme="minorHAnsi"/>
                <w:sz w:val="18"/>
                <w:szCs w:val="18"/>
              </w:rPr>
              <w:t>Loan finance</w:t>
            </w:r>
          </w:p>
        </w:tc>
        <w:tc>
          <w:tcPr>
            <w:tcW w:w="239" w:type="pct"/>
            <w:tcBorders>
              <w:top w:val="single" w:sz="2" w:space="0" w:color="0067AB"/>
              <w:left w:val="single" w:sz="2" w:space="0" w:color="0067AB"/>
              <w:bottom w:val="single" w:sz="2" w:space="0" w:color="0067AB"/>
              <w:right w:val="single" w:sz="2" w:space="0" w:color="0067AB"/>
            </w:tcBorders>
            <w:vAlign w:val="center"/>
          </w:tcPr>
          <w:p w14:paraId="550DA7D0"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07EBC47C"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7ADD8E6D"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20ADF372"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4C611C07"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447D1A8D"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0E705D2E"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07B36BE8"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093F4D9F"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5C9171ED" w14:textId="77777777" w:rsidR="00C15432" w:rsidRPr="006E560E" w:rsidRDefault="00C15432" w:rsidP="00C15432">
            <w:pPr>
              <w:pStyle w:val="TableTextNoSpace"/>
              <w:jc w:val="center"/>
              <w:rPr>
                <w:rFonts w:cs="Arial"/>
                <w:b/>
                <w:sz w:val="18"/>
                <w:szCs w:val="18"/>
              </w:rPr>
            </w:pPr>
            <w:r w:rsidRPr="006E560E">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52CC6E88"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12" w:space="0" w:color="0067AB"/>
            </w:tcBorders>
            <w:vAlign w:val="center"/>
          </w:tcPr>
          <w:p w14:paraId="07B944A8"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12" w:space="0" w:color="0067AB"/>
              <w:bottom w:val="single" w:sz="2" w:space="0" w:color="0067AB"/>
              <w:right w:val="single" w:sz="2" w:space="0" w:color="0067AB"/>
            </w:tcBorders>
            <w:vAlign w:val="center"/>
          </w:tcPr>
          <w:p w14:paraId="698B8E10" w14:textId="77777777" w:rsidR="00C15432" w:rsidRPr="006E560E" w:rsidRDefault="00C15432" w:rsidP="00C15432">
            <w:pPr>
              <w:pStyle w:val="TableTextNoSpace"/>
              <w:jc w:val="center"/>
              <w:rPr>
                <w:rFonts w:cs="Arial"/>
                <w:b/>
                <w:sz w:val="18"/>
                <w:szCs w:val="18"/>
              </w:rPr>
            </w:pPr>
            <w:r w:rsidRPr="006E560E">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29D5DC06"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0C668E5A"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556FC0B3"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3B408119" w14:textId="77777777" w:rsidR="00C15432" w:rsidRPr="006E560E" w:rsidRDefault="00C15432" w:rsidP="00C15432">
            <w:pPr>
              <w:pStyle w:val="TableTextNoSpace"/>
              <w:jc w:val="center"/>
              <w:rPr>
                <w:rFonts w:cs="Arial"/>
                <w:b/>
                <w:sz w:val="18"/>
                <w:szCs w:val="18"/>
              </w:rPr>
            </w:pPr>
            <w:r>
              <w:rPr>
                <w:rFonts w:cs="Arial"/>
                <w:b/>
                <w:sz w:val="18"/>
                <w:szCs w:val="18"/>
              </w:rPr>
              <w:t>X</w:t>
            </w:r>
          </w:p>
        </w:tc>
        <w:tc>
          <w:tcPr>
            <w:tcW w:w="238" w:type="pct"/>
            <w:tcBorders>
              <w:top w:val="single" w:sz="2" w:space="0" w:color="0067AB"/>
              <w:left w:val="single" w:sz="2" w:space="0" w:color="0067AB"/>
              <w:bottom w:val="single" w:sz="2" w:space="0" w:color="0067AB"/>
              <w:right w:val="single" w:sz="2" w:space="0" w:color="0067AB"/>
            </w:tcBorders>
            <w:vAlign w:val="center"/>
          </w:tcPr>
          <w:p w14:paraId="34A56F67" w14:textId="77777777" w:rsidR="00C15432" w:rsidRPr="006E560E" w:rsidRDefault="00C15432" w:rsidP="00C15432">
            <w:pPr>
              <w:pStyle w:val="TableTextNoSpace"/>
              <w:jc w:val="center"/>
              <w:rPr>
                <w:rFonts w:cs="Arial"/>
                <w:b/>
                <w:sz w:val="18"/>
                <w:szCs w:val="18"/>
              </w:rPr>
            </w:pPr>
          </w:p>
        </w:tc>
      </w:tr>
      <w:tr w:rsidR="00C15432" w14:paraId="04EDE193" w14:textId="77777777" w:rsidTr="00C15432">
        <w:tc>
          <w:tcPr>
            <w:tcW w:w="699" w:type="pct"/>
            <w:tcBorders>
              <w:top w:val="single" w:sz="2" w:space="0" w:color="0067AB"/>
              <w:left w:val="single" w:sz="2" w:space="0" w:color="0067AB"/>
              <w:bottom w:val="single" w:sz="2" w:space="0" w:color="0067AB"/>
              <w:right w:val="single" w:sz="2" w:space="0" w:color="0067AB"/>
            </w:tcBorders>
          </w:tcPr>
          <w:p w14:paraId="70F362AE" w14:textId="77777777" w:rsidR="00C15432" w:rsidRPr="00150EA7" w:rsidRDefault="00C15432" w:rsidP="00C15432">
            <w:pPr>
              <w:pStyle w:val="TableTextNoSpace"/>
              <w:jc w:val="left"/>
              <w:rPr>
                <w:rFonts w:asciiTheme="minorHAnsi" w:hAnsiTheme="minorHAnsi"/>
                <w:sz w:val="18"/>
                <w:szCs w:val="18"/>
              </w:rPr>
            </w:pPr>
            <w:r w:rsidRPr="00150EA7">
              <w:rPr>
                <w:rFonts w:asciiTheme="minorHAnsi" w:hAnsiTheme="minorHAnsi"/>
                <w:sz w:val="18"/>
                <w:szCs w:val="18"/>
              </w:rPr>
              <w:t>Marketed products</w:t>
            </w:r>
          </w:p>
        </w:tc>
        <w:tc>
          <w:tcPr>
            <w:tcW w:w="239" w:type="pct"/>
            <w:tcBorders>
              <w:top w:val="single" w:sz="2" w:space="0" w:color="0067AB"/>
              <w:left w:val="single" w:sz="2" w:space="0" w:color="0067AB"/>
              <w:bottom w:val="single" w:sz="2" w:space="0" w:color="0067AB"/>
              <w:right w:val="single" w:sz="2" w:space="0" w:color="0067AB"/>
            </w:tcBorders>
            <w:vAlign w:val="center"/>
          </w:tcPr>
          <w:p w14:paraId="441DA792" w14:textId="77777777" w:rsidR="00C15432" w:rsidRPr="006E560E" w:rsidRDefault="00C15432" w:rsidP="00C15432">
            <w:pPr>
              <w:pStyle w:val="TableTextNoSpace"/>
              <w:jc w:val="center"/>
              <w:rPr>
                <w:rFonts w:cs="Arial"/>
                <w:b/>
                <w:sz w:val="18"/>
                <w:szCs w:val="18"/>
              </w:rPr>
            </w:pPr>
            <w:r w:rsidRPr="006E560E">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40B25758"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14CD9381" w14:textId="77777777" w:rsidR="00C15432" w:rsidRPr="006E560E" w:rsidRDefault="00C15432" w:rsidP="00C15432">
            <w:pPr>
              <w:pStyle w:val="TableTextNoSpace"/>
              <w:jc w:val="center"/>
              <w:rPr>
                <w:rFonts w:cs="Arial"/>
                <w:b/>
                <w:sz w:val="18"/>
                <w:szCs w:val="18"/>
              </w:rPr>
            </w:pPr>
            <w:r>
              <w:rPr>
                <w:rFonts w:cs="Arial"/>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2DA068BF"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7DDF39A8"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77B3CCCD"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47C4CE88"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64340D32"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3BEB368B"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4998443E" w14:textId="77777777" w:rsidR="00C15432" w:rsidRPr="006E560E" w:rsidRDefault="00C15432" w:rsidP="00C15432">
            <w:pPr>
              <w:pStyle w:val="TableTextNoSpace"/>
              <w:jc w:val="center"/>
              <w:rPr>
                <w:rFonts w:cs="Arial"/>
                <w:b/>
                <w:sz w:val="18"/>
                <w:szCs w:val="18"/>
              </w:rPr>
            </w:pPr>
            <w:r w:rsidRPr="006E560E">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717EDEE1"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12" w:space="0" w:color="0067AB"/>
            </w:tcBorders>
            <w:vAlign w:val="center"/>
          </w:tcPr>
          <w:p w14:paraId="2B394E35"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12" w:space="0" w:color="0067AB"/>
              <w:bottom w:val="single" w:sz="2" w:space="0" w:color="0067AB"/>
              <w:right w:val="single" w:sz="2" w:space="0" w:color="0067AB"/>
            </w:tcBorders>
            <w:vAlign w:val="center"/>
          </w:tcPr>
          <w:p w14:paraId="507A1375"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76493EED"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72FFF89D"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60F19C3D"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3003BE15" w14:textId="77777777" w:rsidR="00C15432" w:rsidRPr="006E560E" w:rsidRDefault="00C15432" w:rsidP="00C15432">
            <w:pPr>
              <w:pStyle w:val="TableTextNoSpace"/>
              <w:jc w:val="center"/>
              <w:rPr>
                <w:rFonts w:cs="Arial"/>
                <w:b/>
                <w:sz w:val="18"/>
                <w:szCs w:val="18"/>
              </w:rPr>
            </w:pPr>
            <w:r w:rsidRPr="006E560E">
              <w:rPr>
                <w:rFonts w:cs="Arial"/>
                <w:b/>
                <w:sz w:val="18"/>
                <w:szCs w:val="18"/>
              </w:rPr>
              <w:t>X</w:t>
            </w:r>
          </w:p>
        </w:tc>
        <w:tc>
          <w:tcPr>
            <w:tcW w:w="238" w:type="pct"/>
            <w:tcBorders>
              <w:top w:val="single" w:sz="2" w:space="0" w:color="0067AB"/>
              <w:left w:val="single" w:sz="2" w:space="0" w:color="0067AB"/>
              <w:bottom w:val="single" w:sz="2" w:space="0" w:color="0067AB"/>
              <w:right w:val="single" w:sz="2" w:space="0" w:color="0067AB"/>
            </w:tcBorders>
            <w:vAlign w:val="center"/>
          </w:tcPr>
          <w:p w14:paraId="1A9FF104" w14:textId="77777777" w:rsidR="00C15432" w:rsidRPr="006E560E" w:rsidRDefault="00C15432" w:rsidP="00C15432">
            <w:pPr>
              <w:pStyle w:val="TableTextNoSpace"/>
              <w:jc w:val="center"/>
              <w:rPr>
                <w:rFonts w:cs="Arial"/>
                <w:b/>
                <w:sz w:val="18"/>
                <w:szCs w:val="18"/>
              </w:rPr>
            </w:pPr>
          </w:p>
        </w:tc>
      </w:tr>
      <w:tr w:rsidR="00C15432" w14:paraId="39AA035D" w14:textId="77777777" w:rsidTr="00C15432">
        <w:tc>
          <w:tcPr>
            <w:tcW w:w="699" w:type="pct"/>
            <w:tcBorders>
              <w:top w:val="single" w:sz="2" w:space="0" w:color="0067AB"/>
              <w:left w:val="single" w:sz="2" w:space="0" w:color="0067AB"/>
              <w:bottom w:val="single" w:sz="2" w:space="0" w:color="0067AB"/>
              <w:right w:val="single" w:sz="2" w:space="0" w:color="0067AB"/>
            </w:tcBorders>
          </w:tcPr>
          <w:p w14:paraId="34F383F1" w14:textId="77777777" w:rsidR="00C15432" w:rsidRPr="00150EA7" w:rsidRDefault="00C15432" w:rsidP="00C15432">
            <w:pPr>
              <w:pStyle w:val="TableTextNoSpace"/>
              <w:jc w:val="left"/>
              <w:rPr>
                <w:rFonts w:asciiTheme="minorHAnsi" w:hAnsiTheme="minorHAnsi"/>
                <w:sz w:val="18"/>
                <w:szCs w:val="18"/>
              </w:rPr>
            </w:pPr>
            <w:r w:rsidRPr="00150EA7">
              <w:rPr>
                <w:rFonts w:asciiTheme="minorHAnsi" w:hAnsiTheme="minorHAnsi"/>
                <w:sz w:val="18"/>
                <w:szCs w:val="18"/>
              </w:rPr>
              <w:t>Payments for ecosystem services (PES)</w:t>
            </w:r>
          </w:p>
        </w:tc>
        <w:tc>
          <w:tcPr>
            <w:tcW w:w="239" w:type="pct"/>
            <w:tcBorders>
              <w:top w:val="single" w:sz="2" w:space="0" w:color="0067AB"/>
              <w:left w:val="single" w:sz="2" w:space="0" w:color="0067AB"/>
              <w:bottom w:val="single" w:sz="2" w:space="0" w:color="0067AB"/>
              <w:right w:val="single" w:sz="2" w:space="0" w:color="0067AB"/>
            </w:tcBorders>
            <w:vAlign w:val="center"/>
          </w:tcPr>
          <w:p w14:paraId="7D198F96" w14:textId="77777777" w:rsidR="00C15432" w:rsidRPr="006E560E" w:rsidRDefault="00C15432" w:rsidP="00C15432">
            <w:pPr>
              <w:pStyle w:val="TableTextNoSpace"/>
              <w:jc w:val="center"/>
              <w:rPr>
                <w:rFonts w:cs="Arial"/>
                <w:b/>
                <w:sz w:val="18"/>
                <w:szCs w:val="18"/>
              </w:rPr>
            </w:pPr>
            <w:r w:rsidRPr="006E560E">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58A661EE"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0207CBCB" w14:textId="77777777" w:rsidR="00C15432" w:rsidRPr="006E560E" w:rsidRDefault="00C15432" w:rsidP="00C15432">
            <w:pPr>
              <w:pStyle w:val="TableTextNoSpace"/>
              <w:jc w:val="center"/>
              <w:rPr>
                <w:rFonts w:cs="Arial"/>
                <w:b/>
                <w:sz w:val="18"/>
                <w:szCs w:val="18"/>
              </w:rPr>
            </w:pPr>
            <w:r w:rsidRPr="006E560E">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0021E68B" w14:textId="77777777" w:rsidR="00C15432" w:rsidRPr="006E560E" w:rsidRDefault="00C15432" w:rsidP="00C15432">
            <w:pPr>
              <w:pStyle w:val="TableTextNoSpace"/>
              <w:jc w:val="center"/>
              <w:rPr>
                <w:rFonts w:cs="Arial"/>
                <w:b/>
                <w:sz w:val="18"/>
                <w:szCs w:val="18"/>
              </w:rPr>
            </w:pPr>
            <w:r w:rsidRPr="006E560E">
              <w:rPr>
                <w:rFonts w:cs="Arial"/>
                <w:b/>
                <w:sz w:val="18"/>
                <w:szCs w:val="18"/>
              </w:rPr>
              <w:t>X</w:t>
            </w:r>
          </w:p>
        </w:tc>
        <w:tc>
          <w:tcPr>
            <w:tcW w:w="239" w:type="pct"/>
            <w:tcBorders>
              <w:top w:val="single" w:sz="2" w:space="0" w:color="0067AB"/>
              <w:left w:val="single" w:sz="2" w:space="0" w:color="0067AB"/>
              <w:bottom w:val="single" w:sz="2" w:space="0" w:color="0067AB"/>
              <w:right w:val="single" w:sz="2" w:space="0" w:color="0067AB"/>
            </w:tcBorders>
            <w:vAlign w:val="center"/>
          </w:tcPr>
          <w:p w14:paraId="2F961407"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2B8B1D7E"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12F722E6"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2E0286E8"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31FE3259"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7FDE3F6B"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0C33E9D4"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12" w:space="0" w:color="0067AB"/>
            </w:tcBorders>
            <w:vAlign w:val="center"/>
          </w:tcPr>
          <w:p w14:paraId="3E9E2A88"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12" w:space="0" w:color="0067AB"/>
              <w:bottom w:val="single" w:sz="2" w:space="0" w:color="0067AB"/>
              <w:right w:val="single" w:sz="2" w:space="0" w:color="0067AB"/>
            </w:tcBorders>
            <w:vAlign w:val="center"/>
          </w:tcPr>
          <w:p w14:paraId="54D265F1"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269DB3C8"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0B06C259"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1D5A76C6" w14:textId="77777777" w:rsidR="00C15432" w:rsidRPr="006E560E" w:rsidRDefault="00C15432" w:rsidP="00C15432">
            <w:pPr>
              <w:pStyle w:val="TableTextNoSpace"/>
              <w:jc w:val="center"/>
              <w:rPr>
                <w:rFonts w:cs="Arial"/>
                <w:b/>
                <w:sz w:val="18"/>
                <w:szCs w:val="18"/>
              </w:rPr>
            </w:pPr>
          </w:p>
        </w:tc>
        <w:tc>
          <w:tcPr>
            <w:tcW w:w="239" w:type="pct"/>
            <w:tcBorders>
              <w:top w:val="single" w:sz="2" w:space="0" w:color="0067AB"/>
              <w:left w:val="single" w:sz="2" w:space="0" w:color="0067AB"/>
              <w:bottom w:val="single" w:sz="2" w:space="0" w:color="0067AB"/>
              <w:right w:val="single" w:sz="2" w:space="0" w:color="0067AB"/>
            </w:tcBorders>
            <w:vAlign w:val="center"/>
          </w:tcPr>
          <w:p w14:paraId="328B4460" w14:textId="77777777" w:rsidR="00C15432" w:rsidRPr="006E560E" w:rsidRDefault="00C15432" w:rsidP="00C15432">
            <w:pPr>
              <w:pStyle w:val="TableTextNoSpace"/>
              <w:jc w:val="center"/>
              <w:rPr>
                <w:rFonts w:cs="Arial"/>
                <w:b/>
                <w:sz w:val="18"/>
                <w:szCs w:val="18"/>
              </w:rPr>
            </w:pPr>
          </w:p>
        </w:tc>
        <w:tc>
          <w:tcPr>
            <w:tcW w:w="238" w:type="pct"/>
            <w:tcBorders>
              <w:top w:val="single" w:sz="2" w:space="0" w:color="0067AB"/>
              <w:left w:val="single" w:sz="2" w:space="0" w:color="0067AB"/>
              <w:bottom w:val="single" w:sz="2" w:space="0" w:color="0067AB"/>
              <w:right w:val="single" w:sz="2" w:space="0" w:color="0067AB"/>
            </w:tcBorders>
            <w:vAlign w:val="center"/>
          </w:tcPr>
          <w:p w14:paraId="23CAE46E" w14:textId="77777777" w:rsidR="00C15432" w:rsidRPr="006E560E" w:rsidRDefault="00C15432" w:rsidP="00C15432">
            <w:pPr>
              <w:pStyle w:val="TableTextNoSpace"/>
              <w:jc w:val="center"/>
              <w:rPr>
                <w:rFonts w:cs="Arial"/>
                <w:b/>
                <w:sz w:val="18"/>
                <w:szCs w:val="18"/>
              </w:rPr>
            </w:pPr>
            <w:r w:rsidRPr="006E560E">
              <w:rPr>
                <w:rFonts w:cs="Arial"/>
                <w:b/>
                <w:sz w:val="18"/>
                <w:szCs w:val="18"/>
              </w:rPr>
              <w:t>X</w:t>
            </w:r>
          </w:p>
        </w:tc>
      </w:tr>
    </w:tbl>
    <w:p w14:paraId="33418E41" w14:textId="77777777" w:rsidR="00A317F6" w:rsidRDefault="00A317F6" w:rsidP="00A317F6">
      <w:pPr>
        <w:pStyle w:val="BTBullet1Last"/>
        <w:numPr>
          <w:ilvl w:val="0"/>
          <w:numId w:val="0"/>
        </w:numPr>
        <w:ind w:left="1191" w:hanging="340"/>
      </w:pPr>
    </w:p>
    <w:p w14:paraId="6D159C3D" w14:textId="77777777" w:rsidR="009074FE" w:rsidRDefault="009074FE" w:rsidP="00CA1444">
      <w:pPr>
        <w:pStyle w:val="BodyText"/>
      </w:pPr>
    </w:p>
    <w:p w14:paraId="4978B27E" w14:textId="77777777" w:rsidR="0082446B" w:rsidRDefault="0082446B" w:rsidP="00162E98">
      <w:pPr>
        <w:pStyle w:val="BodyText"/>
        <w:keepNext/>
        <w:rPr>
          <w:b/>
        </w:rPr>
      </w:pPr>
      <w:r>
        <w:rPr>
          <w:b/>
        </w:rPr>
        <w:t>Dedicated sources of finance</w:t>
      </w:r>
    </w:p>
    <w:p w14:paraId="274545BA" w14:textId="33702809" w:rsidR="00A317F6" w:rsidRDefault="0082446B" w:rsidP="00162E98">
      <w:pPr>
        <w:pStyle w:val="BodyText"/>
        <w:keepNext/>
      </w:pPr>
      <w:r>
        <w:t xml:space="preserve">In some instances management mechanisms have their own dedicated sources of finance. This is the case with </w:t>
      </w:r>
      <w:r w:rsidR="00A317F6">
        <w:t>Glas</w:t>
      </w:r>
      <w:r>
        <w:t xml:space="preserve">tir agri-environment </w:t>
      </w:r>
      <w:r w:rsidR="00120495">
        <w:t>scheme</w:t>
      </w:r>
      <w:r>
        <w:t xml:space="preserve"> </w:t>
      </w:r>
      <w:r w:rsidR="00233F3D">
        <w:t>which</w:t>
      </w:r>
      <w:r w:rsidR="00A317F6">
        <w:t xml:space="preserve"> ha</w:t>
      </w:r>
      <w:r w:rsidR="00233F3D">
        <w:t>s a dedicated source of finance</w:t>
      </w:r>
      <w:r w:rsidR="00A317F6">
        <w:t xml:space="preserve"> from the EAFRD and Welsh Government, and is administered as part of the Rural Development Plan. </w:t>
      </w:r>
      <w:r>
        <w:t>As it has a dedicated source of finance there is little need, and potentially limited opportuni</w:t>
      </w:r>
      <w:r w:rsidR="00C15432">
        <w:t>ty, to seek alternative sources – increased uptake, more effective use and targeting of the existing funds is therefore the priority.</w:t>
      </w:r>
      <w:r>
        <w:t xml:space="preserve"> One area of note is the potential for combining Glastir agri-environment agreements with broader PES schemes that draw in other buyers and sellers – however whilst it is hoped that Glastir may be flexible enough to accommodate this, how this may work in practice is not yet clear. </w:t>
      </w:r>
    </w:p>
    <w:p w14:paraId="2429E71F" w14:textId="5889C17B" w:rsidR="008E4D70" w:rsidRDefault="008E4D70" w:rsidP="008E4D70">
      <w:pPr>
        <w:pStyle w:val="BodyText"/>
      </w:pPr>
      <w:r>
        <w:t xml:space="preserve">Organisations such as the Woodland Trust and RSPB are often involved in the design and implementation of Section 15 agreements, but a lack of ‘face-to-face’ advice from experts has led to problems with the environmental potential of management agreements such as Glastir. The recent consultation on reform of Glastir Agreements highlighted the need for quality support and advisory services to landowners before making applications for management agreements, highlighting the potential for environmental NGOs to play an advisory role. </w:t>
      </w:r>
    </w:p>
    <w:p w14:paraId="0814A0F1" w14:textId="7BB2CF65" w:rsidR="00CA5DCB" w:rsidRDefault="00A317F6" w:rsidP="00CB40C6">
      <w:pPr>
        <w:pStyle w:val="BodyText"/>
      </w:pPr>
      <w:r>
        <w:t xml:space="preserve">NRW </w:t>
      </w:r>
      <w:r w:rsidR="00E558A5">
        <w:t xml:space="preserve">conservation </w:t>
      </w:r>
      <w:r>
        <w:t>land-use management agreements</w:t>
      </w:r>
      <w:r w:rsidR="0082446B">
        <w:t xml:space="preserve"> are one of the most commo</w:t>
      </w:r>
      <w:r w:rsidR="00233F3D">
        <w:t xml:space="preserve">nly used management mechanisms and draw on an NRW </w:t>
      </w:r>
      <w:r w:rsidR="0082446B">
        <w:t xml:space="preserve">budget </w:t>
      </w:r>
      <w:r w:rsidR="00233F3D">
        <w:t>that provides for</w:t>
      </w:r>
      <w:r w:rsidR="0082446B">
        <w:t xml:space="preserve"> </w:t>
      </w:r>
      <w:r w:rsidR="006515B7">
        <w:t xml:space="preserve">the various types of </w:t>
      </w:r>
      <w:r w:rsidR="0082446B">
        <w:t>NRW</w:t>
      </w:r>
      <w:r w:rsidR="006515B7">
        <w:t xml:space="preserve"> conservation</w:t>
      </w:r>
      <w:r w:rsidR="0082446B">
        <w:t xml:space="preserve"> land-use management agreement</w:t>
      </w:r>
      <w:r w:rsidR="006515B7">
        <w:t>s</w:t>
      </w:r>
      <w:r w:rsidR="00CA5DCB">
        <w:t xml:space="preserve"> available</w:t>
      </w:r>
      <w:r w:rsidR="0082446B">
        <w:t>. On an annual basis the budget is in the order of £2.2million</w:t>
      </w:r>
      <w:r w:rsidR="00CB40C6">
        <w:t>, however given ongoing commitments only around 25% of this is available for new agreements</w:t>
      </w:r>
      <w:r w:rsidR="0082446B">
        <w:t>.</w:t>
      </w:r>
      <w:r w:rsidR="00B63F10">
        <w:t xml:space="preserve"> T</w:t>
      </w:r>
      <w:r w:rsidR="00CB40C6">
        <w:t xml:space="preserve">here is scope for drawing on other sources of finance in place of or in addition to the </w:t>
      </w:r>
      <w:r w:rsidR="00B63F10">
        <w:t xml:space="preserve">dedicated </w:t>
      </w:r>
      <w:r w:rsidR="00CB40C6">
        <w:t xml:space="preserve">NRW funds. </w:t>
      </w:r>
      <w:r w:rsidR="00233F3D">
        <w:t>Stakeholder interviews indicate that th</w:t>
      </w:r>
      <w:r w:rsidR="00120495">
        <w:t>e</w:t>
      </w:r>
      <w:r w:rsidR="00233F3D">
        <w:t>s</w:t>
      </w:r>
      <w:r w:rsidR="00120495">
        <w:t>e</w:t>
      </w:r>
      <w:r w:rsidR="00233F3D">
        <w:t xml:space="preserve"> are typically through other NRW administered grant schemes.</w:t>
      </w:r>
      <w:r w:rsidR="00EC7646">
        <w:t xml:space="preserve"> </w:t>
      </w:r>
    </w:p>
    <w:p w14:paraId="523076CD" w14:textId="1A6F0329" w:rsidR="00A317F6" w:rsidRDefault="00EC7646" w:rsidP="00CB40C6">
      <w:pPr>
        <w:pStyle w:val="BodyText"/>
      </w:pPr>
      <w:r>
        <w:t>Grants under the European Agricultural Fund for Rural Development are the most obvious example with regard to agri-environment and forest-environment schemes.</w:t>
      </w:r>
      <w:r w:rsidR="00233F3D">
        <w:t xml:space="preserve"> External funds</w:t>
      </w:r>
      <w:r w:rsidR="006515B7">
        <w:t xml:space="preserve"> such as LIFE and Heritage Lottery Fund</w:t>
      </w:r>
      <w:r w:rsidR="00233F3D">
        <w:t xml:space="preserve"> can be </w:t>
      </w:r>
      <w:r w:rsidR="006515B7">
        <w:t>used to fund direct management, agri-environment measures and other schemes</w:t>
      </w:r>
      <w:r>
        <w:t xml:space="preserve"> on a one-off basis but cannot usually fund ongoing management</w:t>
      </w:r>
      <w:r w:rsidR="006515B7">
        <w:t>. Other, more</w:t>
      </w:r>
      <w:r w:rsidR="00CB40C6">
        <w:t xml:space="preserve"> flexible funding sources such as business sponsorship or visitor payback schemes </w:t>
      </w:r>
      <w:r w:rsidR="00233F3D">
        <w:t>provide potential sources where they are available</w:t>
      </w:r>
      <w:r w:rsidR="00CB40C6">
        <w:t>.</w:t>
      </w:r>
      <w:r w:rsidR="00A317F6">
        <w:t xml:space="preserve"> </w:t>
      </w:r>
      <w:r w:rsidR="00C15432">
        <w:t xml:space="preserve">A key issue therefore is how to make better use of other mechanisms in order to reduce demands on the NRW budget – Glastir is a particularly relevant option in this case. </w:t>
      </w:r>
    </w:p>
    <w:p w14:paraId="2955B9C3" w14:textId="77777777" w:rsidR="00A317F6" w:rsidRPr="00CB40C6" w:rsidRDefault="00A317F6" w:rsidP="00CB40C6">
      <w:pPr>
        <w:pStyle w:val="BTBullet1Last"/>
        <w:numPr>
          <w:ilvl w:val="0"/>
          <w:numId w:val="0"/>
        </w:numPr>
        <w:ind w:left="1191" w:hanging="340"/>
        <w:rPr>
          <w:b/>
        </w:rPr>
      </w:pPr>
      <w:r w:rsidRPr="00CB40C6">
        <w:rPr>
          <w:b/>
        </w:rPr>
        <w:t>Investigation</w:t>
      </w:r>
    </w:p>
    <w:p w14:paraId="7A808C97" w14:textId="375EFB1D" w:rsidR="00A317F6" w:rsidRDefault="00A317F6" w:rsidP="00A317F6">
      <w:pPr>
        <w:pStyle w:val="BodyText"/>
      </w:pPr>
      <w:r>
        <w:t>Investigation is not strictly speaking a management</w:t>
      </w:r>
      <w:r w:rsidRPr="00AD335B">
        <w:t xml:space="preserve"> mechanism, rathe</w:t>
      </w:r>
      <w:r>
        <w:t>r it is an action that forms part of the process</w:t>
      </w:r>
      <w:r w:rsidRPr="00AD335B">
        <w:t xml:space="preserve">. </w:t>
      </w:r>
      <w:r>
        <w:t>I</w:t>
      </w:r>
      <w:r w:rsidRPr="00AD335B">
        <w:t xml:space="preserve">t is a means of gathering more information to </w:t>
      </w:r>
      <w:r>
        <w:t>identify</w:t>
      </w:r>
      <w:r w:rsidRPr="00AD335B">
        <w:t xml:space="preserve"> the problem </w:t>
      </w:r>
      <w:r>
        <w:t xml:space="preserve">(i.e. the cause of a habitat/species being in unfavourable condition) </w:t>
      </w:r>
      <w:r w:rsidRPr="00AD335B">
        <w:t>but does not address the issue directly</w:t>
      </w:r>
      <w:r>
        <w:t>.</w:t>
      </w:r>
      <w:r w:rsidR="00233F3D">
        <w:t xml:space="preserve"> It can </w:t>
      </w:r>
      <w:r w:rsidRPr="00D252F6">
        <w:t xml:space="preserve">vary from a </w:t>
      </w:r>
      <w:r w:rsidR="00233F3D">
        <w:t xml:space="preserve">quick </w:t>
      </w:r>
      <w:r w:rsidRPr="00D252F6">
        <w:t>walk</w:t>
      </w:r>
      <w:r>
        <w:t>-</w:t>
      </w:r>
      <w:r w:rsidRPr="00D252F6">
        <w:t>over site visit to a large</w:t>
      </w:r>
      <w:r w:rsidR="00233F3D">
        <w:t>-scale</w:t>
      </w:r>
      <w:r w:rsidRPr="00D252F6">
        <w:t xml:space="preserve"> project involving </w:t>
      </w:r>
      <w:r w:rsidR="005271B5">
        <w:t>field-based research</w:t>
      </w:r>
      <w:r>
        <w:t>.</w:t>
      </w:r>
      <w:r w:rsidRPr="00D252F6">
        <w:t xml:space="preserve"> Investigation is essential in certain environments such as the marine environment where there is less available data and knowledge, and freshwater and wetland environment where data is required on variables such as water chemistry, hydrology etc.</w:t>
      </w:r>
      <w:r w:rsidR="005271B5">
        <w:t xml:space="preserve"> </w:t>
      </w:r>
    </w:p>
    <w:p w14:paraId="29872ED2" w14:textId="62F32FD8" w:rsidR="00082CFB" w:rsidRDefault="005271B5" w:rsidP="00A317F6">
      <w:pPr>
        <w:pStyle w:val="BodyText"/>
      </w:pPr>
      <w:r>
        <w:t xml:space="preserve">Opportunities for funding small scale, stand-alone investigations are relatively limited, and the most flexible funding sources are likely to be the most relevant. In order to access a broader set of funding opportunities it is appropriate to consider investigation as a sub-set of broader actions. </w:t>
      </w:r>
      <w:r w:rsidR="00CA5DCB">
        <w:t>Further, it may be feasible to bundle investigations together in order to address priorities and issues at a wider scale, which may increase the</w:t>
      </w:r>
      <w:r w:rsidR="005E6348">
        <w:t>ir</w:t>
      </w:r>
      <w:r w:rsidR="00CA5DCB">
        <w:t xml:space="preserve"> relevance to larger funds such as Horizon 2020.</w:t>
      </w:r>
    </w:p>
    <w:p w14:paraId="309E76C4" w14:textId="3BEC3C64" w:rsidR="00A317F6" w:rsidRDefault="005271B5" w:rsidP="00A317F6">
      <w:pPr>
        <w:pStyle w:val="BodyText"/>
      </w:pPr>
      <w:r>
        <w:t>In particular as applied elements of broader research programmes, as part of management plan development and review, as part of the data and investigation needs of other sector plans, or as part of the feasibility / start-up tasks of other management mechanisms / funding approaches such as PES. There are a number of large-scale investigations / research needs identified in the PAF which offer up such opportunities</w:t>
      </w:r>
      <w:r w:rsidR="00A317F6" w:rsidRPr="00D252F6">
        <w:t xml:space="preserve"> e.g. coastal defences and the impact on </w:t>
      </w:r>
      <w:r w:rsidR="00A317F6">
        <w:t>Natura 2000</w:t>
      </w:r>
      <w:r w:rsidR="00A317F6" w:rsidRPr="00D252F6">
        <w:t xml:space="preserve"> features, hydrology of wetland sites, non-native species including pathways for spread, water quality standards for some chemicals, ecosystem resilience, adaptation to climate change, and </w:t>
      </w:r>
      <w:r w:rsidR="00542962">
        <w:t>in-combination effects of discharges or developments.</w:t>
      </w:r>
      <w:r w:rsidR="00A317F6">
        <w:t xml:space="preserve"> </w:t>
      </w:r>
    </w:p>
    <w:p w14:paraId="529D74D9" w14:textId="7D9883DE" w:rsidR="00CB40C6" w:rsidRDefault="00CB40C6" w:rsidP="00082CFB">
      <w:pPr>
        <w:pStyle w:val="BodyText"/>
        <w:keepNext/>
        <w:rPr>
          <w:b/>
        </w:rPr>
      </w:pPr>
      <w:r>
        <w:rPr>
          <w:b/>
        </w:rPr>
        <w:t>New mechanisms that are also funding sources</w:t>
      </w:r>
    </w:p>
    <w:p w14:paraId="4E714311" w14:textId="45583D7B" w:rsidR="005271B5" w:rsidRPr="005271B5" w:rsidRDefault="005271B5" w:rsidP="00082CFB">
      <w:pPr>
        <w:pStyle w:val="BodyText"/>
        <w:keepNext/>
      </w:pPr>
      <w:r w:rsidRPr="005271B5">
        <w:t>A number of new management mechanisms are also considered to be funding sources.</w:t>
      </w:r>
      <w:r>
        <w:t xml:space="preserve"> For example, both marketed products and PES schemes can be used to directly deliver management actions, but can also be used as mechanisms to generate finance. Such mechanisms, when they are well set up, should be self-funding over the medium</w:t>
      </w:r>
      <w:r w:rsidR="00120495">
        <w:t>-to</w:t>
      </w:r>
      <w:r>
        <w:t xml:space="preserve">-long term. However </w:t>
      </w:r>
      <w:r w:rsidR="00120495">
        <w:t xml:space="preserve">they </w:t>
      </w:r>
      <w:r>
        <w:t>can entail high start-up costs</w:t>
      </w:r>
      <w:r w:rsidR="005A7774">
        <w:t xml:space="preserve">. These may be met by the mechanism beneficiaries, however in many cases </w:t>
      </w:r>
      <w:r>
        <w:t xml:space="preserve">other sources can be accessed. </w:t>
      </w:r>
      <w:r w:rsidR="005A7774">
        <w:t>Most notably the EAFRD (via the RDP), and also the EMFF and private/charitable/lottery grants can be applicable for such purposes where the type or focus of the mechanisms aligns with the fund</w:t>
      </w:r>
      <w:r w:rsidR="00120495">
        <w:t>’</w:t>
      </w:r>
      <w:r w:rsidR="005A7774">
        <w:t xml:space="preserve">s objectives. </w:t>
      </w:r>
    </w:p>
    <w:p w14:paraId="1B4F9F3C" w14:textId="05972606" w:rsidR="00D307DB" w:rsidRDefault="00D307DB" w:rsidP="00CA1444">
      <w:pPr>
        <w:pStyle w:val="Heading1"/>
      </w:pPr>
      <w:bookmarkStart w:id="225" w:name="_Toc408850992"/>
      <w:bookmarkStart w:id="226" w:name="_Toc421880668"/>
      <w:r>
        <w:t>Opportunities, Limitations and Actions for Enhancing use of Funding Sources</w:t>
      </w:r>
      <w:bookmarkEnd w:id="225"/>
      <w:bookmarkEnd w:id="226"/>
    </w:p>
    <w:p w14:paraId="24F9C320" w14:textId="2B0C7941" w:rsidR="00643A19" w:rsidRDefault="00643A19" w:rsidP="00D307DB">
      <w:pPr>
        <w:pStyle w:val="Heading2"/>
      </w:pPr>
      <w:bookmarkStart w:id="227" w:name="_Toc408850993"/>
      <w:bookmarkStart w:id="228" w:name="_Toc421880669"/>
      <w:r>
        <w:t>An assessment of the scope for enhanced use</w:t>
      </w:r>
      <w:bookmarkEnd w:id="218"/>
      <w:bookmarkEnd w:id="219"/>
      <w:r w:rsidR="00CA1444">
        <w:t xml:space="preserve"> of funding sources</w:t>
      </w:r>
      <w:bookmarkEnd w:id="227"/>
      <w:bookmarkEnd w:id="228"/>
    </w:p>
    <w:p w14:paraId="4D3DB602" w14:textId="29188C6C" w:rsidR="00FC1E29" w:rsidRDefault="00FC1E29" w:rsidP="00643A19">
      <w:pPr>
        <w:pStyle w:val="BodyText"/>
      </w:pPr>
      <w:r>
        <w:t xml:space="preserve">Building on the </w:t>
      </w:r>
      <w:r w:rsidR="009074FE">
        <w:t>review work</w:t>
      </w:r>
      <w:r>
        <w:t xml:space="preserve"> presented in Section 3</w:t>
      </w:r>
      <w:r w:rsidR="009074FE">
        <w:t xml:space="preserve"> and detailed information presented in the Annexes</w:t>
      </w:r>
      <w:r>
        <w:t xml:space="preserve">, this section </w:t>
      </w:r>
      <w:r w:rsidR="009074FE">
        <w:t>provides a</w:t>
      </w:r>
      <w:r w:rsidR="00643A19">
        <w:t xml:space="preserve"> </w:t>
      </w:r>
      <w:r>
        <w:t xml:space="preserve">summary </w:t>
      </w:r>
      <w:r w:rsidR="00643A19">
        <w:t>assessment of the scope for enhanced use of a range of funding sources for Natura 2000 management</w:t>
      </w:r>
      <w:r>
        <w:t xml:space="preserve"> in Wales. The assessment framework </w:t>
      </w:r>
      <w:r w:rsidR="008A2426">
        <w:t>is based on the following criteria</w:t>
      </w:r>
      <w:r>
        <w:t>:</w:t>
      </w:r>
    </w:p>
    <w:p w14:paraId="2A5CD2D6" w14:textId="4C5C218F" w:rsidR="00BD2D57" w:rsidRPr="00FC1E29" w:rsidRDefault="00BD2D57" w:rsidP="00BD2D57">
      <w:pPr>
        <w:pStyle w:val="BTBullet1Last"/>
        <w:numPr>
          <w:ilvl w:val="0"/>
          <w:numId w:val="37"/>
        </w:numPr>
      </w:pPr>
      <w:r w:rsidRPr="00D31FB1">
        <w:rPr>
          <w:b/>
        </w:rPr>
        <w:t>Current use</w:t>
      </w:r>
      <w:r w:rsidRPr="00FC1E29">
        <w:t xml:space="preserve">: </w:t>
      </w:r>
      <w:r>
        <w:t>the scale and extent of funds currently used for Natura 2000</w:t>
      </w:r>
      <w:r w:rsidR="007915C1">
        <w:t>.</w:t>
      </w:r>
      <w:r w:rsidRPr="00FC1E29">
        <w:rPr>
          <w:shd w:val="clear" w:color="auto" w:fill="FF0000"/>
        </w:rPr>
        <w:t xml:space="preserve"> </w:t>
      </w:r>
    </w:p>
    <w:p w14:paraId="46113282" w14:textId="05805068" w:rsidR="00BD2D57" w:rsidRDefault="00BD2D57" w:rsidP="00BD2D57">
      <w:pPr>
        <w:pStyle w:val="BTBullet1Last"/>
        <w:numPr>
          <w:ilvl w:val="0"/>
          <w:numId w:val="37"/>
        </w:numPr>
      </w:pPr>
      <w:r w:rsidRPr="00D31FB1">
        <w:rPr>
          <w:b/>
        </w:rPr>
        <w:t>Size of fund:</w:t>
      </w:r>
      <w:r>
        <w:t xml:space="preserve"> the overall size of the funding source</w:t>
      </w:r>
      <w:r w:rsidR="007915C1">
        <w:t>.</w:t>
      </w:r>
    </w:p>
    <w:p w14:paraId="1CCB8C1B" w14:textId="26995703" w:rsidR="00BD2D57" w:rsidRDefault="00BD2D57" w:rsidP="00BD2D57">
      <w:pPr>
        <w:pStyle w:val="BTBullet1Last"/>
        <w:numPr>
          <w:ilvl w:val="0"/>
          <w:numId w:val="37"/>
        </w:numPr>
      </w:pPr>
      <w:r w:rsidRPr="00D31FB1">
        <w:rPr>
          <w:b/>
        </w:rPr>
        <w:t>Actions supported</w:t>
      </w:r>
      <w:r>
        <w:t>: the management actions supported, with a consideration of both the total number of action types potentially supported, and whether these match the expected focus of the funding needs</w:t>
      </w:r>
      <w:r w:rsidR="007915C1">
        <w:t>.</w:t>
      </w:r>
    </w:p>
    <w:p w14:paraId="47CAAA58" w14:textId="4E98B766" w:rsidR="00BD2D57" w:rsidRDefault="00F37492" w:rsidP="00BD2D57">
      <w:pPr>
        <w:pStyle w:val="BTBullet1Last"/>
        <w:numPr>
          <w:ilvl w:val="0"/>
          <w:numId w:val="37"/>
        </w:numPr>
      </w:pPr>
      <w:r w:rsidRPr="00D31FB1">
        <w:rPr>
          <w:b/>
        </w:rPr>
        <w:t>Flexibility</w:t>
      </w:r>
      <w:r w:rsidR="00BD2D57">
        <w:t>: extent to which the</w:t>
      </w:r>
      <w:r>
        <w:t xml:space="preserve"> funding source can be used flexib</w:t>
      </w:r>
      <w:r w:rsidR="008A2426">
        <w:t>l</w:t>
      </w:r>
      <w:r>
        <w:t xml:space="preserve">y </w:t>
      </w:r>
      <w:r w:rsidR="007D772D">
        <w:t>in relation to different sector</w:t>
      </w:r>
      <w:r w:rsidR="008A2426">
        <w:t>s</w:t>
      </w:r>
      <w:r w:rsidR="007D772D">
        <w:t xml:space="preserve"> or land-uses</w:t>
      </w:r>
      <w:r w:rsidR="00BD2D57">
        <w:t>.</w:t>
      </w:r>
      <w:r w:rsidR="008A2426">
        <w:t xml:space="preserve">  Flexibility depends on the scope of objectives of the funding source, stringency of the eligibility criteria (e.g. restrictions on types of beneficiaries, sectors or activities) and structure of funding (capital and/or recurrent).</w:t>
      </w:r>
    </w:p>
    <w:p w14:paraId="44F5D732" w14:textId="77777777" w:rsidR="00BD2D57" w:rsidRDefault="00BD2D57" w:rsidP="00BD2D57">
      <w:pPr>
        <w:pStyle w:val="BTBullet1Last"/>
        <w:numPr>
          <w:ilvl w:val="0"/>
          <w:numId w:val="37"/>
        </w:numPr>
      </w:pPr>
      <w:r w:rsidRPr="00D31FB1">
        <w:rPr>
          <w:b/>
        </w:rPr>
        <w:t>Scope for increased/enhanced use</w:t>
      </w:r>
      <w:r>
        <w:t>: a consideration of the scope for increasing or enhancing use of the funding source for Natura 2000 management.</w:t>
      </w:r>
    </w:p>
    <w:p w14:paraId="0C46E7BB" w14:textId="24BFA93B" w:rsidR="00BD2D57" w:rsidRDefault="00BD2D57" w:rsidP="00BD2D57">
      <w:pPr>
        <w:pStyle w:val="BodyText"/>
      </w:pPr>
      <w:r>
        <w:t xml:space="preserve">Each of the criteria is assessed qualitatively using a simple three-point scoring system of low, medium and high, which are colour coded red, yellow and green respectively, </w:t>
      </w:r>
      <w:r w:rsidR="00402C19">
        <w:t>with</w:t>
      </w:r>
      <w:r>
        <w:t xml:space="preserve"> high/green being the best score.</w:t>
      </w:r>
    </w:p>
    <w:p w14:paraId="173499C6" w14:textId="049B30CD" w:rsidR="00BD2D57" w:rsidRDefault="00BD2D57" w:rsidP="00BD2D57">
      <w:pPr>
        <w:pStyle w:val="BodyText"/>
      </w:pPr>
      <w:r>
        <w:t xml:space="preserve">Table </w:t>
      </w:r>
      <w:r w:rsidR="009074FE">
        <w:t>4.1</w:t>
      </w:r>
      <w:r>
        <w:t xml:space="preserve"> presents the outputs of the summary assessment and </w:t>
      </w:r>
      <w:r w:rsidR="005A7774">
        <w:t xml:space="preserve">the remainder of the section </w:t>
      </w:r>
      <w:r>
        <w:t>draw</w:t>
      </w:r>
      <w:r w:rsidR="005A7774">
        <w:t>s</w:t>
      </w:r>
      <w:r>
        <w:t xml:space="preserve"> out some of the key opportunities for each broad funding type and along with some of the main limitations and actions which could enhance or </w:t>
      </w:r>
      <w:r w:rsidR="007D772D">
        <w:t>increase uptake for Natura 2000, which are discussed in further detail in the rel</w:t>
      </w:r>
      <w:r w:rsidR="00B30049">
        <w:t xml:space="preserve">evant sections of </w:t>
      </w:r>
      <w:r w:rsidR="009074FE">
        <w:t>the Annexes</w:t>
      </w:r>
      <w:r w:rsidR="005A7774">
        <w:t xml:space="preserve"> and companion Excel spreadsheet</w:t>
      </w:r>
      <w:r w:rsidR="007D772D">
        <w:t>.</w:t>
      </w:r>
    </w:p>
    <w:p w14:paraId="0FA3895B" w14:textId="77777777" w:rsidR="00643A19" w:rsidRDefault="00643A19" w:rsidP="00643A19">
      <w:pPr>
        <w:pStyle w:val="BTBullet1Last"/>
        <w:numPr>
          <w:ilvl w:val="0"/>
          <w:numId w:val="0"/>
        </w:numPr>
        <w:ind w:left="1191" w:hanging="340"/>
        <w:sectPr w:rsidR="00643A19" w:rsidSect="009074FE">
          <w:headerReference w:type="even" r:id="rId48"/>
          <w:headerReference w:type="default" r:id="rId49"/>
          <w:footerReference w:type="even" r:id="rId50"/>
          <w:footerReference w:type="default" r:id="rId51"/>
          <w:pgSz w:w="11907" w:h="16840" w:code="9"/>
          <w:pgMar w:top="1871" w:right="1418" w:bottom="1021" w:left="1418" w:header="680" w:footer="454" w:gutter="0"/>
          <w:cols w:space="708"/>
          <w:docGrid w:linePitch="360"/>
        </w:sectPr>
      </w:pPr>
    </w:p>
    <w:p w14:paraId="2DE78DB1" w14:textId="77777777" w:rsidR="00643A19" w:rsidRDefault="00643A19" w:rsidP="00BD2D57">
      <w:pPr>
        <w:pStyle w:val="Table"/>
      </w:pPr>
      <w:bookmarkStart w:id="229" w:name="_Toc407942731"/>
      <w:bookmarkStart w:id="230" w:name="_Toc408094127"/>
      <w:bookmarkStart w:id="231" w:name="_Toc408851111"/>
      <w:r>
        <w:t>Overview of scale and scope of funding sources</w:t>
      </w:r>
      <w:bookmarkEnd w:id="229"/>
      <w:bookmarkEnd w:id="230"/>
      <w:bookmarkEnd w:id="231"/>
      <w:r>
        <w:t xml:space="preserve"> </w:t>
      </w:r>
    </w:p>
    <w:tbl>
      <w:tblPr>
        <w:tblW w:w="5000" w:type="pct"/>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CellMar>
          <w:top w:w="57" w:type="dxa"/>
          <w:left w:w="0" w:type="dxa"/>
          <w:bottom w:w="28" w:type="dxa"/>
          <w:right w:w="0" w:type="dxa"/>
        </w:tblCellMar>
        <w:tblLook w:val="0000" w:firstRow="0" w:lastRow="0" w:firstColumn="0" w:lastColumn="0" w:noHBand="0" w:noVBand="0"/>
      </w:tblPr>
      <w:tblGrid>
        <w:gridCol w:w="2126"/>
        <w:gridCol w:w="2375"/>
        <w:gridCol w:w="2374"/>
        <w:gridCol w:w="2374"/>
        <w:gridCol w:w="2374"/>
        <w:gridCol w:w="2377"/>
      </w:tblGrid>
      <w:tr w:rsidR="00643A19" w14:paraId="67B2C368" w14:textId="77777777" w:rsidTr="00370860">
        <w:trPr>
          <w:cantSplit/>
          <w:tblHeader/>
        </w:trPr>
        <w:tc>
          <w:tcPr>
            <w:tcW w:w="759" w:type="pct"/>
            <w:shd w:val="clear" w:color="auto" w:fill="auto"/>
          </w:tcPr>
          <w:p w14:paraId="273397DE" w14:textId="77777777" w:rsidR="00643A19" w:rsidRPr="0010277E" w:rsidRDefault="00643A19" w:rsidP="00772C3C">
            <w:pPr>
              <w:pStyle w:val="TableHeading"/>
              <w:rPr>
                <w:b/>
              </w:rPr>
            </w:pPr>
            <w:r w:rsidRPr="0010277E">
              <w:rPr>
                <w:b/>
              </w:rPr>
              <w:t>Funding source</w:t>
            </w:r>
          </w:p>
        </w:tc>
        <w:tc>
          <w:tcPr>
            <w:tcW w:w="848" w:type="pct"/>
            <w:tcBorders>
              <w:right w:val="single" w:sz="2" w:space="0" w:color="FFFFFF"/>
            </w:tcBorders>
            <w:shd w:val="solid" w:color="0067AB" w:fill="0067AB"/>
          </w:tcPr>
          <w:p w14:paraId="0155EDF4" w14:textId="77777777" w:rsidR="00643A19" w:rsidRDefault="00643A19" w:rsidP="00772C3C">
            <w:pPr>
              <w:pStyle w:val="TableHeadingWhite"/>
              <w:tabs>
                <w:tab w:val="left" w:pos="2310"/>
              </w:tabs>
            </w:pPr>
            <w:r>
              <w:t xml:space="preserve">Current scale of use </w:t>
            </w:r>
            <w:r>
              <w:tab/>
            </w:r>
          </w:p>
        </w:tc>
        <w:tc>
          <w:tcPr>
            <w:tcW w:w="848" w:type="pct"/>
            <w:tcBorders>
              <w:left w:val="single" w:sz="2" w:space="0" w:color="FFFFFF"/>
              <w:right w:val="single" w:sz="2" w:space="0" w:color="FFFFFF"/>
            </w:tcBorders>
            <w:shd w:val="solid" w:color="0067AB" w:fill="0067AB"/>
          </w:tcPr>
          <w:p w14:paraId="589655FF" w14:textId="77777777" w:rsidR="00643A19" w:rsidRDefault="00643A19" w:rsidP="00C15432">
            <w:pPr>
              <w:pStyle w:val="TableHeadingWhite"/>
              <w:jc w:val="left"/>
            </w:pPr>
            <w:r>
              <w:t xml:space="preserve">Size of fund </w:t>
            </w:r>
          </w:p>
        </w:tc>
        <w:tc>
          <w:tcPr>
            <w:tcW w:w="848" w:type="pct"/>
            <w:tcBorders>
              <w:left w:val="single" w:sz="2" w:space="0" w:color="FFFFFF"/>
            </w:tcBorders>
            <w:shd w:val="solid" w:color="0067AB" w:fill="0067AB"/>
          </w:tcPr>
          <w:p w14:paraId="1A6E05DC" w14:textId="1051EB96" w:rsidR="00643A19" w:rsidRDefault="002163F8" w:rsidP="00082CFB">
            <w:pPr>
              <w:pStyle w:val="TableHeadingWhite"/>
              <w:jc w:val="left"/>
            </w:pPr>
            <w:r>
              <w:t xml:space="preserve">Management actions </w:t>
            </w:r>
            <w:r w:rsidR="00643A19">
              <w:t xml:space="preserve">supported </w:t>
            </w:r>
          </w:p>
        </w:tc>
        <w:tc>
          <w:tcPr>
            <w:tcW w:w="848" w:type="pct"/>
            <w:tcBorders>
              <w:left w:val="single" w:sz="2" w:space="0" w:color="FFFFFF"/>
            </w:tcBorders>
            <w:shd w:val="solid" w:color="0067AB" w:fill="0067AB"/>
          </w:tcPr>
          <w:p w14:paraId="09E38F48" w14:textId="1F51F641" w:rsidR="00643A19" w:rsidRDefault="00B96E61" w:rsidP="00B96E61">
            <w:pPr>
              <w:pStyle w:val="TableHeadingWhite"/>
            </w:pPr>
            <w:r>
              <w:t>Flexibility (e.g. habitats or sectors applicable)</w:t>
            </w:r>
          </w:p>
        </w:tc>
        <w:tc>
          <w:tcPr>
            <w:tcW w:w="849" w:type="pct"/>
            <w:tcBorders>
              <w:left w:val="single" w:sz="2" w:space="0" w:color="FFFFFF"/>
            </w:tcBorders>
            <w:shd w:val="solid" w:color="0067AB" w:fill="0067AB"/>
          </w:tcPr>
          <w:p w14:paraId="79FC8622" w14:textId="43F639F0" w:rsidR="00643A19" w:rsidRDefault="00643A19" w:rsidP="00EA15A4">
            <w:pPr>
              <w:pStyle w:val="TableHeadingWhite"/>
            </w:pPr>
            <w:r>
              <w:t xml:space="preserve">Scope for </w:t>
            </w:r>
            <w:r w:rsidR="00EA15A4">
              <w:t>increased / enhanced use</w:t>
            </w:r>
          </w:p>
        </w:tc>
      </w:tr>
      <w:tr w:rsidR="00366762" w14:paraId="3662AA70" w14:textId="77777777" w:rsidTr="00370860">
        <w:tc>
          <w:tcPr>
            <w:tcW w:w="5000" w:type="pct"/>
            <w:gridSpan w:val="6"/>
            <w:shd w:val="clear" w:color="auto" w:fill="F2F2F2" w:themeFill="background1" w:themeFillShade="F2"/>
          </w:tcPr>
          <w:p w14:paraId="74608887" w14:textId="2727960F" w:rsidR="00366762" w:rsidRPr="00370860" w:rsidRDefault="00366762" w:rsidP="00772C3C">
            <w:pPr>
              <w:pStyle w:val="TableTextNoSpace"/>
              <w:rPr>
                <w:rFonts w:asciiTheme="minorHAnsi" w:hAnsiTheme="minorHAnsi"/>
                <w:b/>
                <w:szCs w:val="20"/>
              </w:rPr>
            </w:pPr>
            <w:r w:rsidRPr="00370860">
              <w:rPr>
                <w:rFonts w:asciiTheme="minorHAnsi" w:hAnsiTheme="minorHAnsi"/>
                <w:b/>
                <w:szCs w:val="20"/>
              </w:rPr>
              <w:t xml:space="preserve">NRW </w:t>
            </w:r>
          </w:p>
        </w:tc>
      </w:tr>
      <w:tr w:rsidR="00F7193C" w14:paraId="0C61C999" w14:textId="77777777" w:rsidTr="00370860">
        <w:tc>
          <w:tcPr>
            <w:tcW w:w="759" w:type="pct"/>
            <w:shd w:val="clear" w:color="auto" w:fill="auto"/>
          </w:tcPr>
          <w:p w14:paraId="02316D39" w14:textId="77777777" w:rsidR="00F7193C" w:rsidRPr="00370860" w:rsidRDefault="00F7193C" w:rsidP="00370860">
            <w:pPr>
              <w:pStyle w:val="TableTextNoSpace"/>
              <w:jc w:val="left"/>
              <w:rPr>
                <w:rFonts w:asciiTheme="minorHAnsi" w:hAnsiTheme="minorHAnsi" w:cs="Arial"/>
                <w:szCs w:val="20"/>
              </w:rPr>
            </w:pPr>
            <w:r w:rsidRPr="00370860">
              <w:rPr>
                <w:rFonts w:asciiTheme="minorHAnsi" w:hAnsiTheme="minorHAnsi" w:cs="Arial"/>
                <w:szCs w:val="20"/>
              </w:rPr>
              <w:t xml:space="preserve">NRW core funding </w:t>
            </w:r>
          </w:p>
        </w:tc>
        <w:tc>
          <w:tcPr>
            <w:tcW w:w="848" w:type="pct"/>
            <w:shd w:val="clear" w:color="auto" w:fill="auto"/>
          </w:tcPr>
          <w:p w14:paraId="3D37D1B7" w14:textId="61E9B4D2" w:rsidR="00F7193C" w:rsidRPr="00370860" w:rsidRDefault="00F7193C" w:rsidP="00370860">
            <w:pPr>
              <w:pStyle w:val="TableTextNoSpace"/>
              <w:jc w:val="left"/>
              <w:rPr>
                <w:rFonts w:asciiTheme="minorHAnsi" w:hAnsiTheme="minorHAnsi" w:cs="Arial"/>
                <w:szCs w:val="20"/>
              </w:rPr>
            </w:pPr>
            <w:r w:rsidRPr="00370860">
              <w:rPr>
                <w:rFonts w:asciiTheme="minorHAnsi" w:hAnsiTheme="minorHAnsi" w:cs="Arial"/>
                <w:b/>
                <w:szCs w:val="20"/>
                <w:highlight w:val="green"/>
              </w:rPr>
              <w:t>High</w:t>
            </w:r>
            <w:r w:rsidRPr="00370860">
              <w:rPr>
                <w:rFonts w:asciiTheme="minorHAnsi" w:hAnsiTheme="minorHAnsi" w:cs="Arial"/>
                <w:b/>
                <w:szCs w:val="20"/>
              </w:rPr>
              <w:t xml:space="preserve">: </w:t>
            </w:r>
            <w:r w:rsidR="00684BB6" w:rsidRPr="00370860">
              <w:rPr>
                <w:rFonts w:asciiTheme="minorHAnsi" w:hAnsiTheme="minorHAnsi" w:cs="Arial"/>
                <w:szCs w:val="20"/>
              </w:rPr>
              <w:t>Main dedicated</w:t>
            </w:r>
            <w:r w:rsidR="00684BB6" w:rsidRPr="00370860">
              <w:rPr>
                <w:rFonts w:asciiTheme="minorHAnsi" w:hAnsiTheme="minorHAnsi" w:cs="Arial"/>
                <w:b/>
                <w:szCs w:val="20"/>
              </w:rPr>
              <w:t xml:space="preserve"> </w:t>
            </w:r>
            <w:r w:rsidRPr="00370860">
              <w:rPr>
                <w:rFonts w:asciiTheme="minorHAnsi" w:hAnsiTheme="minorHAnsi" w:cs="Arial"/>
                <w:szCs w:val="20"/>
              </w:rPr>
              <w:t>source of N</w:t>
            </w:r>
            <w:r w:rsidR="00243223">
              <w:rPr>
                <w:rFonts w:asciiTheme="minorHAnsi" w:hAnsiTheme="minorHAnsi" w:cs="Arial"/>
                <w:szCs w:val="20"/>
              </w:rPr>
              <w:t>2K</w:t>
            </w:r>
            <w:r w:rsidRPr="00370860">
              <w:rPr>
                <w:rFonts w:asciiTheme="minorHAnsi" w:hAnsiTheme="minorHAnsi" w:cs="Arial"/>
                <w:szCs w:val="20"/>
              </w:rPr>
              <w:t xml:space="preserve"> funding in Wales – the scale of overall funds is reviewed on an annual basis </w:t>
            </w:r>
          </w:p>
        </w:tc>
        <w:tc>
          <w:tcPr>
            <w:tcW w:w="848" w:type="pct"/>
            <w:shd w:val="clear" w:color="auto" w:fill="auto"/>
          </w:tcPr>
          <w:p w14:paraId="21752131" w14:textId="15CB4F4E" w:rsidR="00F7193C" w:rsidRPr="00370860" w:rsidRDefault="00F7193C" w:rsidP="00B63F10">
            <w:pPr>
              <w:pStyle w:val="TableTextNoSpace"/>
              <w:jc w:val="left"/>
              <w:rPr>
                <w:rFonts w:asciiTheme="minorHAnsi" w:hAnsiTheme="minorHAnsi" w:cs="Arial"/>
                <w:szCs w:val="20"/>
              </w:rPr>
            </w:pPr>
            <w:r w:rsidRPr="00370860">
              <w:rPr>
                <w:rFonts w:asciiTheme="minorHAnsi" w:hAnsiTheme="minorHAnsi" w:cs="Arial"/>
                <w:b/>
                <w:szCs w:val="20"/>
                <w:highlight w:val="green"/>
              </w:rPr>
              <w:t>High</w:t>
            </w:r>
            <w:r w:rsidRPr="00370860">
              <w:rPr>
                <w:rFonts w:asciiTheme="minorHAnsi" w:hAnsiTheme="minorHAnsi" w:cs="Arial"/>
                <w:b/>
                <w:szCs w:val="20"/>
              </w:rPr>
              <w:t xml:space="preserve">: </w:t>
            </w:r>
            <w:r w:rsidRPr="00370860">
              <w:rPr>
                <w:rFonts w:asciiTheme="minorHAnsi" w:hAnsiTheme="minorHAnsi" w:cs="Arial"/>
                <w:szCs w:val="20"/>
              </w:rPr>
              <w:t>NRW currently has an annual budget of £175m, a subset of which is directed towards N</w:t>
            </w:r>
            <w:r w:rsidR="00243223">
              <w:rPr>
                <w:rFonts w:asciiTheme="minorHAnsi" w:hAnsiTheme="minorHAnsi" w:cs="Arial"/>
                <w:szCs w:val="20"/>
              </w:rPr>
              <w:t>2K</w:t>
            </w:r>
            <w:r w:rsidR="00C15432">
              <w:rPr>
                <w:rFonts w:asciiTheme="minorHAnsi" w:hAnsiTheme="minorHAnsi" w:cs="Arial"/>
                <w:szCs w:val="20"/>
              </w:rPr>
              <w:t>. For example an annual budget of approx. £2.2m is set aside for funding NRW management agreements</w:t>
            </w:r>
          </w:p>
        </w:tc>
        <w:tc>
          <w:tcPr>
            <w:tcW w:w="848" w:type="pct"/>
            <w:shd w:val="clear" w:color="auto" w:fill="auto"/>
          </w:tcPr>
          <w:p w14:paraId="258718C3" w14:textId="70C0FC30" w:rsidR="00F7193C" w:rsidRPr="00370860" w:rsidRDefault="00F7193C" w:rsidP="00370860">
            <w:pPr>
              <w:pStyle w:val="TableBullet"/>
              <w:numPr>
                <w:ilvl w:val="0"/>
                <w:numId w:val="0"/>
              </w:numPr>
              <w:ind w:left="397" w:hanging="340"/>
              <w:jc w:val="left"/>
              <w:rPr>
                <w:rFonts w:asciiTheme="minorHAnsi" w:hAnsiTheme="minorHAnsi" w:cs="Arial"/>
                <w:szCs w:val="20"/>
              </w:rPr>
            </w:pPr>
            <w:r w:rsidRPr="00370860">
              <w:rPr>
                <w:rFonts w:asciiTheme="minorHAnsi" w:hAnsiTheme="minorHAnsi" w:cs="Arial"/>
                <w:b/>
                <w:szCs w:val="20"/>
                <w:highlight w:val="green"/>
              </w:rPr>
              <w:t>High</w:t>
            </w:r>
            <w:r w:rsidRPr="00370860">
              <w:rPr>
                <w:rFonts w:asciiTheme="minorHAnsi" w:hAnsiTheme="minorHAnsi" w:cs="Arial"/>
                <w:b/>
                <w:szCs w:val="20"/>
              </w:rPr>
              <w:t xml:space="preserve">: </w:t>
            </w:r>
            <w:r w:rsidRPr="00370860">
              <w:rPr>
                <w:rFonts w:asciiTheme="minorHAnsi" w:hAnsiTheme="minorHAnsi" w:cs="Arial"/>
                <w:szCs w:val="20"/>
              </w:rPr>
              <w:t>All management actions</w:t>
            </w:r>
          </w:p>
        </w:tc>
        <w:tc>
          <w:tcPr>
            <w:tcW w:w="848" w:type="pct"/>
            <w:shd w:val="clear" w:color="auto" w:fill="auto"/>
          </w:tcPr>
          <w:p w14:paraId="4ACDC103" w14:textId="22AC7385" w:rsidR="00F7193C" w:rsidRPr="00370860" w:rsidRDefault="00F7193C" w:rsidP="00370860">
            <w:pPr>
              <w:pStyle w:val="TableTextNoSpace"/>
              <w:jc w:val="left"/>
              <w:rPr>
                <w:rFonts w:asciiTheme="minorHAnsi" w:hAnsiTheme="minorHAnsi" w:cs="Arial"/>
                <w:szCs w:val="20"/>
              </w:rPr>
            </w:pPr>
            <w:r w:rsidRPr="00370860">
              <w:rPr>
                <w:rFonts w:asciiTheme="minorHAnsi" w:hAnsiTheme="minorHAnsi" w:cs="Arial"/>
                <w:b/>
                <w:szCs w:val="20"/>
                <w:highlight w:val="green"/>
              </w:rPr>
              <w:t>High</w:t>
            </w:r>
            <w:r w:rsidRPr="00370860">
              <w:rPr>
                <w:rFonts w:asciiTheme="minorHAnsi" w:hAnsiTheme="minorHAnsi" w:cs="Arial"/>
                <w:b/>
                <w:szCs w:val="20"/>
              </w:rPr>
              <w:t xml:space="preserve">: </w:t>
            </w:r>
            <w:r w:rsidR="00B96E61" w:rsidRPr="00370860">
              <w:rPr>
                <w:rFonts w:asciiTheme="minorHAnsi" w:hAnsiTheme="minorHAnsi" w:cs="Arial"/>
                <w:szCs w:val="20"/>
              </w:rPr>
              <w:t xml:space="preserve">No major restrictions </w:t>
            </w:r>
          </w:p>
        </w:tc>
        <w:tc>
          <w:tcPr>
            <w:tcW w:w="849" w:type="pct"/>
            <w:shd w:val="clear" w:color="auto" w:fill="auto"/>
          </w:tcPr>
          <w:p w14:paraId="52727791" w14:textId="71A72CB2" w:rsidR="00F7193C" w:rsidRPr="00370860" w:rsidRDefault="00000791" w:rsidP="00370860">
            <w:pPr>
              <w:pStyle w:val="TableTextNoSpace"/>
              <w:jc w:val="left"/>
              <w:rPr>
                <w:rFonts w:asciiTheme="minorHAnsi" w:hAnsiTheme="minorHAnsi" w:cs="Arial"/>
                <w:szCs w:val="20"/>
              </w:rPr>
            </w:pPr>
            <w:r w:rsidRPr="00370860">
              <w:rPr>
                <w:rFonts w:asciiTheme="minorHAnsi" w:hAnsiTheme="minorHAnsi"/>
                <w:b/>
                <w:szCs w:val="20"/>
                <w:highlight w:val="yellow"/>
              </w:rPr>
              <w:t>Mod</w:t>
            </w:r>
            <w:r w:rsidR="00F7193C" w:rsidRPr="00370860">
              <w:rPr>
                <w:rFonts w:asciiTheme="minorHAnsi" w:hAnsiTheme="minorHAnsi" w:cs="Arial"/>
                <w:b/>
                <w:szCs w:val="20"/>
              </w:rPr>
              <w:t>:</w:t>
            </w:r>
            <w:r w:rsidR="00F7193C" w:rsidRPr="00370860">
              <w:rPr>
                <w:rFonts w:asciiTheme="minorHAnsi" w:hAnsiTheme="minorHAnsi" w:cs="Arial"/>
                <w:szCs w:val="20"/>
              </w:rPr>
              <w:t xml:space="preserve"> </w:t>
            </w:r>
            <w:r w:rsidR="00684BB6" w:rsidRPr="00370860">
              <w:rPr>
                <w:rFonts w:asciiTheme="minorHAnsi" w:hAnsiTheme="minorHAnsi" w:cs="Arial"/>
                <w:szCs w:val="20"/>
              </w:rPr>
              <w:t>Limited budgets mean th</w:t>
            </w:r>
            <w:r w:rsidR="00F7193C" w:rsidRPr="00370860">
              <w:rPr>
                <w:rFonts w:asciiTheme="minorHAnsi" w:hAnsiTheme="minorHAnsi" w:cs="Arial"/>
                <w:szCs w:val="20"/>
              </w:rPr>
              <w:t>ere is limited scope for increasing use. Improved prioritisation of funding needs may enhance its application</w:t>
            </w:r>
            <w:r>
              <w:rPr>
                <w:rFonts w:asciiTheme="minorHAnsi" w:hAnsiTheme="minorHAnsi" w:cs="Arial"/>
                <w:szCs w:val="20"/>
              </w:rPr>
              <w:t>, particularly within the Forest Estate managed by NRW.</w:t>
            </w:r>
          </w:p>
        </w:tc>
      </w:tr>
      <w:tr w:rsidR="00366762" w14:paraId="25789105" w14:textId="77777777" w:rsidTr="00370860">
        <w:tc>
          <w:tcPr>
            <w:tcW w:w="5000" w:type="pct"/>
            <w:gridSpan w:val="6"/>
            <w:shd w:val="clear" w:color="auto" w:fill="F2F2F2" w:themeFill="background1" w:themeFillShade="F2"/>
          </w:tcPr>
          <w:p w14:paraId="11312581" w14:textId="3630276A" w:rsidR="00366762" w:rsidRPr="00370860" w:rsidRDefault="00366762" w:rsidP="00370860">
            <w:pPr>
              <w:pStyle w:val="TableTextNoSpace"/>
              <w:jc w:val="left"/>
              <w:rPr>
                <w:rFonts w:asciiTheme="minorHAnsi" w:hAnsiTheme="minorHAnsi"/>
                <w:b/>
                <w:szCs w:val="20"/>
                <w:highlight w:val="red"/>
              </w:rPr>
            </w:pPr>
            <w:r w:rsidRPr="00370860">
              <w:rPr>
                <w:rFonts w:asciiTheme="minorHAnsi" w:hAnsiTheme="minorHAnsi"/>
                <w:b/>
                <w:szCs w:val="20"/>
              </w:rPr>
              <w:t>European funding</w:t>
            </w:r>
          </w:p>
        </w:tc>
      </w:tr>
      <w:tr w:rsidR="00DE015E" w14:paraId="32AE9869" w14:textId="77777777" w:rsidTr="00370860">
        <w:tc>
          <w:tcPr>
            <w:tcW w:w="759" w:type="pct"/>
            <w:shd w:val="clear" w:color="auto" w:fill="auto"/>
          </w:tcPr>
          <w:p w14:paraId="05ABF758" w14:textId="4FD97194" w:rsidR="00DE015E" w:rsidRPr="00370860" w:rsidRDefault="00DE015E" w:rsidP="00370860">
            <w:pPr>
              <w:pStyle w:val="TableTextNoSpace"/>
              <w:jc w:val="left"/>
              <w:rPr>
                <w:rFonts w:asciiTheme="minorHAnsi" w:hAnsiTheme="minorHAnsi"/>
                <w:szCs w:val="20"/>
              </w:rPr>
            </w:pPr>
            <w:r w:rsidRPr="00370860">
              <w:rPr>
                <w:rFonts w:asciiTheme="minorHAnsi" w:hAnsiTheme="minorHAnsi"/>
                <w:szCs w:val="20"/>
              </w:rPr>
              <w:t xml:space="preserve">CAP/ EAGF Direct payments  </w:t>
            </w:r>
          </w:p>
        </w:tc>
        <w:tc>
          <w:tcPr>
            <w:tcW w:w="848" w:type="pct"/>
            <w:shd w:val="clear" w:color="auto" w:fill="auto"/>
          </w:tcPr>
          <w:p w14:paraId="313CAEA1" w14:textId="348CFF97" w:rsidR="00DE015E" w:rsidRPr="00370860" w:rsidRDefault="00DE015E" w:rsidP="00243223">
            <w:pPr>
              <w:pStyle w:val="TableTextNoSpace"/>
              <w:jc w:val="left"/>
              <w:rPr>
                <w:rFonts w:asciiTheme="minorHAnsi" w:hAnsiTheme="minorHAnsi"/>
                <w:szCs w:val="20"/>
              </w:rPr>
            </w:pPr>
            <w:r w:rsidRPr="00370860">
              <w:rPr>
                <w:rFonts w:asciiTheme="minorHAnsi" w:hAnsiTheme="minorHAnsi"/>
                <w:b/>
                <w:szCs w:val="20"/>
                <w:highlight w:val="red"/>
              </w:rPr>
              <w:t>Low</w:t>
            </w:r>
            <w:r w:rsidRPr="00370860">
              <w:rPr>
                <w:rFonts w:asciiTheme="minorHAnsi" w:hAnsiTheme="minorHAnsi"/>
                <w:szCs w:val="20"/>
              </w:rPr>
              <w:t xml:space="preserve"> Primary source of income support to landowners, </w:t>
            </w:r>
            <w:r w:rsidR="00684BB6" w:rsidRPr="00370860">
              <w:rPr>
                <w:rFonts w:asciiTheme="minorHAnsi" w:hAnsiTheme="minorHAnsi"/>
                <w:szCs w:val="20"/>
              </w:rPr>
              <w:t xml:space="preserve">and applies to large proportion of </w:t>
            </w:r>
            <w:r w:rsidR="00243223">
              <w:rPr>
                <w:rFonts w:asciiTheme="minorHAnsi" w:hAnsiTheme="minorHAnsi"/>
                <w:szCs w:val="20"/>
              </w:rPr>
              <w:t xml:space="preserve">terrestrial </w:t>
            </w:r>
            <w:r w:rsidR="00684BB6" w:rsidRPr="00370860">
              <w:rPr>
                <w:rFonts w:asciiTheme="minorHAnsi" w:hAnsiTheme="minorHAnsi"/>
                <w:szCs w:val="20"/>
              </w:rPr>
              <w:t>N</w:t>
            </w:r>
            <w:r w:rsidR="00243223">
              <w:rPr>
                <w:rFonts w:asciiTheme="minorHAnsi" w:hAnsiTheme="minorHAnsi"/>
                <w:szCs w:val="20"/>
              </w:rPr>
              <w:t>2K</w:t>
            </w:r>
            <w:r w:rsidR="00684BB6" w:rsidRPr="00370860">
              <w:rPr>
                <w:rFonts w:asciiTheme="minorHAnsi" w:hAnsiTheme="minorHAnsi"/>
                <w:szCs w:val="20"/>
              </w:rPr>
              <w:t xml:space="preserve"> area, </w:t>
            </w:r>
            <w:r w:rsidRPr="00370860">
              <w:rPr>
                <w:rFonts w:asciiTheme="minorHAnsi" w:hAnsiTheme="minorHAnsi"/>
                <w:szCs w:val="20"/>
              </w:rPr>
              <w:t>but</w:t>
            </w:r>
            <w:r w:rsidR="00684BB6" w:rsidRPr="00370860">
              <w:rPr>
                <w:rFonts w:asciiTheme="minorHAnsi" w:hAnsiTheme="minorHAnsi"/>
                <w:szCs w:val="20"/>
              </w:rPr>
              <w:t xml:space="preserve"> added value of cross compliance and greening to N</w:t>
            </w:r>
            <w:r w:rsidR="00243223">
              <w:rPr>
                <w:rFonts w:asciiTheme="minorHAnsi" w:hAnsiTheme="minorHAnsi"/>
                <w:szCs w:val="20"/>
              </w:rPr>
              <w:t>2K</w:t>
            </w:r>
            <w:r w:rsidR="00684BB6" w:rsidRPr="00370860">
              <w:rPr>
                <w:rFonts w:asciiTheme="minorHAnsi" w:hAnsiTheme="minorHAnsi"/>
                <w:szCs w:val="20"/>
              </w:rPr>
              <w:t xml:space="preserve"> management is limited</w:t>
            </w:r>
            <w:r w:rsidRPr="00370860">
              <w:rPr>
                <w:rFonts w:asciiTheme="minorHAnsi" w:hAnsiTheme="minorHAnsi"/>
                <w:szCs w:val="20"/>
              </w:rPr>
              <w:t xml:space="preserve"> </w:t>
            </w:r>
          </w:p>
        </w:tc>
        <w:tc>
          <w:tcPr>
            <w:tcW w:w="848" w:type="pct"/>
            <w:shd w:val="clear" w:color="auto" w:fill="auto"/>
          </w:tcPr>
          <w:p w14:paraId="00043128" w14:textId="7DE43EB0" w:rsidR="00DE015E" w:rsidRPr="00370860" w:rsidRDefault="00DE015E" w:rsidP="00370860">
            <w:pPr>
              <w:pStyle w:val="TableTextNoSpace"/>
              <w:jc w:val="left"/>
              <w:rPr>
                <w:rFonts w:asciiTheme="minorHAnsi" w:hAnsiTheme="minorHAnsi"/>
                <w:szCs w:val="20"/>
              </w:rPr>
            </w:pPr>
            <w:r w:rsidRPr="00370860">
              <w:rPr>
                <w:rFonts w:asciiTheme="minorHAnsi" w:hAnsiTheme="minorHAnsi"/>
                <w:b/>
                <w:szCs w:val="20"/>
                <w:highlight w:val="green"/>
              </w:rPr>
              <w:t>High</w:t>
            </w:r>
            <w:r w:rsidRPr="00370860">
              <w:rPr>
                <w:rFonts w:asciiTheme="minorHAnsi" w:hAnsiTheme="minorHAnsi"/>
                <w:b/>
                <w:szCs w:val="20"/>
              </w:rPr>
              <w:t xml:space="preserve">: </w:t>
            </w:r>
            <w:r w:rsidRPr="00370860">
              <w:rPr>
                <w:rFonts w:asciiTheme="minorHAnsi" w:hAnsiTheme="minorHAnsi"/>
                <w:szCs w:val="20"/>
              </w:rPr>
              <w:t>Approximately £</w:t>
            </w:r>
            <w:r w:rsidR="0081024E" w:rsidRPr="00370860">
              <w:rPr>
                <w:rFonts w:asciiTheme="minorHAnsi" w:hAnsiTheme="minorHAnsi"/>
                <w:szCs w:val="20"/>
              </w:rPr>
              <w:t xml:space="preserve">260m/year </w:t>
            </w:r>
          </w:p>
        </w:tc>
        <w:tc>
          <w:tcPr>
            <w:tcW w:w="848" w:type="pct"/>
            <w:shd w:val="clear" w:color="auto" w:fill="auto"/>
          </w:tcPr>
          <w:p w14:paraId="3BDE76C4" w14:textId="35C0A9C9" w:rsidR="00DE015E" w:rsidRPr="00370860" w:rsidRDefault="00DE015E" w:rsidP="00370860">
            <w:pPr>
              <w:pStyle w:val="TableTextNoSpace"/>
              <w:jc w:val="left"/>
              <w:rPr>
                <w:rFonts w:asciiTheme="minorHAnsi" w:hAnsiTheme="minorHAnsi"/>
                <w:szCs w:val="20"/>
              </w:rPr>
            </w:pPr>
            <w:r w:rsidRPr="00370860">
              <w:rPr>
                <w:rFonts w:asciiTheme="minorHAnsi" w:hAnsiTheme="minorHAnsi"/>
                <w:b/>
                <w:szCs w:val="20"/>
                <w:highlight w:val="yellow"/>
              </w:rPr>
              <w:t>Mod</w:t>
            </w:r>
            <w:r w:rsidRPr="00370860">
              <w:rPr>
                <w:rFonts w:asciiTheme="minorHAnsi" w:hAnsiTheme="minorHAnsi"/>
                <w:b/>
                <w:szCs w:val="20"/>
              </w:rPr>
              <w:t xml:space="preserve">: </w:t>
            </w:r>
            <w:r w:rsidR="00684BB6" w:rsidRPr="00370860">
              <w:rPr>
                <w:rFonts w:asciiTheme="minorHAnsi" w:hAnsiTheme="minorHAnsi"/>
                <w:szCs w:val="20"/>
              </w:rPr>
              <w:t>I</w:t>
            </w:r>
            <w:r w:rsidRPr="00370860">
              <w:rPr>
                <w:rFonts w:asciiTheme="minorHAnsi" w:hAnsiTheme="minorHAnsi"/>
                <w:szCs w:val="20"/>
              </w:rPr>
              <w:t>mportant actions can be funded relating to habitat management schemes and provision of services (12, 15, 16)</w:t>
            </w:r>
            <w:r w:rsidR="00684BB6" w:rsidRPr="00370860">
              <w:rPr>
                <w:rFonts w:asciiTheme="minorHAnsi" w:hAnsiTheme="minorHAnsi"/>
                <w:szCs w:val="20"/>
              </w:rPr>
              <w:t xml:space="preserve">  </w:t>
            </w:r>
          </w:p>
        </w:tc>
        <w:tc>
          <w:tcPr>
            <w:tcW w:w="848" w:type="pct"/>
          </w:tcPr>
          <w:p w14:paraId="607F0FA0" w14:textId="0B3A717C" w:rsidR="00DE015E" w:rsidRPr="00370860" w:rsidRDefault="00DE015E" w:rsidP="00082CFB">
            <w:pPr>
              <w:pStyle w:val="TableTextNoSpace"/>
              <w:jc w:val="left"/>
              <w:rPr>
                <w:rFonts w:asciiTheme="minorHAnsi" w:hAnsiTheme="minorHAnsi"/>
                <w:szCs w:val="20"/>
              </w:rPr>
            </w:pPr>
            <w:r w:rsidRPr="00370860">
              <w:rPr>
                <w:rFonts w:asciiTheme="minorHAnsi" w:hAnsiTheme="minorHAnsi"/>
                <w:b/>
                <w:szCs w:val="20"/>
                <w:highlight w:val="yellow"/>
              </w:rPr>
              <w:t>Mod</w:t>
            </w:r>
            <w:r w:rsidRPr="00370860">
              <w:rPr>
                <w:rFonts w:asciiTheme="minorHAnsi" w:hAnsiTheme="minorHAnsi"/>
                <w:b/>
                <w:szCs w:val="20"/>
              </w:rPr>
              <w:t>:</w:t>
            </w:r>
            <w:r w:rsidR="00370860">
              <w:rPr>
                <w:rFonts w:asciiTheme="minorHAnsi" w:hAnsiTheme="minorHAnsi"/>
                <w:b/>
                <w:szCs w:val="20"/>
              </w:rPr>
              <w:t xml:space="preserve"> </w:t>
            </w:r>
            <w:r w:rsidRPr="00370860">
              <w:rPr>
                <w:rFonts w:asciiTheme="minorHAnsi" w:hAnsiTheme="minorHAnsi"/>
                <w:szCs w:val="20"/>
              </w:rPr>
              <w:t xml:space="preserve">Terrestrial (agricultural) landscapes only. However, these represent a substantial </w:t>
            </w:r>
            <w:r w:rsidR="00243223">
              <w:rPr>
                <w:rFonts w:asciiTheme="minorHAnsi" w:hAnsiTheme="minorHAnsi"/>
                <w:szCs w:val="20"/>
              </w:rPr>
              <w:t>proportion</w:t>
            </w:r>
            <w:r w:rsidRPr="00370860">
              <w:rPr>
                <w:rFonts w:asciiTheme="minorHAnsi" w:hAnsiTheme="minorHAnsi"/>
                <w:szCs w:val="20"/>
              </w:rPr>
              <w:t xml:space="preserve"> of N</w:t>
            </w:r>
            <w:r w:rsidR="00243223">
              <w:rPr>
                <w:rFonts w:asciiTheme="minorHAnsi" w:hAnsiTheme="minorHAnsi"/>
                <w:szCs w:val="20"/>
              </w:rPr>
              <w:t>2K</w:t>
            </w:r>
            <w:r w:rsidRPr="00370860">
              <w:rPr>
                <w:rFonts w:asciiTheme="minorHAnsi" w:hAnsiTheme="minorHAnsi"/>
                <w:szCs w:val="20"/>
              </w:rPr>
              <w:t xml:space="preserve"> sites</w:t>
            </w:r>
            <w:r w:rsidR="00684BB6" w:rsidRPr="00370860">
              <w:rPr>
                <w:rFonts w:asciiTheme="minorHAnsi" w:hAnsiTheme="minorHAnsi"/>
                <w:szCs w:val="20"/>
              </w:rPr>
              <w:t>.  Applies basic conditions/practices only with limited scope for added value management</w:t>
            </w:r>
          </w:p>
        </w:tc>
        <w:tc>
          <w:tcPr>
            <w:tcW w:w="849" w:type="pct"/>
          </w:tcPr>
          <w:p w14:paraId="062C695B" w14:textId="6C3EC8F6" w:rsidR="0081024E" w:rsidRPr="00370860" w:rsidRDefault="0081024E" w:rsidP="00370860">
            <w:pPr>
              <w:pStyle w:val="TableTextNoSpace"/>
              <w:jc w:val="left"/>
              <w:rPr>
                <w:rFonts w:asciiTheme="minorHAnsi" w:hAnsiTheme="minorHAnsi"/>
                <w:b/>
                <w:szCs w:val="20"/>
              </w:rPr>
            </w:pPr>
            <w:r w:rsidRPr="00370860">
              <w:rPr>
                <w:rFonts w:asciiTheme="minorHAnsi" w:hAnsiTheme="minorHAnsi"/>
                <w:b/>
                <w:szCs w:val="20"/>
                <w:highlight w:val="yellow"/>
              </w:rPr>
              <w:t>Mod</w:t>
            </w:r>
            <w:r w:rsidR="00DE015E" w:rsidRPr="00370860">
              <w:rPr>
                <w:rFonts w:asciiTheme="minorHAnsi" w:hAnsiTheme="minorHAnsi"/>
                <w:b/>
                <w:szCs w:val="20"/>
              </w:rPr>
              <w:t xml:space="preserve">: </w:t>
            </w:r>
            <w:r w:rsidRPr="00370860">
              <w:rPr>
                <w:rFonts w:asciiTheme="minorHAnsi" w:hAnsiTheme="minorHAnsi"/>
                <w:szCs w:val="20"/>
              </w:rPr>
              <w:t>Applies to 70% of land area. However, benefits from greening and cross-compliance appear to be limited: wide scope but low ‘added value’</w:t>
            </w:r>
          </w:p>
          <w:p w14:paraId="05874D56" w14:textId="6FBF3DDA" w:rsidR="00DE015E" w:rsidRPr="00370860" w:rsidRDefault="00DE015E" w:rsidP="00370860">
            <w:pPr>
              <w:pStyle w:val="TableTextNoSpace"/>
              <w:jc w:val="left"/>
              <w:rPr>
                <w:rFonts w:asciiTheme="minorHAnsi" w:hAnsiTheme="minorHAnsi"/>
                <w:szCs w:val="20"/>
              </w:rPr>
            </w:pPr>
          </w:p>
        </w:tc>
      </w:tr>
      <w:tr w:rsidR="00DE015E" w14:paraId="76EED8EA" w14:textId="77777777" w:rsidTr="00370860">
        <w:tc>
          <w:tcPr>
            <w:tcW w:w="759" w:type="pct"/>
            <w:shd w:val="clear" w:color="auto" w:fill="auto"/>
          </w:tcPr>
          <w:p w14:paraId="3E56F1F3" w14:textId="5F542605" w:rsidR="00DE015E" w:rsidRPr="00370860" w:rsidRDefault="00DE015E" w:rsidP="00370860">
            <w:pPr>
              <w:pStyle w:val="TableTextNoSpace"/>
              <w:jc w:val="left"/>
              <w:rPr>
                <w:rFonts w:asciiTheme="minorHAnsi" w:hAnsiTheme="minorHAnsi"/>
                <w:szCs w:val="20"/>
              </w:rPr>
            </w:pPr>
            <w:r w:rsidRPr="00370860">
              <w:rPr>
                <w:rFonts w:asciiTheme="minorHAnsi" w:hAnsiTheme="minorHAnsi"/>
                <w:szCs w:val="20"/>
              </w:rPr>
              <w:t xml:space="preserve">EAFRD- RDP funding </w:t>
            </w:r>
          </w:p>
        </w:tc>
        <w:tc>
          <w:tcPr>
            <w:tcW w:w="848" w:type="pct"/>
            <w:shd w:val="clear" w:color="auto" w:fill="auto"/>
          </w:tcPr>
          <w:p w14:paraId="288CCA99" w14:textId="18A653C4" w:rsidR="00DE015E" w:rsidRPr="00370860" w:rsidRDefault="00DE015E" w:rsidP="00370860">
            <w:pPr>
              <w:pStyle w:val="TableTextNoSpace"/>
              <w:jc w:val="left"/>
              <w:rPr>
                <w:rFonts w:asciiTheme="minorHAnsi" w:hAnsiTheme="minorHAnsi"/>
                <w:szCs w:val="20"/>
              </w:rPr>
            </w:pPr>
            <w:r w:rsidRPr="00370860">
              <w:rPr>
                <w:rFonts w:asciiTheme="minorHAnsi" w:hAnsiTheme="minorHAnsi"/>
                <w:b/>
                <w:szCs w:val="20"/>
                <w:highlight w:val="yellow"/>
              </w:rPr>
              <w:t>Mod</w:t>
            </w:r>
            <w:r w:rsidRPr="00370860">
              <w:rPr>
                <w:rFonts w:asciiTheme="minorHAnsi" w:hAnsiTheme="minorHAnsi"/>
                <w:b/>
                <w:szCs w:val="20"/>
              </w:rPr>
              <w:t xml:space="preserve">: </w:t>
            </w:r>
            <w:r w:rsidRPr="00370860">
              <w:rPr>
                <w:rFonts w:asciiTheme="minorHAnsi" w:hAnsiTheme="minorHAnsi"/>
                <w:szCs w:val="20"/>
              </w:rPr>
              <w:t xml:space="preserve">RDP funds are the main source of support for agri-environmental </w:t>
            </w:r>
            <w:r w:rsidR="00243223">
              <w:rPr>
                <w:rFonts w:asciiTheme="minorHAnsi" w:hAnsiTheme="minorHAnsi"/>
                <w:szCs w:val="20"/>
              </w:rPr>
              <w:t xml:space="preserve">(Glastir) </w:t>
            </w:r>
            <w:r w:rsidRPr="00370860">
              <w:rPr>
                <w:rFonts w:asciiTheme="minorHAnsi" w:hAnsiTheme="minorHAnsi"/>
                <w:szCs w:val="20"/>
              </w:rPr>
              <w:t>agreements in Wales</w:t>
            </w:r>
            <w:r w:rsidR="00C15432">
              <w:rPr>
                <w:rFonts w:asciiTheme="minorHAnsi" w:hAnsiTheme="minorHAnsi"/>
                <w:szCs w:val="20"/>
              </w:rPr>
              <w:t xml:space="preserve">, however they have historically not been widely used </w:t>
            </w:r>
            <w:r w:rsidR="00243223">
              <w:rPr>
                <w:rFonts w:asciiTheme="minorHAnsi" w:hAnsiTheme="minorHAnsi"/>
                <w:szCs w:val="20"/>
              </w:rPr>
              <w:t xml:space="preserve">on N2K sites </w:t>
            </w:r>
            <w:r w:rsidR="00C15432">
              <w:rPr>
                <w:rFonts w:asciiTheme="minorHAnsi" w:hAnsiTheme="minorHAnsi"/>
                <w:szCs w:val="20"/>
              </w:rPr>
              <w:t>and uptake has been below planned forecasts</w:t>
            </w:r>
          </w:p>
        </w:tc>
        <w:tc>
          <w:tcPr>
            <w:tcW w:w="848" w:type="pct"/>
            <w:shd w:val="clear" w:color="auto" w:fill="auto"/>
          </w:tcPr>
          <w:p w14:paraId="3C4528D2" w14:textId="4B533702" w:rsidR="00DE015E" w:rsidRPr="00370860" w:rsidRDefault="00DE015E" w:rsidP="00370860">
            <w:pPr>
              <w:pStyle w:val="TableTextNoSpace"/>
              <w:jc w:val="left"/>
              <w:rPr>
                <w:rFonts w:asciiTheme="minorHAnsi" w:hAnsiTheme="minorHAnsi"/>
                <w:szCs w:val="20"/>
              </w:rPr>
            </w:pPr>
            <w:r w:rsidRPr="00370860">
              <w:rPr>
                <w:rFonts w:asciiTheme="minorHAnsi" w:hAnsiTheme="minorHAnsi"/>
                <w:b/>
                <w:szCs w:val="20"/>
                <w:highlight w:val="green"/>
              </w:rPr>
              <w:t>High</w:t>
            </w:r>
            <w:r w:rsidRPr="00370860">
              <w:rPr>
                <w:rFonts w:asciiTheme="minorHAnsi" w:hAnsiTheme="minorHAnsi"/>
                <w:b/>
                <w:szCs w:val="20"/>
              </w:rPr>
              <w:t xml:space="preserve">: </w:t>
            </w:r>
            <w:r w:rsidRPr="00370860">
              <w:rPr>
                <w:rFonts w:asciiTheme="minorHAnsi" w:hAnsiTheme="minorHAnsi"/>
                <w:szCs w:val="20"/>
              </w:rPr>
              <w:t>£953m for 2014-2020, of which £572m is available for agri-environment</w:t>
            </w:r>
          </w:p>
        </w:tc>
        <w:tc>
          <w:tcPr>
            <w:tcW w:w="848" w:type="pct"/>
            <w:shd w:val="clear" w:color="auto" w:fill="auto"/>
          </w:tcPr>
          <w:p w14:paraId="443BE6F1" w14:textId="536F31C1" w:rsidR="00DE015E" w:rsidRPr="00370860" w:rsidRDefault="00DE015E" w:rsidP="00370860">
            <w:pPr>
              <w:pStyle w:val="TableTextNoSpace"/>
              <w:jc w:val="left"/>
              <w:rPr>
                <w:rFonts w:asciiTheme="minorHAnsi" w:hAnsiTheme="minorHAnsi"/>
                <w:szCs w:val="20"/>
              </w:rPr>
            </w:pPr>
            <w:r w:rsidRPr="00370860">
              <w:rPr>
                <w:rFonts w:asciiTheme="minorHAnsi" w:hAnsiTheme="minorHAnsi"/>
                <w:b/>
                <w:szCs w:val="20"/>
                <w:highlight w:val="green"/>
              </w:rPr>
              <w:t>High</w:t>
            </w:r>
            <w:r w:rsidRPr="00370860">
              <w:rPr>
                <w:rFonts w:asciiTheme="minorHAnsi" w:hAnsiTheme="minorHAnsi"/>
                <w:b/>
                <w:szCs w:val="20"/>
              </w:rPr>
              <w:t xml:space="preserve">: </w:t>
            </w:r>
            <w:r w:rsidR="005D01F2">
              <w:rPr>
                <w:rFonts w:asciiTheme="minorHAnsi" w:hAnsiTheme="minorHAnsi"/>
                <w:szCs w:val="20"/>
              </w:rPr>
              <w:t>A</w:t>
            </w:r>
            <w:r w:rsidR="003273E1" w:rsidRPr="00370860">
              <w:rPr>
                <w:rFonts w:asciiTheme="minorHAnsi" w:hAnsiTheme="minorHAnsi"/>
                <w:szCs w:val="20"/>
              </w:rPr>
              <w:t xml:space="preserve"> wide range of</w:t>
            </w:r>
            <w:r w:rsidRPr="00370860">
              <w:rPr>
                <w:rFonts w:asciiTheme="minorHAnsi" w:hAnsiTheme="minorHAnsi"/>
                <w:szCs w:val="20"/>
              </w:rPr>
              <w:t xml:space="preserve"> management actions can potentially be funded, including the 3 ongoing management &amp; monitoring actions (12, 15, 18) where funding need is likely to be greatest</w:t>
            </w:r>
            <w:r w:rsidR="00C15432">
              <w:rPr>
                <w:rFonts w:asciiTheme="minorHAnsi" w:hAnsiTheme="minorHAnsi"/>
                <w:szCs w:val="20"/>
              </w:rPr>
              <w:t xml:space="preserve"> - annual management payments as well as capital projects can be funded</w:t>
            </w:r>
          </w:p>
        </w:tc>
        <w:tc>
          <w:tcPr>
            <w:tcW w:w="848" w:type="pct"/>
          </w:tcPr>
          <w:p w14:paraId="49177F8C" w14:textId="5C205C1D" w:rsidR="00DE015E" w:rsidRPr="00370860" w:rsidRDefault="00DE015E" w:rsidP="00082CFB">
            <w:pPr>
              <w:pStyle w:val="TableTextNoSpace"/>
              <w:jc w:val="left"/>
              <w:rPr>
                <w:rFonts w:asciiTheme="minorHAnsi" w:hAnsiTheme="minorHAnsi"/>
                <w:szCs w:val="20"/>
              </w:rPr>
            </w:pPr>
            <w:r w:rsidRPr="00370860">
              <w:rPr>
                <w:rFonts w:asciiTheme="minorHAnsi" w:hAnsiTheme="minorHAnsi"/>
                <w:b/>
                <w:szCs w:val="20"/>
                <w:highlight w:val="yellow"/>
              </w:rPr>
              <w:t>Mod</w:t>
            </w:r>
            <w:r w:rsidRPr="00370860">
              <w:rPr>
                <w:rFonts w:asciiTheme="minorHAnsi" w:hAnsiTheme="minorHAnsi"/>
                <w:b/>
                <w:szCs w:val="20"/>
              </w:rPr>
              <w:t xml:space="preserve">: </w:t>
            </w:r>
            <w:r w:rsidRPr="00370860">
              <w:rPr>
                <w:rFonts w:asciiTheme="minorHAnsi" w:hAnsiTheme="minorHAnsi"/>
                <w:szCs w:val="20"/>
              </w:rPr>
              <w:t>Terrestrial (agricultural</w:t>
            </w:r>
            <w:r w:rsidR="00C15432">
              <w:rPr>
                <w:rFonts w:asciiTheme="minorHAnsi" w:hAnsiTheme="minorHAnsi"/>
                <w:szCs w:val="20"/>
              </w:rPr>
              <w:t>/forestry</w:t>
            </w:r>
            <w:r w:rsidRPr="00370860">
              <w:rPr>
                <w:rFonts w:asciiTheme="minorHAnsi" w:hAnsiTheme="minorHAnsi"/>
                <w:szCs w:val="20"/>
              </w:rPr>
              <w:t xml:space="preserve">) landscapes only. However, these represent a </w:t>
            </w:r>
            <w:r w:rsidR="00243223">
              <w:rPr>
                <w:rFonts w:asciiTheme="minorHAnsi" w:hAnsiTheme="minorHAnsi"/>
                <w:szCs w:val="20"/>
              </w:rPr>
              <w:t>significant proportion of N2K sites</w:t>
            </w:r>
            <w:r w:rsidR="00C15432">
              <w:rPr>
                <w:rFonts w:asciiTheme="minorHAnsi" w:hAnsiTheme="minorHAnsi"/>
                <w:szCs w:val="20"/>
              </w:rPr>
              <w:t>. Rural development objectives.</w:t>
            </w:r>
            <w:r w:rsidRPr="00370860">
              <w:rPr>
                <w:rFonts w:asciiTheme="minorHAnsi" w:hAnsiTheme="minorHAnsi"/>
                <w:szCs w:val="20"/>
              </w:rPr>
              <w:t xml:space="preserve"> </w:t>
            </w:r>
          </w:p>
        </w:tc>
        <w:tc>
          <w:tcPr>
            <w:tcW w:w="849" w:type="pct"/>
          </w:tcPr>
          <w:p w14:paraId="2584E917" w14:textId="565E1D91" w:rsidR="00DE015E" w:rsidRPr="00370860" w:rsidRDefault="00DE015E" w:rsidP="00370860">
            <w:pPr>
              <w:pStyle w:val="TableTextNoSpace"/>
              <w:jc w:val="left"/>
              <w:rPr>
                <w:rFonts w:asciiTheme="minorHAnsi" w:hAnsiTheme="minorHAnsi"/>
                <w:szCs w:val="20"/>
              </w:rPr>
            </w:pPr>
            <w:r w:rsidRPr="00370860">
              <w:rPr>
                <w:rFonts w:asciiTheme="minorHAnsi" w:hAnsiTheme="minorHAnsi"/>
                <w:b/>
                <w:szCs w:val="20"/>
                <w:highlight w:val="green"/>
              </w:rPr>
              <w:t>High</w:t>
            </w:r>
            <w:r w:rsidRPr="00370860">
              <w:rPr>
                <w:rFonts w:asciiTheme="minorHAnsi" w:hAnsiTheme="minorHAnsi"/>
                <w:b/>
                <w:szCs w:val="20"/>
              </w:rPr>
              <w:t>:</w:t>
            </w:r>
            <w:r w:rsidR="003273E1" w:rsidRPr="00370860">
              <w:rPr>
                <w:rFonts w:asciiTheme="minorHAnsi" w:hAnsiTheme="minorHAnsi"/>
                <w:b/>
                <w:szCs w:val="20"/>
              </w:rPr>
              <w:t xml:space="preserve"> </w:t>
            </w:r>
            <w:r w:rsidR="00684BB6" w:rsidRPr="00370860">
              <w:rPr>
                <w:rFonts w:asciiTheme="minorHAnsi" w:hAnsiTheme="minorHAnsi"/>
                <w:szCs w:val="20"/>
              </w:rPr>
              <w:t>S</w:t>
            </w:r>
            <w:r w:rsidRPr="00370860">
              <w:rPr>
                <w:rFonts w:asciiTheme="minorHAnsi" w:hAnsiTheme="minorHAnsi"/>
                <w:szCs w:val="20"/>
              </w:rPr>
              <w:t>trong potential for more targeted application to Natura 2000</w:t>
            </w:r>
            <w:r w:rsidR="003273E1" w:rsidRPr="00370860">
              <w:rPr>
                <w:rFonts w:asciiTheme="minorHAnsi" w:hAnsiTheme="minorHAnsi"/>
                <w:szCs w:val="20"/>
              </w:rPr>
              <w:t>, utilising the revisions for the 2014-2020 programme</w:t>
            </w:r>
          </w:p>
        </w:tc>
      </w:tr>
      <w:tr w:rsidR="00DE015E" w14:paraId="13DA47FB" w14:textId="77777777" w:rsidTr="00370860">
        <w:tc>
          <w:tcPr>
            <w:tcW w:w="759" w:type="pct"/>
            <w:shd w:val="clear" w:color="auto" w:fill="auto"/>
          </w:tcPr>
          <w:p w14:paraId="0A86AFB8" w14:textId="267F6589" w:rsidR="00DE015E" w:rsidRPr="00370860" w:rsidRDefault="005E6348" w:rsidP="00370860">
            <w:pPr>
              <w:pStyle w:val="TableTextNoSpace"/>
              <w:jc w:val="left"/>
              <w:rPr>
                <w:rFonts w:asciiTheme="minorHAnsi" w:hAnsiTheme="minorHAnsi"/>
                <w:szCs w:val="20"/>
              </w:rPr>
            </w:pPr>
            <w:r>
              <w:rPr>
                <w:rFonts w:asciiTheme="minorHAnsi" w:hAnsiTheme="minorHAnsi"/>
                <w:szCs w:val="20"/>
              </w:rPr>
              <w:t xml:space="preserve">EFF / </w:t>
            </w:r>
            <w:r w:rsidR="00DE015E" w:rsidRPr="00370860">
              <w:rPr>
                <w:rFonts w:asciiTheme="minorHAnsi" w:hAnsiTheme="minorHAnsi"/>
                <w:szCs w:val="20"/>
              </w:rPr>
              <w:t>EMFF</w:t>
            </w:r>
          </w:p>
        </w:tc>
        <w:tc>
          <w:tcPr>
            <w:tcW w:w="848" w:type="pct"/>
            <w:shd w:val="clear" w:color="auto" w:fill="auto"/>
          </w:tcPr>
          <w:p w14:paraId="6C0FDD4A" w14:textId="2B22A105" w:rsidR="00DE015E" w:rsidRPr="00370860" w:rsidRDefault="00DE015E" w:rsidP="00000791">
            <w:pPr>
              <w:pStyle w:val="TableTextNoSpace"/>
              <w:jc w:val="left"/>
              <w:rPr>
                <w:rFonts w:asciiTheme="minorHAnsi" w:hAnsiTheme="minorHAnsi"/>
                <w:szCs w:val="20"/>
              </w:rPr>
            </w:pPr>
            <w:r w:rsidRPr="00370860">
              <w:rPr>
                <w:rFonts w:asciiTheme="minorHAnsi" w:hAnsiTheme="minorHAnsi"/>
                <w:b/>
                <w:szCs w:val="20"/>
                <w:highlight w:val="red"/>
              </w:rPr>
              <w:t>Low</w:t>
            </w:r>
            <w:r w:rsidRPr="00370860">
              <w:rPr>
                <w:rFonts w:asciiTheme="minorHAnsi" w:hAnsiTheme="minorHAnsi"/>
                <w:b/>
                <w:szCs w:val="20"/>
              </w:rPr>
              <w:t xml:space="preserve">: </w:t>
            </w:r>
            <w:r w:rsidR="00000791">
              <w:rPr>
                <w:rFonts w:asciiTheme="minorHAnsi" w:hAnsiTheme="minorHAnsi"/>
                <w:szCs w:val="20"/>
              </w:rPr>
              <w:t>One recent application of EFF -</w:t>
            </w:r>
            <w:r w:rsidRPr="00370860">
              <w:rPr>
                <w:rFonts w:asciiTheme="minorHAnsi" w:hAnsiTheme="minorHAnsi"/>
                <w:szCs w:val="20"/>
              </w:rPr>
              <w:t xml:space="preserve"> </w:t>
            </w:r>
            <w:r w:rsidR="00000791" w:rsidRPr="00000791">
              <w:rPr>
                <w:rFonts w:asciiTheme="minorHAnsi" w:hAnsiTheme="minorHAnsi"/>
                <w:szCs w:val="20"/>
              </w:rPr>
              <w:t>FishMap Môn</w:t>
            </w:r>
            <w:r w:rsidR="00000791">
              <w:rPr>
                <w:rFonts w:asciiTheme="minorHAnsi" w:hAnsiTheme="minorHAnsi"/>
                <w:szCs w:val="20"/>
              </w:rPr>
              <w:t xml:space="preserve"> recreational fisheries project. Few examples of application to Natura 2000. </w:t>
            </w:r>
          </w:p>
        </w:tc>
        <w:tc>
          <w:tcPr>
            <w:tcW w:w="848" w:type="pct"/>
            <w:shd w:val="clear" w:color="auto" w:fill="auto"/>
          </w:tcPr>
          <w:p w14:paraId="37A9499C" w14:textId="7CCBA873" w:rsidR="00DE015E" w:rsidRPr="00370860" w:rsidRDefault="00C15432" w:rsidP="00370860">
            <w:pPr>
              <w:pStyle w:val="TableTextNoSpace"/>
              <w:jc w:val="left"/>
              <w:rPr>
                <w:rFonts w:asciiTheme="minorHAnsi" w:hAnsiTheme="minorHAnsi"/>
                <w:szCs w:val="20"/>
              </w:rPr>
            </w:pPr>
            <w:r w:rsidRPr="00370860">
              <w:rPr>
                <w:rFonts w:asciiTheme="minorHAnsi" w:hAnsiTheme="minorHAnsi"/>
                <w:b/>
                <w:szCs w:val="20"/>
                <w:highlight w:val="red"/>
              </w:rPr>
              <w:t>Low</w:t>
            </w:r>
            <w:r w:rsidR="00DE015E" w:rsidRPr="00370860">
              <w:rPr>
                <w:rFonts w:asciiTheme="minorHAnsi" w:hAnsiTheme="minorHAnsi"/>
                <w:b/>
                <w:szCs w:val="20"/>
              </w:rPr>
              <w:t xml:space="preserve">: </w:t>
            </w:r>
            <w:r w:rsidR="00DE015E" w:rsidRPr="00370860">
              <w:rPr>
                <w:rFonts w:asciiTheme="minorHAnsi" w:hAnsiTheme="minorHAnsi"/>
                <w:szCs w:val="20"/>
              </w:rPr>
              <w:t>Funding allocation for Wales in 2014-2020 is</w:t>
            </w:r>
            <w:r w:rsidR="001554C3" w:rsidRPr="00370860">
              <w:rPr>
                <w:rFonts w:asciiTheme="minorHAnsi" w:hAnsiTheme="minorHAnsi"/>
                <w:szCs w:val="20"/>
              </w:rPr>
              <w:t xml:space="preserve"> £20.2m (8.4% of UK allocation)</w:t>
            </w:r>
          </w:p>
        </w:tc>
        <w:tc>
          <w:tcPr>
            <w:tcW w:w="848" w:type="pct"/>
            <w:shd w:val="clear" w:color="auto" w:fill="auto"/>
          </w:tcPr>
          <w:p w14:paraId="7479A489" w14:textId="4B33174C" w:rsidR="00DE015E" w:rsidRPr="00370860" w:rsidRDefault="003273E1" w:rsidP="00370860">
            <w:pPr>
              <w:pStyle w:val="TableTextNoSpace"/>
              <w:jc w:val="left"/>
              <w:rPr>
                <w:rFonts w:asciiTheme="minorHAnsi" w:hAnsiTheme="minorHAnsi"/>
                <w:szCs w:val="20"/>
              </w:rPr>
            </w:pPr>
            <w:r w:rsidRPr="00370860">
              <w:rPr>
                <w:rFonts w:asciiTheme="minorHAnsi" w:hAnsiTheme="minorHAnsi"/>
                <w:b/>
                <w:szCs w:val="20"/>
                <w:highlight w:val="green"/>
              </w:rPr>
              <w:t>High</w:t>
            </w:r>
            <w:r w:rsidRPr="00370860">
              <w:rPr>
                <w:rFonts w:asciiTheme="minorHAnsi" w:hAnsiTheme="minorHAnsi"/>
                <w:b/>
                <w:szCs w:val="20"/>
              </w:rPr>
              <w:t xml:space="preserve">: </w:t>
            </w:r>
            <w:r w:rsidR="005D01F2">
              <w:rPr>
                <w:rFonts w:asciiTheme="minorHAnsi" w:hAnsiTheme="minorHAnsi"/>
                <w:szCs w:val="20"/>
              </w:rPr>
              <w:t>A</w:t>
            </w:r>
            <w:r w:rsidRPr="00370860">
              <w:rPr>
                <w:rFonts w:asciiTheme="minorHAnsi" w:hAnsiTheme="minorHAnsi"/>
                <w:szCs w:val="20"/>
              </w:rPr>
              <w:t xml:space="preserve"> wide range of management actions can potentially be funded</w:t>
            </w:r>
            <w:r w:rsidR="00684BB6" w:rsidRPr="00370860">
              <w:rPr>
                <w:rFonts w:asciiTheme="minorHAnsi" w:hAnsiTheme="minorHAnsi"/>
                <w:szCs w:val="20"/>
              </w:rPr>
              <w:t xml:space="preserve"> including ongoing management and monitoring</w:t>
            </w:r>
          </w:p>
        </w:tc>
        <w:tc>
          <w:tcPr>
            <w:tcW w:w="848" w:type="pct"/>
          </w:tcPr>
          <w:p w14:paraId="79AA04D1" w14:textId="726E216D" w:rsidR="00DE015E" w:rsidRPr="00370860" w:rsidRDefault="00DE015E" w:rsidP="00370860">
            <w:pPr>
              <w:pStyle w:val="TableTextNoSpace"/>
              <w:jc w:val="left"/>
              <w:rPr>
                <w:rFonts w:asciiTheme="minorHAnsi" w:hAnsiTheme="minorHAnsi"/>
                <w:szCs w:val="20"/>
              </w:rPr>
            </w:pPr>
            <w:r w:rsidRPr="00370860">
              <w:rPr>
                <w:rFonts w:asciiTheme="minorHAnsi" w:hAnsiTheme="minorHAnsi"/>
                <w:b/>
                <w:szCs w:val="20"/>
                <w:highlight w:val="yellow"/>
              </w:rPr>
              <w:t>Mod</w:t>
            </w:r>
            <w:r w:rsidRPr="00370860">
              <w:rPr>
                <w:rFonts w:asciiTheme="minorHAnsi" w:hAnsiTheme="minorHAnsi"/>
                <w:b/>
                <w:szCs w:val="20"/>
              </w:rPr>
              <w:t xml:space="preserve">: </w:t>
            </w:r>
            <w:r w:rsidRPr="00370860">
              <w:rPr>
                <w:rFonts w:asciiTheme="minorHAnsi" w:hAnsiTheme="minorHAnsi"/>
                <w:szCs w:val="20"/>
              </w:rPr>
              <w:t xml:space="preserve">Limited to fisheries and coastal-marine communities </w:t>
            </w:r>
          </w:p>
        </w:tc>
        <w:tc>
          <w:tcPr>
            <w:tcW w:w="849" w:type="pct"/>
          </w:tcPr>
          <w:p w14:paraId="0A87B93E" w14:textId="6A881036" w:rsidR="00DE015E" w:rsidRPr="00370860" w:rsidRDefault="00DE015E" w:rsidP="006C66B0">
            <w:pPr>
              <w:pStyle w:val="TableTextNoSpace"/>
              <w:jc w:val="left"/>
              <w:rPr>
                <w:rFonts w:asciiTheme="minorHAnsi" w:hAnsiTheme="minorHAnsi"/>
                <w:szCs w:val="20"/>
              </w:rPr>
            </w:pPr>
            <w:r w:rsidRPr="00370860">
              <w:rPr>
                <w:rFonts w:asciiTheme="minorHAnsi" w:hAnsiTheme="minorHAnsi"/>
                <w:b/>
                <w:szCs w:val="20"/>
                <w:highlight w:val="yellow"/>
              </w:rPr>
              <w:t>Mod</w:t>
            </w:r>
            <w:r w:rsidRPr="00370860">
              <w:rPr>
                <w:rFonts w:asciiTheme="minorHAnsi" w:hAnsiTheme="minorHAnsi"/>
                <w:b/>
                <w:szCs w:val="20"/>
              </w:rPr>
              <w:t xml:space="preserve">: </w:t>
            </w:r>
            <w:r w:rsidRPr="00370860">
              <w:rPr>
                <w:rFonts w:asciiTheme="minorHAnsi" w:hAnsiTheme="minorHAnsi"/>
                <w:szCs w:val="20"/>
              </w:rPr>
              <w:t>Good potential for development of evidence base and partnership projects in coastal-marine environment</w:t>
            </w:r>
            <w:r w:rsidR="004A38B2" w:rsidRPr="00370860">
              <w:rPr>
                <w:rFonts w:asciiTheme="minorHAnsi" w:hAnsiTheme="minorHAnsi"/>
                <w:szCs w:val="20"/>
              </w:rPr>
              <w:t>.  However, limited funds and competing priorities limit application.</w:t>
            </w:r>
          </w:p>
        </w:tc>
      </w:tr>
      <w:tr w:rsidR="00DE015E" w14:paraId="27F62E83" w14:textId="77777777" w:rsidTr="00370860">
        <w:tc>
          <w:tcPr>
            <w:tcW w:w="759" w:type="pct"/>
            <w:shd w:val="clear" w:color="auto" w:fill="auto"/>
          </w:tcPr>
          <w:p w14:paraId="727C0B24" w14:textId="6DA858FF" w:rsidR="00DE015E" w:rsidRPr="00370860" w:rsidRDefault="00DE015E" w:rsidP="00370860">
            <w:pPr>
              <w:pStyle w:val="TableTextNoSpace"/>
              <w:jc w:val="left"/>
              <w:rPr>
                <w:rFonts w:asciiTheme="minorHAnsi" w:hAnsiTheme="minorHAnsi"/>
                <w:szCs w:val="20"/>
              </w:rPr>
            </w:pPr>
            <w:r w:rsidRPr="00370860">
              <w:rPr>
                <w:rFonts w:asciiTheme="minorHAnsi" w:hAnsiTheme="minorHAnsi"/>
                <w:szCs w:val="20"/>
              </w:rPr>
              <w:t>ERDF</w:t>
            </w:r>
          </w:p>
        </w:tc>
        <w:tc>
          <w:tcPr>
            <w:tcW w:w="848" w:type="pct"/>
            <w:shd w:val="clear" w:color="auto" w:fill="auto"/>
          </w:tcPr>
          <w:p w14:paraId="1BC46B67" w14:textId="12741994" w:rsidR="00DE015E" w:rsidRPr="00370860" w:rsidRDefault="00DE015E" w:rsidP="005D01F2">
            <w:pPr>
              <w:pStyle w:val="TableTextNoSpace"/>
              <w:jc w:val="left"/>
              <w:rPr>
                <w:rFonts w:asciiTheme="minorHAnsi" w:hAnsiTheme="minorHAnsi"/>
                <w:szCs w:val="20"/>
              </w:rPr>
            </w:pPr>
            <w:r w:rsidRPr="00370860">
              <w:rPr>
                <w:rFonts w:asciiTheme="minorHAnsi" w:hAnsiTheme="minorHAnsi"/>
                <w:b/>
                <w:szCs w:val="20"/>
                <w:highlight w:val="red"/>
              </w:rPr>
              <w:t>Low</w:t>
            </w:r>
            <w:r w:rsidRPr="00370860">
              <w:rPr>
                <w:rFonts w:asciiTheme="minorHAnsi" w:hAnsiTheme="minorHAnsi"/>
                <w:b/>
                <w:szCs w:val="20"/>
              </w:rPr>
              <w:t xml:space="preserve">: </w:t>
            </w:r>
            <w:r w:rsidRPr="00370860">
              <w:rPr>
                <w:rFonts w:asciiTheme="minorHAnsi" w:hAnsiTheme="minorHAnsi"/>
                <w:szCs w:val="20"/>
              </w:rPr>
              <w:t>No specific examples of application to N</w:t>
            </w:r>
            <w:r w:rsidR="005D01F2">
              <w:rPr>
                <w:rFonts w:asciiTheme="minorHAnsi" w:hAnsiTheme="minorHAnsi"/>
                <w:szCs w:val="20"/>
              </w:rPr>
              <w:t>2K</w:t>
            </w:r>
          </w:p>
        </w:tc>
        <w:tc>
          <w:tcPr>
            <w:tcW w:w="848" w:type="pct"/>
            <w:shd w:val="clear" w:color="auto" w:fill="auto"/>
          </w:tcPr>
          <w:p w14:paraId="595903B1" w14:textId="1C44F5A8" w:rsidR="00DE015E" w:rsidRPr="00370860" w:rsidRDefault="00DE015E" w:rsidP="00370860">
            <w:pPr>
              <w:pStyle w:val="TableTextNoSpace"/>
              <w:jc w:val="left"/>
              <w:rPr>
                <w:rFonts w:asciiTheme="minorHAnsi" w:hAnsiTheme="minorHAnsi"/>
                <w:szCs w:val="20"/>
              </w:rPr>
            </w:pPr>
            <w:r w:rsidRPr="00370860">
              <w:rPr>
                <w:rFonts w:asciiTheme="minorHAnsi" w:hAnsiTheme="minorHAnsi"/>
                <w:b/>
                <w:szCs w:val="20"/>
                <w:highlight w:val="green"/>
              </w:rPr>
              <w:t>High</w:t>
            </w:r>
            <w:r w:rsidRPr="00370860">
              <w:rPr>
                <w:rFonts w:asciiTheme="minorHAnsi" w:hAnsiTheme="minorHAnsi"/>
                <w:b/>
                <w:szCs w:val="20"/>
              </w:rPr>
              <w:t xml:space="preserve">: </w:t>
            </w:r>
            <w:r w:rsidRPr="00370860">
              <w:rPr>
                <w:rFonts w:asciiTheme="minorHAnsi" w:hAnsiTheme="minorHAnsi"/>
                <w:szCs w:val="20"/>
              </w:rPr>
              <w:t>Funding allocation for Wales in 2014-2020 is £1.13bn</w:t>
            </w:r>
          </w:p>
        </w:tc>
        <w:tc>
          <w:tcPr>
            <w:tcW w:w="848" w:type="pct"/>
            <w:shd w:val="clear" w:color="auto" w:fill="auto"/>
          </w:tcPr>
          <w:p w14:paraId="46EF7CC2" w14:textId="0211924F" w:rsidR="00DE015E" w:rsidRPr="00370860" w:rsidRDefault="00C15432" w:rsidP="00C15432">
            <w:pPr>
              <w:pStyle w:val="TableTextNoSpace"/>
              <w:jc w:val="left"/>
              <w:rPr>
                <w:rFonts w:asciiTheme="minorHAnsi" w:hAnsiTheme="minorHAnsi"/>
                <w:szCs w:val="20"/>
              </w:rPr>
            </w:pPr>
            <w:r>
              <w:rPr>
                <w:rFonts w:asciiTheme="minorHAnsi" w:hAnsiTheme="minorHAnsi"/>
                <w:b/>
                <w:szCs w:val="20"/>
                <w:highlight w:val="yellow"/>
              </w:rPr>
              <w:t>Mod:</w:t>
            </w:r>
            <w:r w:rsidR="003273E1" w:rsidRPr="00370860">
              <w:rPr>
                <w:rFonts w:asciiTheme="minorHAnsi" w:hAnsiTheme="minorHAnsi"/>
                <w:b/>
                <w:szCs w:val="20"/>
              </w:rPr>
              <w:t xml:space="preserve"> </w:t>
            </w:r>
            <w:r w:rsidR="005D01F2">
              <w:rPr>
                <w:rFonts w:asciiTheme="minorHAnsi" w:hAnsiTheme="minorHAnsi"/>
                <w:szCs w:val="20"/>
              </w:rPr>
              <w:t>W</w:t>
            </w:r>
            <w:r>
              <w:rPr>
                <w:rFonts w:asciiTheme="minorHAnsi" w:hAnsiTheme="minorHAnsi"/>
                <w:szCs w:val="20"/>
              </w:rPr>
              <w:t>ide range of actions</w:t>
            </w:r>
            <w:r w:rsidR="003273E1" w:rsidRPr="00370860">
              <w:rPr>
                <w:rFonts w:asciiTheme="minorHAnsi" w:hAnsiTheme="minorHAnsi"/>
                <w:szCs w:val="20"/>
              </w:rPr>
              <w:t xml:space="preserve"> can potentially be funded, </w:t>
            </w:r>
            <w:r w:rsidR="00FA6A25" w:rsidRPr="00370860">
              <w:rPr>
                <w:rFonts w:asciiTheme="minorHAnsi" w:hAnsiTheme="minorHAnsi"/>
                <w:szCs w:val="20"/>
              </w:rPr>
              <w:t>although the fund is generally best suited to capital investments</w:t>
            </w:r>
          </w:p>
        </w:tc>
        <w:tc>
          <w:tcPr>
            <w:tcW w:w="848" w:type="pct"/>
          </w:tcPr>
          <w:p w14:paraId="6C92080C" w14:textId="7FCA0E6C" w:rsidR="00DE015E" w:rsidRPr="00370860" w:rsidRDefault="00C15432" w:rsidP="00000791">
            <w:pPr>
              <w:pStyle w:val="TableTextNoSpace"/>
              <w:jc w:val="left"/>
              <w:rPr>
                <w:rFonts w:asciiTheme="minorHAnsi" w:hAnsiTheme="minorHAnsi"/>
                <w:szCs w:val="20"/>
              </w:rPr>
            </w:pPr>
            <w:r>
              <w:rPr>
                <w:rFonts w:asciiTheme="minorHAnsi" w:hAnsiTheme="minorHAnsi"/>
                <w:b/>
                <w:szCs w:val="20"/>
                <w:highlight w:val="yellow"/>
              </w:rPr>
              <w:t>Mod</w:t>
            </w:r>
            <w:r w:rsidR="00DE015E" w:rsidRPr="00370860">
              <w:rPr>
                <w:rFonts w:asciiTheme="minorHAnsi" w:hAnsiTheme="minorHAnsi"/>
                <w:b/>
                <w:szCs w:val="20"/>
              </w:rPr>
              <w:t xml:space="preserve">: </w:t>
            </w:r>
            <w:r w:rsidR="00FA6A25" w:rsidRPr="00370860">
              <w:rPr>
                <w:rFonts w:asciiTheme="minorHAnsi" w:hAnsiTheme="minorHAnsi"/>
                <w:szCs w:val="20"/>
              </w:rPr>
              <w:t xml:space="preserve">All </w:t>
            </w:r>
            <w:r w:rsidR="00000791">
              <w:rPr>
                <w:rFonts w:asciiTheme="minorHAnsi" w:hAnsiTheme="minorHAnsi"/>
                <w:szCs w:val="20"/>
              </w:rPr>
              <w:t xml:space="preserve">sites </w:t>
            </w:r>
            <w:r w:rsidR="00FA6A25" w:rsidRPr="00370860">
              <w:rPr>
                <w:rFonts w:asciiTheme="minorHAnsi" w:hAnsiTheme="minorHAnsi"/>
                <w:szCs w:val="20"/>
              </w:rPr>
              <w:t>within</w:t>
            </w:r>
            <w:r w:rsidR="00FA6A25" w:rsidRPr="00370860">
              <w:rPr>
                <w:rFonts w:asciiTheme="minorHAnsi" w:hAnsiTheme="minorHAnsi"/>
                <w:b/>
                <w:szCs w:val="20"/>
              </w:rPr>
              <w:t xml:space="preserve"> </w:t>
            </w:r>
            <w:r w:rsidR="00DE015E" w:rsidRPr="00370860">
              <w:rPr>
                <w:rFonts w:asciiTheme="minorHAnsi" w:hAnsiTheme="minorHAnsi"/>
                <w:szCs w:val="20"/>
              </w:rPr>
              <w:t>East Wales/West Wales and the Valleys Operational Program</w:t>
            </w:r>
            <w:r w:rsidR="001554C3" w:rsidRPr="00370860">
              <w:rPr>
                <w:rFonts w:asciiTheme="minorHAnsi" w:hAnsiTheme="minorHAnsi"/>
                <w:szCs w:val="20"/>
              </w:rPr>
              <w:t xml:space="preserve"> areas</w:t>
            </w:r>
            <w:r>
              <w:rPr>
                <w:rFonts w:asciiTheme="minorHAnsi" w:hAnsiTheme="minorHAnsi"/>
                <w:szCs w:val="20"/>
              </w:rPr>
              <w:t>. Focus is on development</w:t>
            </w:r>
            <w:r w:rsidR="00000791">
              <w:rPr>
                <w:rFonts w:asciiTheme="minorHAnsi" w:hAnsiTheme="minorHAnsi"/>
                <w:szCs w:val="20"/>
              </w:rPr>
              <w:t xml:space="preserve"> Projects must be outside the remit of other funds – so agriculture or fisheries projects would be ineligible.</w:t>
            </w:r>
          </w:p>
        </w:tc>
        <w:tc>
          <w:tcPr>
            <w:tcW w:w="849" w:type="pct"/>
          </w:tcPr>
          <w:p w14:paraId="394BB1F1" w14:textId="1718CC30" w:rsidR="00DE015E" w:rsidRPr="00370860" w:rsidRDefault="00DE015E" w:rsidP="00370860">
            <w:pPr>
              <w:pStyle w:val="TableTextNoSpace"/>
              <w:jc w:val="left"/>
              <w:rPr>
                <w:rFonts w:asciiTheme="minorHAnsi" w:hAnsiTheme="minorHAnsi"/>
                <w:szCs w:val="20"/>
              </w:rPr>
            </w:pPr>
            <w:r w:rsidRPr="00370860">
              <w:rPr>
                <w:rFonts w:asciiTheme="minorHAnsi" w:hAnsiTheme="minorHAnsi"/>
                <w:b/>
                <w:szCs w:val="20"/>
                <w:highlight w:val="yellow"/>
              </w:rPr>
              <w:t>Mod</w:t>
            </w:r>
            <w:r w:rsidRPr="00370860">
              <w:rPr>
                <w:rFonts w:asciiTheme="minorHAnsi" w:hAnsiTheme="minorHAnsi"/>
                <w:b/>
                <w:szCs w:val="20"/>
              </w:rPr>
              <w:t>:</w:t>
            </w:r>
            <w:r w:rsidRPr="00370860">
              <w:rPr>
                <w:rFonts w:asciiTheme="minorHAnsi" w:hAnsiTheme="minorHAnsi"/>
                <w:szCs w:val="20"/>
              </w:rPr>
              <w:t xml:space="preserve"> </w:t>
            </w:r>
            <w:r w:rsidR="00BB73E5" w:rsidRPr="00370860">
              <w:rPr>
                <w:rFonts w:asciiTheme="minorHAnsi" w:hAnsiTheme="minorHAnsi"/>
                <w:szCs w:val="20"/>
              </w:rPr>
              <w:t>P</w:t>
            </w:r>
            <w:r w:rsidRPr="00370860">
              <w:rPr>
                <w:rFonts w:asciiTheme="minorHAnsi" w:hAnsiTheme="minorHAnsi"/>
                <w:szCs w:val="20"/>
              </w:rPr>
              <w:t>otential for</w:t>
            </w:r>
            <w:r w:rsidR="004A38B2" w:rsidRPr="00370860">
              <w:rPr>
                <w:rFonts w:asciiTheme="minorHAnsi" w:hAnsiTheme="minorHAnsi"/>
                <w:szCs w:val="20"/>
              </w:rPr>
              <w:t xml:space="preserve"> funding in certain areas where fits</w:t>
            </w:r>
            <w:r w:rsidR="006C66B0">
              <w:rPr>
                <w:rFonts w:asciiTheme="minorHAnsi" w:hAnsiTheme="minorHAnsi"/>
                <w:szCs w:val="20"/>
              </w:rPr>
              <w:t xml:space="preserve"> well with economic development</w:t>
            </w:r>
            <w:r w:rsidRPr="00370860">
              <w:rPr>
                <w:rFonts w:asciiTheme="minorHAnsi" w:hAnsiTheme="minorHAnsi"/>
                <w:szCs w:val="20"/>
              </w:rPr>
              <w:t xml:space="preserve"> </w:t>
            </w:r>
            <w:r w:rsidR="004A38B2" w:rsidRPr="00370860">
              <w:rPr>
                <w:rFonts w:asciiTheme="minorHAnsi" w:hAnsiTheme="minorHAnsi"/>
                <w:szCs w:val="20"/>
              </w:rPr>
              <w:t xml:space="preserve">(e.g. </w:t>
            </w:r>
            <w:r w:rsidRPr="00370860">
              <w:rPr>
                <w:rFonts w:asciiTheme="minorHAnsi" w:hAnsiTheme="minorHAnsi"/>
                <w:szCs w:val="20"/>
              </w:rPr>
              <w:t>development of recreation, education and tourism partnerships</w:t>
            </w:r>
            <w:r w:rsidR="004A38B2" w:rsidRPr="00370860">
              <w:rPr>
                <w:rFonts w:asciiTheme="minorHAnsi" w:hAnsiTheme="minorHAnsi"/>
                <w:szCs w:val="20"/>
              </w:rPr>
              <w:t>).  Competing opportunities limit potential for applicability to core conservation measures.</w:t>
            </w:r>
            <w:r w:rsidRPr="00370860">
              <w:rPr>
                <w:rFonts w:asciiTheme="minorHAnsi" w:hAnsiTheme="minorHAnsi"/>
                <w:szCs w:val="20"/>
              </w:rPr>
              <w:t xml:space="preserve"> </w:t>
            </w:r>
          </w:p>
        </w:tc>
      </w:tr>
      <w:tr w:rsidR="00366762" w14:paraId="44377EA8" w14:textId="77777777" w:rsidTr="00370860">
        <w:tc>
          <w:tcPr>
            <w:tcW w:w="759" w:type="pct"/>
            <w:shd w:val="clear" w:color="auto" w:fill="auto"/>
          </w:tcPr>
          <w:p w14:paraId="28E08A51" w14:textId="7330501E" w:rsidR="00366762" w:rsidRPr="00370860" w:rsidRDefault="00366762" w:rsidP="00370860">
            <w:pPr>
              <w:pStyle w:val="TableTextNoSpace"/>
              <w:jc w:val="left"/>
              <w:rPr>
                <w:rFonts w:asciiTheme="minorHAnsi" w:hAnsiTheme="minorHAnsi"/>
                <w:szCs w:val="20"/>
              </w:rPr>
            </w:pPr>
            <w:r w:rsidRPr="00370860">
              <w:rPr>
                <w:rFonts w:asciiTheme="minorHAnsi" w:hAnsiTheme="minorHAnsi"/>
                <w:szCs w:val="20"/>
              </w:rPr>
              <w:t>ESF</w:t>
            </w:r>
          </w:p>
        </w:tc>
        <w:tc>
          <w:tcPr>
            <w:tcW w:w="848" w:type="pct"/>
            <w:shd w:val="clear" w:color="auto" w:fill="auto"/>
          </w:tcPr>
          <w:p w14:paraId="4927074A" w14:textId="4B343CE4" w:rsidR="00366762" w:rsidRPr="00370860" w:rsidRDefault="00366762" w:rsidP="005D01F2">
            <w:pPr>
              <w:pStyle w:val="TableTextNoSpace"/>
              <w:jc w:val="left"/>
              <w:rPr>
                <w:rFonts w:asciiTheme="minorHAnsi" w:hAnsiTheme="minorHAnsi"/>
                <w:b/>
                <w:szCs w:val="20"/>
                <w:highlight w:val="red"/>
              </w:rPr>
            </w:pPr>
            <w:r w:rsidRPr="00370860">
              <w:rPr>
                <w:rFonts w:asciiTheme="minorHAnsi" w:hAnsiTheme="minorHAnsi"/>
                <w:b/>
                <w:szCs w:val="20"/>
                <w:highlight w:val="red"/>
              </w:rPr>
              <w:t>Low</w:t>
            </w:r>
            <w:r w:rsidRPr="00370860">
              <w:rPr>
                <w:rFonts w:asciiTheme="minorHAnsi" w:hAnsiTheme="minorHAnsi"/>
                <w:b/>
                <w:szCs w:val="20"/>
              </w:rPr>
              <w:t xml:space="preserve">: </w:t>
            </w:r>
            <w:r w:rsidRPr="00370860">
              <w:rPr>
                <w:rFonts w:asciiTheme="minorHAnsi" w:hAnsiTheme="minorHAnsi"/>
                <w:szCs w:val="20"/>
              </w:rPr>
              <w:t>No current application to N</w:t>
            </w:r>
            <w:r w:rsidR="005D01F2">
              <w:rPr>
                <w:rFonts w:asciiTheme="minorHAnsi" w:hAnsiTheme="minorHAnsi"/>
                <w:szCs w:val="20"/>
              </w:rPr>
              <w:t>2K</w:t>
            </w:r>
            <w:r w:rsidRPr="00370860">
              <w:rPr>
                <w:rFonts w:asciiTheme="minorHAnsi" w:hAnsiTheme="minorHAnsi"/>
                <w:szCs w:val="20"/>
              </w:rPr>
              <w:t xml:space="preserve"> sites</w:t>
            </w:r>
          </w:p>
        </w:tc>
        <w:tc>
          <w:tcPr>
            <w:tcW w:w="848" w:type="pct"/>
            <w:shd w:val="clear" w:color="auto" w:fill="auto"/>
          </w:tcPr>
          <w:p w14:paraId="794F6EC2" w14:textId="53C09B93" w:rsidR="00366762" w:rsidRPr="00370860" w:rsidRDefault="00366762" w:rsidP="00370860">
            <w:pPr>
              <w:pStyle w:val="TableTextNoSpace"/>
              <w:jc w:val="left"/>
              <w:rPr>
                <w:rFonts w:asciiTheme="minorHAnsi" w:hAnsiTheme="minorHAnsi"/>
                <w:b/>
                <w:szCs w:val="20"/>
                <w:highlight w:val="green"/>
              </w:rPr>
            </w:pPr>
            <w:r w:rsidRPr="00370860">
              <w:rPr>
                <w:rFonts w:asciiTheme="minorHAnsi" w:hAnsiTheme="minorHAnsi"/>
                <w:b/>
                <w:szCs w:val="20"/>
                <w:highlight w:val="green"/>
              </w:rPr>
              <w:t>High</w:t>
            </w:r>
            <w:r w:rsidRPr="00370860">
              <w:rPr>
                <w:rFonts w:asciiTheme="minorHAnsi" w:hAnsiTheme="minorHAnsi"/>
                <w:b/>
                <w:szCs w:val="20"/>
              </w:rPr>
              <w:t xml:space="preserve">: </w:t>
            </w:r>
            <w:r w:rsidRPr="00370860">
              <w:rPr>
                <w:rFonts w:asciiTheme="minorHAnsi" w:hAnsiTheme="minorHAnsi"/>
                <w:szCs w:val="20"/>
              </w:rPr>
              <w:t>Funding allocation for Wales in 2014-2020 is £804m</w:t>
            </w:r>
          </w:p>
        </w:tc>
        <w:tc>
          <w:tcPr>
            <w:tcW w:w="848" w:type="pct"/>
            <w:shd w:val="clear" w:color="auto" w:fill="auto"/>
          </w:tcPr>
          <w:p w14:paraId="7758F040" w14:textId="2E10C25B" w:rsidR="00366762" w:rsidRPr="00370860" w:rsidRDefault="00366762" w:rsidP="005D01F2">
            <w:pPr>
              <w:pStyle w:val="TableTextNoSpace"/>
              <w:jc w:val="left"/>
              <w:rPr>
                <w:rFonts w:asciiTheme="minorHAnsi" w:hAnsiTheme="minorHAnsi"/>
                <w:b/>
                <w:szCs w:val="20"/>
                <w:highlight w:val="green"/>
              </w:rPr>
            </w:pPr>
            <w:r w:rsidRPr="00370860">
              <w:rPr>
                <w:rFonts w:asciiTheme="minorHAnsi" w:hAnsiTheme="minorHAnsi"/>
                <w:b/>
                <w:szCs w:val="20"/>
                <w:shd w:val="clear" w:color="auto" w:fill="FFFF00"/>
              </w:rPr>
              <w:t>Mod</w:t>
            </w:r>
            <w:r w:rsidRPr="00370860">
              <w:rPr>
                <w:rFonts w:asciiTheme="minorHAnsi" w:hAnsiTheme="minorHAnsi"/>
                <w:b/>
                <w:szCs w:val="20"/>
              </w:rPr>
              <w:t xml:space="preserve">: </w:t>
            </w:r>
            <w:r w:rsidRPr="00370860">
              <w:rPr>
                <w:rFonts w:asciiTheme="minorHAnsi" w:hAnsiTheme="minorHAnsi"/>
                <w:szCs w:val="20"/>
              </w:rPr>
              <w:t>A wide range of actions can potentially be funded; however there are limits in how well N</w:t>
            </w:r>
            <w:r w:rsidR="005D01F2">
              <w:rPr>
                <w:rFonts w:asciiTheme="minorHAnsi" w:hAnsiTheme="minorHAnsi"/>
                <w:szCs w:val="20"/>
              </w:rPr>
              <w:t>2K</w:t>
            </w:r>
            <w:r w:rsidRPr="00370860">
              <w:rPr>
                <w:rFonts w:asciiTheme="minorHAnsi" w:hAnsiTheme="minorHAnsi"/>
                <w:szCs w:val="20"/>
              </w:rPr>
              <w:t xml:space="preserve"> actions will fit with the ESF objectives </w:t>
            </w:r>
          </w:p>
        </w:tc>
        <w:tc>
          <w:tcPr>
            <w:tcW w:w="848" w:type="pct"/>
          </w:tcPr>
          <w:p w14:paraId="2A05B71F" w14:textId="53FCFA7E" w:rsidR="00366762" w:rsidRPr="00370860" w:rsidRDefault="00C15432" w:rsidP="00000791">
            <w:pPr>
              <w:pStyle w:val="TableTextNoSpace"/>
              <w:jc w:val="left"/>
              <w:rPr>
                <w:rFonts w:asciiTheme="minorHAnsi" w:hAnsiTheme="minorHAnsi"/>
                <w:b/>
                <w:szCs w:val="20"/>
                <w:highlight w:val="green"/>
              </w:rPr>
            </w:pPr>
            <w:r>
              <w:rPr>
                <w:rFonts w:asciiTheme="minorHAnsi" w:hAnsiTheme="minorHAnsi"/>
                <w:b/>
                <w:szCs w:val="20"/>
                <w:highlight w:val="yellow"/>
              </w:rPr>
              <w:t>Mod</w:t>
            </w:r>
            <w:r w:rsidR="00366762" w:rsidRPr="00370860">
              <w:rPr>
                <w:rFonts w:asciiTheme="minorHAnsi" w:hAnsiTheme="minorHAnsi"/>
                <w:b/>
                <w:szCs w:val="20"/>
              </w:rPr>
              <w:t xml:space="preserve">: </w:t>
            </w:r>
            <w:r w:rsidR="00366762" w:rsidRPr="00370860">
              <w:rPr>
                <w:rFonts w:asciiTheme="minorHAnsi" w:hAnsiTheme="minorHAnsi"/>
                <w:szCs w:val="20"/>
              </w:rPr>
              <w:t xml:space="preserve">All </w:t>
            </w:r>
            <w:r w:rsidR="00000791">
              <w:rPr>
                <w:rFonts w:asciiTheme="minorHAnsi" w:hAnsiTheme="minorHAnsi"/>
                <w:szCs w:val="20"/>
              </w:rPr>
              <w:t xml:space="preserve">sites </w:t>
            </w:r>
            <w:r w:rsidR="00366762" w:rsidRPr="00370860">
              <w:rPr>
                <w:rFonts w:asciiTheme="minorHAnsi" w:hAnsiTheme="minorHAnsi"/>
                <w:szCs w:val="20"/>
              </w:rPr>
              <w:t>within</w:t>
            </w:r>
            <w:r w:rsidR="00366762" w:rsidRPr="00370860">
              <w:rPr>
                <w:rFonts w:asciiTheme="minorHAnsi" w:hAnsiTheme="minorHAnsi"/>
                <w:b/>
                <w:szCs w:val="20"/>
              </w:rPr>
              <w:t xml:space="preserve"> </w:t>
            </w:r>
            <w:r w:rsidR="00366762" w:rsidRPr="00370860">
              <w:rPr>
                <w:rFonts w:asciiTheme="minorHAnsi" w:hAnsiTheme="minorHAnsi"/>
                <w:szCs w:val="20"/>
              </w:rPr>
              <w:t>East Wales/West Wales and the Va</w:t>
            </w:r>
            <w:r>
              <w:rPr>
                <w:rFonts w:asciiTheme="minorHAnsi" w:hAnsiTheme="minorHAnsi"/>
                <w:szCs w:val="20"/>
              </w:rPr>
              <w:t>lleys Operational Program areas. Focus is on skills, training and employment</w:t>
            </w:r>
            <w:r w:rsidR="00000791">
              <w:rPr>
                <w:rFonts w:asciiTheme="minorHAnsi" w:hAnsiTheme="minorHAnsi"/>
                <w:szCs w:val="20"/>
              </w:rPr>
              <w:t xml:space="preserve"> Projects must be outside the remit of other funds – so agriculture or fisheries projects would be ineligible.</w:t>
            </w:r>
          </w:p>
        </w:tc>
        <w:tc>
          <w:tcPr>
            <w:tcW w:w="849" w:type="pct"/>
          </w:tcPr>
          <w:p w14:paraId="384EDB15" w14:textId="23A9061D" w:rsidR="00366762" w:rsidRPr="00370860" w:rsidRDefault="00366762" w:rsidP="00370860">
            <w:pPr>
              <w:pStyle w:val="TableTextNoSpace"/>
              <w:jc w:val="left"/>
              <w:rPr>
                <w:rFonts w:asciiTheme="minorHAnsi" w:hAnsiTheme="minorHAnsi"/>
                <w:b/>
                <w:szCs w:val="20"/>
                <w:highlight w:val="yellow"/>
              </w:rPr>
            </w:pPr>
            <w:r w:rsidRPr="00370860">
              <w:rPr>
                <w:rFonts w:asciiTheme="minorHAnsi" w:hAnsiTheme="minorHAnsi"/>
                <w:b/>
                <w:szCs w:val="20"/>
                <w:highlight w:val="yellow"/>
              </w:rPr>
              <w:t>Mod</w:t>
            </w:r>
            <w:r w:rsidRPr="00370860">
              <w:rPr>
                <w:rFonts w:asciiTheme="minorHAnsi" w:hAnsiTheme="minorHAnsi"/>
                <w:b/>
                <w:szCs w:val="20"/>
              </w:rPr>
              <w:t xml:space="preserve">: </w:t>
            </w:r>
            <w:r w:rsidRPr="00370860">
              <w:rPr>
                <w:rFonts w:asciiTheme="minorHAnsi" w:hAnsiTheme="minorHAnsi"/>
                <w:szCs w:val="20"/>
              </w:rPr>
              <w:t>Potential for supporting monitoring, information, management planning and education needs. Good congruence with funds such as Heritage Lottery Fund. Competing opportunities limit potential for applicability to core conservation measures</w:t>
            </w:r>
          </w:p>
        </w:tc>
      </w:tr>
      <w:tr w:rsidR="00366762" w14:paraId="22302C9E" w14:textId="77777777" w:rsidTr="00370860">
        <w:tc>
          <w:tcPr>
            <w:tcW w:w="759" w:type="pct"/>
            <w:shd w:val="clear" w:color="auto" w:fill="auto"/>
          </w:tcPr>
          <w:p w14:paraId="3F0EE5FE" w14:textId="0FC53E99" w:rsidR="00366762" w:rsidRPr="00370860" w:rsidRDefault="00366762" w:rsidP="00370860">
            <w:pPr>
              <w:pStyle w:val="TableTextNoSpace"/>
              <w:jc w:val="left"/>
              <w:rPr>
                <w:rFonts w:asciiTheme="minorHAnsi" w:hAnsiTheme="minorHAnsi"/>
                <w:szCs w:val="20"/>
              </w:rPr>
            </w:pPr>
            <w:r w:rsidRPr="00370860">
              <w:rPr>
                <w:rFonts w:asciiTheme="minorHAnsi" w:hAnsiTheme="minorHAnsi"/>
                <w:szCs w:val="20"/>
              </w:rPr>
              <w:t xml:space="preserve">LIFE </w:t>
            </w:r>
          </w:p>
        </w:tc>
        <w:tc>
          <w:tcPr>
            <w:tcW w:w="848" w:type="pct"/>
            <w:shd w:val="clear" w:color="auto" w:fill="auto"/>
          </w:tcPr>
          <w:p w14:paraId="399A0B14" w14:textId="1CFF1C0C" w:rsidR="00366762" w:rsidRPr="00370860" w:rsidRDefault="00366762" w:rsidP="00370860">
            <w:pPr>
              <w:pStyle w:val="TableTextNoSpace"/>
              <w:jc w:val="left"/>
              <w:rPr>
                <w:rFonts w:asciiTheme="minorHAnsi" w:hAnsiTheme="minorHAnsi"/>
                <w:b/>
                <w:szCs w:val="20"/>
                <w:highlight w:val="red"/>
              </w:rPr>
            </w:pPr>
            <w:r w:rsidRPr="00370860">
              <w:rPr>
                <w:rFonts w:asciiTheme="minorHAnsi" w:hAnsiTheme="minorHAnsi"/>
                <w:b/>
                <w:szCs w:val="20"/>
                <w:highlight w:val="yellow"/>
              </w:rPr>
              <w:t>Mod</w:t>
            </w:r>
            <w:r w:rsidRPr="00370860">
              <w:rPr>
                <w:rFonts w:asciiTheme="minorHAnsi" w:hAnsiTheme="minorHAnsi"/>
                <w:b/>
                <w:szCs w:val="20"/>
              </w:rPr>
              <w:t xml:space="preserve">: </w:t>
            </w:r>
            <w:r w:rsidRPr="00370860">
              <w:rPr>
                <w:rFonts w:asciiTheme="minorHAnsi" w:hAnsiTheme="minorHAnsi"/>
                <w:szCs w:val="20"/>
              </w:rPr>
              <w:t xml:space="preserve">Handful of completed and ongoing LIFE projects and programmes </w:t>
            </w:r>
          </w:p>
        </w:tc>
        <w:tc>
          <w:tcPr>
            <w:tcW w:w="848" w:type="pct"/>
            <w:shd w:val="clear" w:color="auto" w:fill="auto"/>
          </w:tcPr>
          <w:p w14:paraId="65A7D4E1" w14:textId="5C110FE4" w:rsidR="00366762" w:rsidRPr="00370860" w:rsidRDefault="00652EA8" w:rsidP="00370860">
            <w:pPr>
              <w:pStyle w:val="TableTextNoSpace"/>
              <w:jc w:val="left"/>
              <w:rPr>
                <w:rFonts w:asciiTheme="minorHAnsi" w:hAnsiTheme="minorHAnsi"/>
                <w:b/>
                <w:szCs w:val="20"/>
                <w:highlight w:val="green"/>
              </w:rPr>
            </w:pPr>
            <w:r w:rsidRPr="00370860">
              <w:rPr>
                <w:rFonts w:asciiTheme="minorHAnsi" w:hAnsiTheme="minorHAnsi"/>
                <w:b/>
                <w:szCs w:val="20"/>
                <w:highlight w:val="red"/>
              </w:rPr>
              <w:t>Low</w:t>
            </w:r>
            <w:r w:rsidR="00366762" w:rsidRPr="00370860">
              <w:rPr>
                <w:rFonts w:asciiTheme="minorHAnsi" w:hAnsiTheme="minorHAnsi"/>
                <w:b/>
                <w:szCs w:val="20"/>
              </w:rPr>
              <w:t xml:space="preserve">: </w:t>
            </w:r>
            <w:r w:rsidR="00366762" w:rsidRPr="00370860">
              <w:rPr>
                <w:rFonts w:asciiTheme="minorHAnsi" w:hAnsiTheme="minorHAnsi"/>
                <w:szCs w:val="20"/>
              </w:rPr>
              <w:t>Annual EU funds of £404m</w:t>
            </w:r>
            <w:r>
              <w:rPr>
                <w:rFonts w:asciiTheme="minorHAnsi" w:hAnsiTheme="minorHAnsi"/>
                <w:szCs w:val="20"/>
              </w:rPr>
              <w:t xml:space="preserve"> across 28 Member States, a small proportion of which is likely to be captured in Wales.</w:t>
            </w:r>
            <w:r w:rsidR="00366762" w:rsidRPr="00370860">
              <w:rPr>
                <w:rFonts w:asciiTheme="minorHAnsi" w:hAnsiTheme="minorHAnsi"/>
                <w:szCs w:val="20"/>
              </w:rPr>
              <w:t xml:space="preserve">  </w:t>
            </w:r>
          </w:p>
        </w:tc>
        <w:tc>
          <w:tcPr>
            <w:tcW w:w="848" w:type="pct"/>
            <w:shd w:val="clear" w:color="auto" w:fill="auto"/>
          </w:tcPr>
          <w:p w14:paraId="729EBB0A" w14:textId="110DAF97" w:rsidR="00366762" w:rsidRPr="00370860" w:rsidRDefault="00366762" w:rsidP="00370860">
            <w:pPr>
              <w:pStyle w:val="TableTextNoSpace"/>
              <w:jc w:val="left"/>
              <w:rPr>
                <w:rFonts w:asciiTheme="minorHAnsi" w:hAnsiTheme="minorHAnsi"/>
                <w:szCs w:val="20"/>
              </w:rPr>
            </w:pPr>
            <w:r w:rsidRPr="00370860">
              <w:rPr>
                <w:rFonts w:asciiTheme="minorHAnsi" w:hAnsiTheme="minorHAnsi"/>
                <w:b/>
                <w:szCs w:val="20"/>
                <w:highlight w:val="green"/>
              </w:rPr>
              <w:t>High</w:t>
            </w:r>
            <w:r w:rsidRPr="00370860">
              <w:rPr>
                <w:rFonts w:asciiTheme="minorHAnsi" w:hAnsiTheme="minorHAnsi"/>
                <w:b/>
                <w:szCs w:val="20"/>
              </w:rPr>
              <w:t xml:space="preserve">: </w:t>
            </w:r>
            <w:r w:rsidR="005D01F2">
              <w:rPr>
                <w:rFonts w:asciiTheme="minorHAnsi" w:hAnsiTheme="minorHAnsi"/>
                <w:szCs w:val="20"/>
              </w:rPr>
              <w:t>A</w:t>
            </w:r>
            <w:r w:rsidRPr="00370860">
              <w:rPr>
                <w:rFonts w:asciiTheme="minorHAnsi" w:hAnsiTheme="minorHAnsi"/>
                <w:szCs w:val="20"/>
              </w:rPr>
              <w:t xml:space="preserve"> wide range of management actions, including core actions with few alternative sources of funds</w:t>
            </w:r>
          </w:p>
        </w:tc>
        <w:tc>
          <w:tcPr>
            <w:tcW w:w="848" w:type="pct"/>
          </w:tcPr>
          <w:p w14:paraId="4E7A5FC6" w14:textId="098417A0" w:rsidR="00366762" w:rsidRPr="00370860" w:rsidRDefault="00366762" w:rsidP="00370860">
            <w:pPr>
              <w:pStyle w:val="TableTextNoSpace"/>
              <w:jc w:val="left"/>
              <w:rPr>
                <w:rFonts w:asciiTheme="minorHAnsi" w:hAnsiTheme="minorHAnsi"/>
                <w:b/>
                <w:szCs w:val="20"/>
                <w:highlight w:val="yellow"/>
              </w:rPr>
            </w:pPr>
            <w:r w:rsidRPr="00370860">
              <w:rPr>
                <w:rFonts w:asciiTheme="minorHAnsi" w:hAnsiTheme="minorHAnsi"/>
                <w:b/>
                <w:szCs w:val="20"/>
                <w:highlight w:val="green"/>
              </w:rPr>
              <w:t>High</w:t>
            </w:r>
            <w:r w:rsidRPr="00370860">
              <w:rPr>
                <w:rFonts w:asciiTheme="minorHAnsi" w:hAnsiTheme="minorHAnsi"/>
                <w:b/>
                <w:szCs w:val="20"/>
              </w:rPr>
              <w:t xml:space="preserve">: </w:t>
            </w:r>
            <w:r w:rsidRPr="00370860">
              <w:rPr>
                <w:rFonts w:asciiTheme="minorHAnsi" w:hAnsiTheme="minorHAnsi"/>
                <w:szCs w:val="20"/>
              </w:rPr>
              <w:t>Applicable to all N</w:t>
            </w:r>
            <w:r w:rsidR="005D01F2">
              <w:rPr>
                <w:rFonts w:asciiTheme="minorHAnsi" w:hAnsiTheme="minorHAnsi"/>
                <w:szCs w:val="20"/>
              </w:rPr>
              <w:t xml:space="preserve">2K </w:t>
            </w:r>
            <w:r w:rsidRPr="00370860">
              <w:rPr>
                <w:rFonts w:asciiTheme="minorHAnsi" w:hAnsiTheme="minorHAnsi"/>
                <w:szCs w:val="20"/>
              </w:rPr>
              <w:t xml:space="preserve"> habitats </w:t>
            </w:r>
            <w:r w:rsidR="005D01F2">
              <w:rPr>
                <w:rFonts w:asciiTheme="minorHAnsi" w:hAnsiTheme="minorHAnsi"/>
                <w:szCs w:val="20"/>
              </w:rPr>
              <w:t>and species</w:t>
            </w:r>
            <w:r w:rsidRPr="00370860">
              <w:rPr>
                <w:rFonts w:asciiTheme="minorHAnsi" w:hAnsiTheme="minorHAnsi"/>
                <w:szCs w:val="20"/>
              </w:rPr>
              <w:t xml:space="preserve">– projects and integrated programmes </w:t>
            </w:r>
          </w:p>
        </w:tc>
        <w:tc>
          <w:tcPr>
            <w:tcW w:w="849" w:type="pct"/>
          </w:tcPr>
          <w:p w14:paraId="47B9138F" w14:textId="5515E0ED" w:rsidR="00366762" w:rsidRPr="00370860" w:rsidRDefault="00366762" w:rsidP="00370860">
            <w:pPr>
              <w:pStyle w:val="TableTextNoSpace"/>
              <w:jc w:val="left"/>
              <w:rPr>
                <w:rFonts w:asciiTheme="minorHAnsi" w:hAnsiTheme="minorHAnsi"/>
                <w:b/>
                <w:szCs w:val="20"/>
                <w:highlight w:val="yellow"/>
              </w:rPr>
            </w:pPr>
            <w:r w:rsidRPr="00370860">
              <w:rPr>
                <w:rFonts w:asciiTheme="minorHAnsi" w:hAnsiTheme="minorHAnsi"/>
                <w:b/>
                <w:szCs w:val="20"/>
                <w:highlight w:val="yellow"/>
              </w:rPr>
              <w:t>Mod</w:t>
            </w:r>
            <w:r w:rsidRPr="00370860">
              <w:rPr>
                <w:rFonts w:asciiTheme="minorHAnsi" w:hAnsiTheme="minorHAnsi"/>
                <w:b/>
                <w:szCs w:val="20"/>
              </w:rPr>
              <w:t xml:space="preserve">: </w:t>
            </w:r>
            <w:r w:rsidR="005D01F2">
              <w:rPr>
                <w:rFonts w:asciiTheme="minorHAnsi" w:hAnsiTheme="minorHAnsi"/>
                <w:szCs w:val="20"/>
              </w:rPr>
              <w:t>G</w:t>
            </w:r>
            <w:r w:rsidRPr="00370860">
              <w:rPr>
                <w:rFonts w:asciiTheme="minorHAnsi" w:hAnsiTheme="minorHAnsi"/>
                <w:szCs w:val="20"/>
              </w:rPr>
              <w:t>ood potential to link to wider (Wales and UK) initiatives, develop NGO and private sector partnerships. However, strong competition for funds</w:t>
            </w:r>
          </w:p>
        </w:tc>
      </w:tr>
      <w:tr w:rsidR="00366762" w14:paraId="2649BDF8" w14:textId="77777777" w:rsidTr="00370860">
        <w:tc>
          <w:tcPr>
            <w:tcW w:w="759" w:type="pct"/>
            <w:shd w:val="clear" w:color="auto" w:fill="auto"/>
          </w:tcPr>
          <w:p w14:paraId="448DC335" w14:textId="317A18BB" w:rsidR="00366762" w:rsidRPr="00370860" w:rsidRDefault="00366762" w:rsidP="00370860">
            <w:pPr>
              <w:pStyle w:val="TableTextNoSpace"/>
              <w:jc w:val="left"/>
              <w:rPr>
                <w:rFonts w:asciiTheme="minorHAnsi" w:hAnsiTheme="minorHAnsi"/>
                <w:szCs w:val="20"/>
              </w:rPr>
            </w:pPr>
            <w:r w:rsidRPr="00370860">
              <w:rPr>
                <w:rFonts w:asciiTheme="minorHAnsi" w:hAnsiTheme="minorHAnsi"/>
                <w:szCs w:val="20"/>
              </w:rPr>
              <w:t xml:space="preserve">Horizon 2020 </w:t>
            </w:r>
          </w:p>
        </w:tc>
        <w:tc>
          <w:tcPr>
            <w:tcW w:w="848" w:type="pct"/>
            <w:shd w:val="clear" w:color="auto" w:fill="auto"/>
          </w:tcPr>
          <w:p w14:paraId="0D869968" w14:textId="19F6EE1A" w:rsidR="00366762" w:rsidRPr="00370860" w:rsidRDefault="00366762" w:rsidP="008001BA">
            <w:pPr>
              <w:pStyle w:val="TableTextNoSpace"/>
              <w:jc w:val="left"/>
              <w:rPr>
                <w:rFonts w:asciiTheme="minorHAnsi" w:hAnsiTheme="minorHAnsi"/>
                <w:b/>
                <w:szCs w:val="20"/>
                <w:highlight w:val="red"/>
              </w:rPr>
            </w:pPr>
            <w:r w:rsidRPr="00370860">
              <w:rPr>
                <w:rFonts w:asciiTheme="minorHAnsi" w:hAnsiTheme="minorHAnsi"/>
                <w:b/>
                <w:szCs w:val="20"/>
                <w:highlight w:val="red"/>
              </w:rPr>
              <w:t>Low</w:t>
            </w:r>
            <w:r w:rsidRPr="00370860">
              <w:rPr>
                <w:rFonts w:asciiTheme="minorHAnsi" w:hAnsiTheme="minorHAnsi"/>
                <w:b/>
                <w:szCs w:val="20"/>
              </w:rPr>
              <w:t xml:space="preserve">: </w:t>
            </w:r>
            <w:r w:rsidRPr="00370860">
              <w:rPr>
                <w:rFonts w:asciiTheme="minorHAnsi" w:hAnsiTheme="minorHAnsi"/>
                <w:szCs w:val="20"/>
              </w:rPr>
              <w:t>Some examples of FP7 funds being applied to conservation research</w:t>
            </w:r>
            <w:r w:rsidR="005D01F2">
              <w:rPr>
                <w:rFonts w:asciiTheme="minorHAnsi" w:hAnsiTheme="minorHAnsi"/>
                <w:szCs w:val="20"/>
              </w:rPr>
              <w:t xml:space="preserve"> in Wales</w:t>
            </w:r>
            <w:r w:rsidR="00652EA8">
              <w:rPr>
                <w:rFonts w:asciiTheme="minorHAnsi" w:hAnsiTheme="minorHAnsi"/>
                <w:szCs w:val="20"/>
              </w:rPr>
              <w:t>, but limited direct applicability to N</w:t>
            </w:r>
            <w:r w:rsidR="005D01F2">
              <w:rPr>
                <w:rFonts w:asciiTheme="minorHAnsi" w:hAnsiTheme="minorHAnsi"/>
                <w:szCs w:val="20"/>
              </w:rPr>
              <w:t>2K</w:t>
            </w:r>
          </w:p>
        </w:tc>
        <w:tc>
          <w:tcPr>
            <w:tcW w:w="848" w:type="pct"/>
            <w:shd w:val="clear" w:color="auto" w:fill="auto"/>
          </w:tcPr>
          <w:p w14:paraId="7FB7D364" w14:textId="05D8F51C" w:rsidR="00366762" w:rsidRPr="00370860" w:rsidRDefault="00366762" w:rsidP="00370860">
            <w:pPr>
              <w:pStyle w:val="TableTextNoSpace"/>
              <w:jc w:val="left"/>
              <w:rPr>
                <w:rFonts w:asciiTheme="minorHAnsi" w:hAnsiTheme="minorHAnsi"/>
                <w:b/>
                <w:szCs w:val="20"/>
                <w:highlight w:val="green"/>
              </w:rPr>
            </w:pPr>
            <w:r w:rsidRPr="00370860">
              <w:rPr>
                <w:rFonts w:asciiTheme="minorHAnsi" w:hAnsiTheme="minorHAnsi"/>
                <w:b/>
                <w:szCs w:val="20"/>
                <w:highlight w:val="green"/>
              </w:rPr>
              <w:t>High</w:t>
            </w:r>
            <w:r w:rsidRPr="00370860">
              <w:rPr>
                <w:rFonts w:asciiTheme="minorHAnsi" w:hAnsiTheme="minorHAnsi"/>
                <w:b/>
                <w:szCs w:val="20"/>
              </w:rPr>
              <w:t xml:space="preserve">: </w:t>
            </w:r>
            <w:r w:rsidRPr="00370860">
              <w:rPr>
                <w:rFonts w:asciiTheme="minorHAnsi" w:hAnsiTheme="minorHAnsi"/>
                <w:szCs w:val="20"/>
              </w:rPr>
              <w:t xml:space="preserve"> Total EU funds of £62bn (2014-2020)</w:t>
            </w:r>
            <w:r w:rsidR="00652EA8">
              <w:rPr>
                <w:rFonts w:asciiTheme="minorHAnsi" w:hAnsiTheme="minorHAnsi"/>
                <w:szCs w:val="20"/>
              </w:rPr>
              <w:t xml:space="preserve"> across 28 Member States</w:t>
            </w:r>
          </w:p>
        </w:tc>
        <w:tc>
          <w:tcPr>
            <w:tcW w:w="848" w:type="pct"/>
            <w:shd w:val="clear" w:color="auto" w:fill="auto"/>
          </w:tcPr>
          <w:p w14:paraId="4A358E66" w14:textId="4362B49C" w:rsidR="00366762" w:rsidRPr="00370860" w:rsidRDefault="00366762" w:rsidP="00370860">
            <w:pPr>
              <w:pStyle w:val="TableTextNoSpace"/>
              <w:jc w:val="left"/>
              <w:rPr>
                <w:rFonts w:asciiTheme="minorHAnsi" w:hAnsiTheme="minorHAnsi"/>
                <w:szCs w:val="20"/>
              </w:rPr>
            </w:pPr>
            <w:r w:rsidRPr="00370860">
              <w:rPr>
                <w:rFonts w:asciiTheme="minorHAnsi" w:hAnsiTheme="minorHAnsi"/>
                <w:b/>
                <w:szCs w:val="20"/>
                <w:highlight w:val="red"/>
              </w:rPr>
              <w:t>Low</w:t>
            </w:r>
            <w:r w:rsidRPr="00370860">
              <w:rPr>
                <w:rFonts w:asciiTheme="minorHAnsi" w:hAnsiTheme="minorHAnsi"/>
                <w:b/>
                <w:szCs w:val="20"/>
              </w:rPr>
              <w:t xml:space="preserve">: </w:t>
            </w:r>
            <w:r w:rsidR="005D01F2">
              <w:rPr>
                <w:rFonts w:asciiTheme="minorHAnsi" w:hAnsiTheme="minorHAnsi"/>
                <w:szCs w:val="20"/>
              </w:rPr>
              <w:t>A</w:t>
            </w:r>
            <w:r w:rsidRPr="00370860">
              <w:rPr>
                <w:rFonts w:asciiTheme="minorHAnsi" w:hAnsiTheme="minorHAnsi"/>
                <w:szCs w:val="20"/>
              </w:rPr>
              <w:t xml:space="preserve"> wide range of management actions can potentially be funded, however these will need to be delivered as part of research-based projects in order to qualify.  In practice, funding will focus on research.</w:t>
            </w:r>
          </w:p>
        </w:tc>
        <w:tc>
          <w:tcPr>
            <w:tcW w:w="848" w:type="pct"/>
          </w:tcPr>
          <w:p w14:paraId="03A4CEA0" w14:textId="3CB79200" w:rsidR="00366762" w:rsidRPr="00370860" w:rsidRDefault="00366762" w:rsidP="00370860">
            <w:pPr>
              <w:pStyle w:val="TableTextNoSpace"/>
              <w:jc w:val="left"/>
              <w:rPr>
                <w:rFonts w:asciiTheme="minorHAnsi" w:hAnsiTheme="minorHAnsi"/>
                <w:b/>
                <w:szCs w:val="20"/>
                <w:highlight w:val="yellow"/>
              </w:rPr>
            </w:pPr>
            <w:r w:rsidRPr="00370860">
              <w:rPr>
                <w:rFonts w:asciiTheme="minorHAnsi" w:hAnsiTheme="minorHAnsi"/>
                <w:b/>
                <w:szCs w:val="20"/>
                <w:highlight w:val="yellow"/>
              </w:rPr>
              <w:t>Mod</w:t>
            </w:r>
            <w:r w:rsidRPr="00370860">
              <w:rPr>
                <w:rFonts w:asciiTheme="minorHAnsi" w:hAnsiTheme="minorHAnsi"/>
                <w:b/>
                <w:szCs w:val="20"/>
              </w:rPr>
              <w:t xml:space="preserve">: </w:t>
            </w:r>
            <w:r w:rsidR="005D01F2">
              <w:rPr>
                <w:rFonts w:asciiTheme="minorHAnsi" w:hAnsiTheme="minorHAnsi"/>
                <w:szCs w:val="20"/>
              </w:rPr>
              <w:t>A</w:t>
            </w:r>
            <w:r w:rsidRPr="00370860">
              <w:rPr>
                <w:rFonts w:asciiTheme="minorHAnsi" w:hAnsiTheme="minorHAnsi"/>
                <w:szCs w:val="20"/>
              </w:rPr>
              <w:t>pplicable to a range of terrestrial, freshwater and marine habitats</w:t>
            </w:r>
            <w:r w:rsidR="005D01F2">
              <w:rPr>
                <w:rFonts w:asciiTheme="minorHAnsi" w:hAnsiTheme="minorHAnsi"/>
                <w:szCs w:val="20"/>
              </w:rPr>
              <w:t xml:space="preserve"> and species</w:t>
            </w:r>
            <w:r w:rsidRPr="00370860">
              <w:rPr>
                <w:rFonts w:asciiTheme="minorHAnsi" w:hAnsiTheme="minorHAnsi"/>
                <w:szCs w:val="20"/>
              </w:rPr>
              <w:t xml:space="preserve">, although funds need to be research and innovation focused rather than basic information gathering </w:t>
            </w:r>
          </w:p>
        </w:tc>
        <w:tc>
          <w:tcPr>
            <w:tcW w:w="849" w:type="pct"/>
          </w:tcPr>
          <w:p w14:paraId="6497955B" w14:textId="311922C7" w:rsidR="00366762" w:rsidRPr="00370860" w:rsidRDefault="00366762" w:rsidP="00370860">
            <w:pPr>
              <w:pStyle w:val="TableTextNoSpace"/>
              <w:jc w:val="left"/>
              <w:rPr>
                <w:rFonts w:asciiTheme="minorHAnsi" w:hAnsiTheme="minorHAnsi"/>
                <w:b/>
                <w:szCs w:val="20"/>
                <w:highlight w:val="yellow"/>
              </w:rPr>
            </w:pPr>
            <w:r w:rsidRPr="00370860">
              <w:rPr>
                <w:rFonts w:asciiTheme="minorHAnsi" w:hAnsiTheme="minorHAnsi"/>
                <w:b/>
                <w:szCs w:val="20"/>
                <w:highlight w:val="yellow"/>
              </w:rPr>
              <w:t>Mod</w:t>
            </w:r>
            <w:r w:rsidRPr="00370860">
              <w:rPr>
                <w:rFonts w:asciiTheme="minorHAnsi" w:hAnsiTheme="minorHAnsi"/>
                <w:b/>
                <w:szCs w:val="20"/>
              </w:rPr>
              <w:t xml:space="preserve">: </w:t>
            </w:r>
            <w:r w:rsidRPr="00370860">
              <w:rPr>
                <w:rFonts w:asciiTheme="minorHAnsi" w:hAnsiTheme="minorHAnsi"/>
                <w:szCs w:val="20"/>
              </w:rPr>
              <w:t>Particular potential for research and innovation through rural SME partnerships and marine evidence needs</w:t>
            </w:r>
          </w:p>
        </w:tc>
      </w:tr>
      <w:tr w:rsidR="00366762" w14:paraId="3379C2D9" w14:textId="77777777" w:rsidTr="00370860">
        <w:tc>
          <w:tcPr>
            <w:tcW w:w="5000" w:type="pct"/>
            <w:gridSpan w:val="6"/>
            <w:shd w:val="clear" w:color="auto" w:fill="F2F2F2" w:themeFill="background1" w:themeFillShade="F2"/>
          </w:tcPr>
          <w:p w14:paraId="4524E534" w14:textId="706E8072" w:rsidR="00366762" w:rsidRPr="00370860" w:rsidRDefault="00366762" w:rsidP="00370860">
            <w:pPr>
              <w:pStyle w:val="TableTextNoSpace"/>
              <w:jc w:val="left"/>
              <w:rPr>
                <w:rFonts w:asciiTheme="minorHAnsi" w:hAnsiTheme="minorHAnsi"/>
                <w:b/>
                <w:szCs w:val="20"/>
              </w:rPr>
            </w:pPr>
            <w:r w:rsidRPr="00370860">
              <w:rPr>
                <w:rFonts w:asciiTheme="minorHAnsi" w:hAnsiTheme="minorHAnsi"/>
                <w:b/>
                <w:szCs w:val="20"/>
              </w:rPr>
              <w:t xml:space="preserve">Other sector plans, strategic and public funds </w:t>
            </w:r>
          </w:p>
        </w:tc>
      </w:tr>
      <w:tr w:rsidR="00366762" w14:paraId="18F53234" w14:textId="77777777" w:rsidTr="00370860">
        <w:tc>
          <w:tcPr>
            <w:tcW w:w="759" w:type="pct"/>
            <w:shd w:val="clear" w:color="auto" w:fill="auto"/>
          </w:tcPr>
          <w:p w14:paraId="6134D932" w14:textId="77777777" w:rsidR="00366762" w:rsidRPr="00370860" w:rsidRDefault="00366762" w:rsidP="00370860">
            <w:pPr>
              <w:pStyle w:val="TableTextNoSpace"/>
              <w:jc w:val="left"/>
              <w:rPr>
                <w:rFonts w:asciiTheme="minorHAnsi" w:hAnsiTheme="minorHAnsi"/>
                <w:szCs w:val="20"/>
              </w:rPr>
            </w:pPr>
            <w:r w:rsidRPr="00370860">
              <w:rPr>
                <w:rFonts w:asciiTheme="minorHAnsi" w:hAnsiTheme="minorHAnsi"/>
                <w:szCs w:val="20"/>
              </w:rPr>
              <w:t xml:space="preserve">River basin management </w:t>
            </w:r>
          </w:p>
        </w:tc>
        <w:tc>
          <w:tcPr>
            <w:tcW w:w="848" w:type="pct"/>
            <w:shd w:val="clear" w:color="auto" w:fill="auto"/>
          </w:tcPr>
          <w:p w14:paraId="437D2F40" w14:textId="69DBD8B7" w:rsidR="00366762" w:rsidRPr="00370860" w:rsidRDefault="00366762" w:rsidP="00370860">
            <w:pPr>
              <w:pStyle w:val="TableTextNoSpace"/>
              <w:jc w:val="left"/>
              <w:rPr>
                <w:rFonts w:asciiTheme="minorHAnsi" w:hAnsiTheme="minorHAnsi"/>
                <w:szCs w:val="20"/>
              </w:rPr>
            </w:pPr>
            <w:r w:rsidRPr="00370860">
              <w:rPr>
                <w:rFonts w:asciiTheme="minorHAnsi" w:hAnsiTheme="minorHAnsi"/>
                <w:b/>
                <w:szCs w:val="20"/>
                <w:highlight w:val="red"/>
              </w:rPr>
              <w:t>Low</w:t>
            </w:r>
            <w:r w:rsidRPr="00370860">
              <w:rPr>
                <w:rFonts w:asciiTheme="minorHAnsi" w:hAnsiTheme="minorHAnsi"/>
                <w:b/>
                <w:szCs w:val="20"/>
              </w:rPr>
              <w:t xml:space="preserve">: </w:t>
            </w:r>
            <w:r w:rsidRPr="00370860">
              <w:rPr>
                <w:rFonts w:asciiTheme="minorHAnsi" w:hAnsiTheme="minorHAnsi"/>
                <w:szCs w:val="20"/>
              </w:rPr>
              <w:t>Initial support to a range of catchment-based initiatives and programmes. However, applied less widely than elsewhere in the UK</w:t>
            </w:r>
          </w:p>
        </w:tc>
        <w:tc>
          <w:tcPr>
            <w:tcW w:w="848" w:type="pct"/>
            <w:shd w:val="clear" w:color="auto" w:fill="auto"/>
          </w:tcPr>
          <w:p w14:paraId="348A8D28" w14:textId="021DAF51" w:rsidR="00366762" w:rsidRPr="00370860" w:rsidRDefault="00652EA8" w:rsidP="00370860">
            <w:pPr>
              <w:pStyle w:val="TableTextNoSpace"/>
              <w:jc w:val="left"/>
              <w:rPr>
                <w:rFonts w:asciiTheme="minorHAnsi" w:hAnsiTheme="minorHAnsi"/>
                <w:szCs w:val="20"/>
              </w:rPr>
            </w:pPr>
            <w:r w:rsidRPr="00370860">
              <w:rPr>
                <w:rFonts w:asciiTheme="minorHAnsi" w:hAnsiTheme="minorHAnsi"/>
                <w:b/>
                <w:szCs w:val="20"/>
                <w:highlight w:val="red"/>
              </w:rPr>
              <w:t>Low</w:t>
            </w:r>
            <w:r w:rsidR="00366762" w:rsidRPr="00370860">
              <w:rPr>
                <w:rFonts w:asciiTheme="minorHAnsi" w:hAnsiTheme="minorHAnsi"/>
                <w:b/>
                <w:szCs w:val="20"/>
              </w:rPr>
              <w:t xml:space="preserve">: </w:t>
            </w:r>
            <w:r w:rsidR="00366762" w:rsidRPr="00370860">
              <w:rPr>
                <w:rFonts w:asciiTheme="minorHAnsi" w:hAnsiTheme="minorHAnsi"/>
                <w:szCs w:val="20"/>
              </w:rPr>
              <w:t>Approximately £1.1m of WFD competitive grants available each year. Smaller funds include £50,000 Dwr Cymru Invasive Species fund</w:t>
            </w:r>
          </w:p>
        </w:tc>
        <w:tc>
          <w:tcPr>
            <w:tcW w:w="848" w:type="pct"/>
            <w:shd w:val="clear" w:color="auto" w:fill="auto"/>
          </w:tcPr>
          <w:p w14:paraId="42560861" w14:textId="2338A9FB" w:rsidR="00366762" w:rsidRPr="00370860" w:rsidRDefault="00366762" w:rsidP="00370860">
            <w:pPr>
              <w:pStyle w:val="TableTextNoSpace"/>
              <w:jc w:val="left"/>
              <w:rPr>
                <w:rFonts w:asciiTheme="minorHAnsi" w:hAnsiTheme="minorHAnsi"/>
                <w:szCs w:val="20"/>
              </w:rPr>
            </w:pPr>
            <w:r w:rsidRPr="00370860">
              <w:rPr>
                <w:rFonts w:asciiTheme="minorHAnsi" w:hAnsiTheme="minorHAnsi"/>
                <w:b/>
                <w:szCs w:val="20"/>
                <w:highlight w:val="green"/>
              </w:rPr>
              <w:t>High</w:t>
            </w:r>
            <w:r w:rsidRPr="00370860">
              <w:rPr>
                <w:rFonts w:asciiTheme="minorHAnsi" w:hAnsiTheme="minorHAnsi"/>
                <w:b/>
                <w:szCs w:val="20"/>
              </w:rPr>
              <w:t xml:space="preserve">: </w:t>
            </w:r>
            <w:r w:rsidRPr="00370860">
              <w:rPr>
                <w:rFonts w:asciiTheme="minorHAnsi" w:hAnsiTheme="minorHAnsi"/>
                <w:szCs w:val="20"/>
              </w:rPr>
              <w:t>Wide range of</w:t>
            </w:r>
            <w:r w:rsidRPr="00370860">
              <w:rPr>
                <w:rFonts w:asciiTheme="minorHAnsi" w:hAnsiTheme="minorHAnsi"/>
                <w:b/>
                <w:szCs w:val="20"/>
              </w:rPr>
              <w:t xml:space="preserve"> </w:t>
            </w:r>
            <w:r w:rsidRPr="00370860">
              <w:rPr>
                <w:rFonts w:asciiTheme="minorHAnsi" w:hAnsiTheme="minorHAnsi"/>
                <w:szCs w:val="20"/>
              </w:rPr>
              <w:t>management actions can potentially be funded, including ongoing management &amp; monitoring actions (12, 13, 14, 15, 16) where funding need is likely to be greatest.</w:t>
            </w:r>
          </w:p>
        </w:tc>
        <w:tc>
          <w:tcPr>
            <w:tcW w:w="848" w:type="pct"/>
          </w:tcPr>
          <w:p w14:paraId="798C4AB3" w14:textId="2C580323" w:rsidR="00366762" w:rsidRPr="00370860" w:rsidRDefault="00366762" w:rsidP="00370860">
            <w:pPr>
              <w:pStyle w:val="TableTextNoSpace"/>
              <w:jc w:val="left"/>
              <w:rPr>
                <w:rFonts w:asciiTheme="minorHAnsi" w:hAnsiTheme="minorHAnsi"/>
                <w:szCs w:val="20"/>
              </w:rPr>
            </w:pPr>
            <w:r w:rsidRPr="00370860">
              <w:rPr>
                <w:rFonts w:asciiTheme="minorHAnsi" w:hAnsiTheme="minorHAnsi"/>
                <w:b/>
                <w:szCs w:val="20"/>
                <w:highlight w:val="green"/>
              </w:rPr>
              <w:t>High</w:t>
            </w:r>
            <w:r w:rsidRPr="00370860">
              <w:rPr>
                <w:rFonts w:asciiTheme="minorHAnsi" w:hAnsiTheme="minorHAnsi"/>
                <w:b/>
                <w:szCs w:val="20"/>
              </w:rPr>
              <w:t xml:space="preserve">: </w:t>
            </w:r>
            <w:r w:rsidR="005D01F2">
              <w:rPr>
                <w:rFonts w:asciiTheme="minorHAnsi" w:hAnsiTheme="minorHAnsi"/>
                <w:szCs w:val="20"/>
              </w:rPr>
              <w:t>A</w:t>
            </w:r>
            <w:r w:rsidRPr="00370860">
              <w:rPr>
                <w:rFonts w:asciiTheme="minorHAnsi" w:hAnsiTheme="minorHAnsi"/>
                <w:szCs w:val="20"/>
              </w:rPr>
              <w:t xml:space="preserve">pplicable to a range of terrestrial and freshwater habitats for integrated management </w:t>
            </w:r>
          </w:p>
        </w:tc>
        <w:tc>
          <w:tcPr>
            <w:tcW w:w="849" w:type="pct"/>
          </w:tcPr>
          <w:p w14:paraId="161AB096" w14:textId="477D1D32" w:rsidR="00366762" w:rsidRPr="00370860" w:rsidRDefault="00652EA8" w:rsidP="005D01F2">
            <w:pPr>
              <w:pStyle w:val="TableTextNoSpace"/>
              <w:jc w:val="left"/>
              <w:rPr>
                <w:rFonts w:asciiTheme="minorHAnsi" w:hAnsiTheme="minorHAnsi"/>
                <w:szCs w:val="20"/>
              </w:rPr>
            </w:pPr>
            <w:r w:rsidRPr="00370860">
              <w:rPr>
                <w:rFonts w:asciiTheme="minorHAnsi" w:hAnsiTheme="minorHAnsi"/>
                <w:b/>
                <w:szCs w:val="20"/>
                <w:highlight w:val="yellow"/>
              </w:rPr>
              <w:t>Mod</w:t>
            </w:r>
            <w:r w:rsidR="00366762" w:rsidRPr="00370860">
              <w:rPr>
                <w:rFonts w:asciiTheme="minorHAnsi" w:hAnsiTheme="minorHAnsi"/>
                <w:b/>
                <w:szCs w:val="20"/>
              </w:rPr>
              <w:t>:</w:t>
            </w:r>
            <w:r w:rsidR="00366762" w:rsidRPr="00370860">
              <w:rPr>
                <w:rFonts w:asciiTheme="minorHAnsi" w:hAnsiTheme="minorHAnsi"/>
                <w:szCs w:val="20"/>
              </w:rPr>
              <w:t xml:space="preserve"> An explicit link to WFD within the Actions Database could be instrumental in unlocking funds for N</w:t>
            </w:r>
            <w:r w:rsidR="005D01F2">
              <w:rPr>
                <w:rFonts w:asciiTheme="minorHAnsi" w:hAnsiTheme="minorHAnsi"/>
                <w:szCs w:val="20"/>
              </w:rPr>
              <w:t xml:space="preserve">2K. </w:t>
            </w:r>
          </w:p>
        </w:tc>
      </w:tr>
      <w:tr w:rsidR="00366762" w14:paraId="68D38BFC" w14:textId="77777777" w:rsidTr="00370860">
        <w:tc>
          <w:tcPr>
            <w:tcW w:w="759" w:type="pct"/>
            <w:shd w:val="clear" w:color="auto" w:fill="auto"/>
          </w:tcPr>
          <w:p w14:paraId="1193A1DA" w14:textId="77777777" w:rsidR="00366762" w:rsidRPr="00370860" w:rsidRDefault="00366762" w:rsidP="00370860">
            <w:pPr>
              <w:pStyle w:val="TableTextNoSpace"/>
              <w:jc w:val="left"/>
              <w:rPr>
                <w:rFonts w:asciiTheme="minorHAnsi" w:hAnsiTheme="minorHAnsi"/>
                <w:szCs w:val="20"/>
              </w:rPr>
            </w:pPr>
            <w:r w:rsidRPr="00370860">
              <w:rPr>
                <w:rFonts w:asciiTheme="minorHAnsi" w:hAnsiTheme="minorHAnsi"/>
                <w:szCs w:val="20"/>
              </w:rPr>
              <w:t>Marine plans</w:t>
            </w:r>
          </w:p>
        </w:tc>
        <w:tc>
          <w:tcPr>
            <w:tcW w:w="848" w:type="pct"/>
            <w:shd w:val="clear" w:color="auto" w:fill="auto"/>
          </w:tcPr>
          <w:p w14:paraId="67B4DB12" w14:textId="3AC757B2" w:rsidR="00366762" w:rsidRPr="00370860" w:rsidRDefault="00366762" w:rsidP="00370860">
            <w:pPr>
              <w:pStyle w:val="TableTextNoSpace"/>
              <w:jc w:val="left"/>
              <w:rPr>
                <w:rFonts w:asciiTheme="minorHAnsi" w:hAnsiTheme="minorHAnsi"/>
                <w:szCs w:val="20"/>
              </w:rPr>
            </w:pPr>
            <w:r w:rsidRPr="00370860">
              <w:rPr>
                <w:rFonts w:asciiTheme="minorHAnsi" w:hAnsiTheme="minorHAnsi"/>
                <w:b/>
                <w:szCs w:val="20"/>
                <w:highlight w:val="red"/>
              </w:rPr>
              <w:t>Low</w:t>
            </w:r>
            <w:r w:rsidRPr="00370860">
              <w:rPr>
                <w:rFonts w:asciiTheme="minorHAnsi" w:hAnsiTheme="minorHAnsi"/>
                <w:b/>
                <w:szCs w:val="20"/>
              </w:rPr>
              <w:t xml:space="preserve">: </w:t>
            </w:r>
            <w:r w:rsidRPr="00370860">
              <w:rPr>
                <w:rFonts w:asciiTheme="minorHAnsi" w:hAnsiTheme="minorHAnsi"/>
                <w:szCs w:val="20"/>
              </w:rPr>
              <w:t>Nascent development of Marine Conservation Zones and limited support until recently for sustainable fisheries practices</w:t>
            </w:r>
          </w:p>
        </w:tc>
        <w:tc>
          <w:tcPr>
            <w:tcW w:w="848" w:type="pct"/>
            <w:shd w:val="clear" w:color="auto" w:fill="auto"/>
          </w:tcPr>
          <w:p w14:paraId="20452831" w14:textId="0C7C263A" w:rsidR="00366762" w:rsidRPr="00370860" w:rsidRDefault="00652EA8" w:rsidP="00652EA8">
            <w:pPr>
              <w:pStyle w:val="TableTextNoSpace"/>
              <w:jc w:val="left"/>
              <w:rPr>
                <w:rFonts w:asciiTheme="minorHAnsi" w:hAnsiTheme="minorHAnsi"/>
                <w:szCs w:val="20"/>
              </w:rPr>
            </w:pPr>
            <w:r w:rsidRPr="00370860">
              <w:rPr>
                <w:rFonts w:asciiTheme="minorHAnsi" w:hAnsiTheme="minorHAnsi"/>
                <w:b/>
                <w:szCs w:val="20"/>
                <w:highlight w:val="red"/>
              </w:rPr>
              <w:t>Low</w:t>
            </w:r>
            <w:r w:rsidR="00366762" w:rsidRPr="00370860">
              <w:rPr>
                <w:rFonts w:asciiTheme="minorHAnsi" w:hAnsiTheme="minorHAnsi"/>
                <w:b/>
                <w:szCs w:val="20"/>
              </w:rPr>
              <w:t xml:space="preserve">: </w:t>
            </w:r>
            <w:r w:rsidR="00366762" w:rsidRPr="00370860">
              <w:rPr>
                <w:rFonts w:asciiTheme="minorHAnsi" w:hAnsiTheme="minorHAnsi"/>
                <w:szCs w:val="20"/>
              </w:rPr>
              <w:t>EMFF is the key source</w:t>
            </w:r>
            <w:r>
              <w:rPr>
                <w:rFonts w:asciiTheme="minorHAnsi" w:hAnsiTheme="minorHAnsi"/>
                <w:szCs w:val="20"/>
              </w:rPr>
              <w:t xml:space="preserve"> of applicable funds</w:t>
            </w:r>
            <w:r w:rsidR="00366762" w:rsidRPr="00370860">
              <w:rPr>
                <w:rFonts w:asciiTheme="minorHAnsi" w:hAnsiTheme="minorHAnsi"/>
                <w:szCs w:val="20"/>
              </w:rPr>
              <w:t xml:space="preserve"> in this regard</w:t>
            </w:r>
            <w:r>
              <w:rPr>
                <w:rFonts w:asciiTheme="minorHAnsi" w:hAnsiTheme="minorHAnsi"/>
                <w:szCs w:val="20"/>
              </w:rPr>
              <w:t>, but overall funds are small and only a proportion are channelled through marine plan-related activities</w:t>
            </w:r>
          </w:p>
        </w:tc>
        <w:tc>
          <w:tcPr>
            <w:tcW w:w="848" w:type="pct"/>
            <w:shd w:val="clear" w:color="auto" w:fill="auto"/>
          </w:tcPr>
          <w:p w14:paraId="1823B3CC" w14:textId="36DD1DAA" w:rsidR="00366762" w:rsidRPr="00370860" w:rsidRDefault="00366762" w:rsidP="00370860">
            <w:pPr>
              <w:pStyle w:val="TableTextNoSpace"/>
              <w:jc w:val="left"/>
              <w:rPr>
                <w:rFonts w:asciiTheme="minorHAnsi" w:hAnsiTheme="minorHAnsi"/>
                <w:szCs w:val="20"/>
              </w:rPr>
            </w:pPr>
            <w:r w:rsidRPr="00370860">
              <w:rPr>
                <w:rFonts w:asciiTheme="minorHAnsi" w:hAnsiTheme="minorHAnsi"/>
                <w:b/>
                <w:szCs w:val="20"/>
                <w:highlight w:val="green"/>
              </w:rPr>
              <w:t>High</w:t>
            </w:r>
            <w:r w:rsidRPr="00370860">
              <w:rPr>
                <w:rFonts w:asciiTheme="minorHAnsi" w:hAnsiTheme="minorHAnsi"/>
                <w:b/>
                <w:szCs w:val="20"/>
              </w:rPr>
              <w:t xml:space="preserve">: </w:t>
            </w:r>
            <w:r w:rsidRPr="00370860">
              <w:rPr>
                <w:rFonts w:asciiTheme="minorHAnsi" w:hAnsiTheme="minorHAnsi"/>
                <w:szCs w:val="20"/>
              </w:rPr>
              <w:t xml:space="preserve">Wide range of management actions can potentially be funded, including management planning, investigation and information needs </w:t>
            </w:r>
          </w:p>
        </w:tc>
        <w:tc>
          <w:tcPr>
            <w:tcW w:w="848" w:type="pct"/>
          </w:tcPr>
          <w:p w14:paraId="2CB56457" w14:textId="25D5EBF2" w:rsidR="00366762" w:rsidRPr="00370860" w:rsidRDefault="00366762" w:rsidP="00370860">
            <w:pPr>
              <w:pStyle w:val="TableTextNoSpace"/>
              <w:jc w:val="left"/>
              <w:rPr>
                <w:rFonts w:asciiTheme="minorHAnsi" w:hAnsiTheme="minorHAnsi"/>
                <w:szCs w:val="20"/>
              </w:rPr>
            </w:pPr>
            <w:r w:rsidRPr="00370860">
              <w:rPr>
                <w:rFonts w:asciiTheme="minorHAnsi" w:hAnsiTheme="minorHAnsi"/>
                <w:b/>
                <w:szCs w:val="20"/>
                <w:highlight w:val="red"/>
              </w:rPr>
              <w:t>Low</w:t>
            </w:r>
            <w:r w:rsidRPr="00370860">
              <w:rPr>
                <w:rFonts w:asciiTheme="minorHAnsi" w:hAnsiTheme="minorHAnsi"/>
                <w:b/>
                <w:szCs w:val="20"/>
              </w:rPr>
              <w:t>:</w:t>
            </w:r>
            <w:r w:rsidRPr="00370860">
              <w:rPr>
                <w:rFonts w:asciiTheme="minorHAnsi" w:hAnsiTheme="minorHAnsi"/>
                <w:szCs w:val="20"/>
              </w:rPr>
              <w:t xml:space="preserve"> Limited in their field of application. Can include coastal communities and habitats in some cases</w:t>
            </w:r>
          </w:p>
        </w:tc>
        <w:tc>
          <w:tcPr>
            <w:tcW w:w="849" w:type="pct"/>
          </w:tcPr>
          <w:p w14:paraId="45D71F2B" w14:textId="1AC96228" w:rsidR="00366762" w:rsidRPr="00370860" w:rsidRDefault="00652EA8" w:rsidP="005D01F2">
            <w:pPr>
              <w:pStyle w:val="TableTextNoSpace"/>
              <w:jc w:val="left"/>
              <w:rPr>
                <w:rFonts w:asciiTheme="minorHAnsi" w:hAnsiTheme="minorHAnsi"/>
                <w:szCs w:val="20"/>
              </w:rPr>
            </w:pPr>
            <w:r w:rsidRPr="00370860">
              <w:rPr>
                <w:rFonts w:asciiTheme="minorHAnsi" w:hAnsiTheme="minorHAnsi"/>
                <w:b/>
                <w:szCs w:val="20"/>
                <w:highlight w:val="red"/>
              </w:rPr>
              <w:t>Low</w:t>
            </w:r>
            <w:r w:rsidR="00366762" w:rsidRPr="00370860">
              <w:rPr>
                <w:rFonts w:asciiTheme="minorHAnsi" w:hAnsiTheme="minorHAnsi"/>
                <w:b/>
                <w:szCs w:val="20"/>
              </w:rPr>
              <w:t xml:space="preserve">: </w:t>
            </w:r>
            <w:r>
              <w:rPr>
                <w:rFonts w:asciiTheme="minorHAnsi" w:hAnsiTheme="minorHAnsi"/>
                <w:szCs w:val="20"/>
              </w:rPr>
              <w:t>Some</w:t>
            </w:r>
            <w:r w:rsidR="00366762" w:rsidRPr="00370860">
              <w:rPr>
                <w:rFonts w:asciiTheme="minorHAnsi" w:hAnsiTheme="minorHAnsi"/>
                <w:szCs w:val="20"/>
              </w:rPr>
              <w:t xml:space="preserve"> potential for supporting development of evidence base, monitoring and investigation of relevant N</w:t>
            </w:r>
            <w:r w:rsidR="005D01F2">
              <w:rPr>
                <w:rFonts w:asciiTheme="minorHAnsi" w:hAnsiTheme="minorHAnsi"/>
                <w:szCs w:val="20"/>
              </w:rPr>
              <w:t>2K</w:t>
            </w:r>
            <w:r w:rsidR="00366762" w:rsidRPr="00370860">
              <w:rPr>
                <w:rFonts w:asciiTheme="minorHAnsi" w:hAnsiTheme="minorHAnsi"/>
                <w:szCs w:val="20"/>
              </w:rPr>
              <w:t xml:space="preserve"> sites </w:t>
            </w:r>
          </w:p>
        </w:tc>
      </w:tr>
      <w:tr w:rsidR="00366762" w14:paraId="303BFCA0" w14:textId="77777777" w:rsidTr="00370860">
        <w:tc>
          <w:tcPr>
            <w:tcW w:w="759" w:type="pct"/>
            <w:shd w:val="clear" w:color="auto" w:fill="auto"/>
          </w:tcPr>
          <w:p w14:paraId="16AE3ACF" w14:textId="77777777" w:rsidR="00366762" w:rsidRPr="00370860" w:rsidRDefault="00366762" w:rsidP="00370860">
            <w:pPr>
              <w:pStyle w:val="TableTextNoSpace"/>
              <w:jc w:val="left"/>
              <w:rPr>
                <w:rFonts w:asciiTheme="minorHAnsi" w:hAnsiTheme="minorHAnsi"/>
                <w:szCs w:val="20"/>
              </w:rPr>
            </w:pPr>
            <w:r w:rsidRPr="00370860">
              <w:rPr>
                <w:rFonts w:asciiTheme="minorHAnsi" w:hAnsiTheme="minorHAnsi"/>
                <w:szCs w:val="20"/>
              </w:rPr>
              <w:t xml:space="preserve">Woodland grants </w:t>
            </w:r>
          </w:p>
        </w:tc>
        <w:tc>
          <w:tcPr>
            <w:tcW w:w="848" w:type="pct"/>
            <w:shd w:val="clear" w:color="auto" w:fill="auto"/>
          </w:tcPr>
          <w:p w14:paraId="3512DF22" w14:textId="11D33B64" w:rsidR="00366762" w:rsidRPr="00370860" w:rsidRDefault="00366762" w:rsidP="005D01F2">
            <w:pPr>
              <w:pStyle w:val="TableTextNoSpace"/>
              <w:jc w:val="left"/>
              <w:rPr>
                <w:rFonts w:asciiTheme="minorHAnsi" w:hAnsiTheme="minorHAnsi"/>
                <w:szCs w:val="20"/>
              </w:rPr>
            </w:pPr>
            <w:r w:rsidRPr="00370860">
              <w:rPr>
                <w:rFonts w:asciiTheme="minorHAnsi" w:hAnsiTheme="minorHAnsi"/>
                <w:b/>
                <w:szCs w:val="20"/>
                <w:highlight w:val="yellow"/>
              </w:rPr>
              <w:t>Mod</w:t>
            </w:r>
            <w:r w:rsidRPr="00370860">
              <w:rPr>
                <w:rFonts w:asciiTheme="minorHAnsi" w:hAnsiTheme="minorHAnsi"/>
                <w:b/>
                <w:szCs w:val="20"/>
              </w:rPr>
              <w:t xml:space="preserve">: </w:t>
            </w:r>
            <w:r w:rsidRPr="00370860">
              <w:rPr>
                <w:rFonts w:asciiTheme="minorHAnsi" w:hAnsiTheme="minorHAnsi"/>
                <w:szCs w:val="20"/>
              </w:rPr>
              <w:t>Wide use of various woodland grant schemes, although often weakly targeted towards N</w:t>
            </w:r>
            <w:r w:rsidR="005D01F2">
              <w:rPr>
                <w:rFonts w:asciiTheme="minorHAnsi" w:hAnsiTheme="minorHAnsi"/>
                <w:szCs w:val="20"/>
              </w:rPr>
              <w:t xml:space="preserve">2K </w:t>
            </w:r>
            <w:r w:rsidRPr="00370860">
              <w:rPr>
                <w:rFonts w:asciiTheme="minorHAnsi" w:hAnsiTheme="minorHAnsi"/>
                <w:szCs w:val="20"/>
              </w:rPr>
              <w:t xml:space="preserve"> management </w:t>
            </w:r>
          </w:p>
        </w:tc>
        <w:tc>
          <w:tcPr>
            <w:tcW w:w="848" w:type="pct"/>
            <w:shd w:val="clear" w:color="auto" w:fill="auto"/>
          </w:tcPr>
          <w:p w14:paraId="3006DD37" w14:textId="21CF6484" w:rsidR="00366762" w:rsidRPr="00370860" w:rsidRDefault="00366762" w:rsidP="00370860">
            <w:pPr>
              <w:pStyle w:val="TableTextNoSpace"/>
              <w:jc w:val="left"/>
              <w:rPr>
                <w:rFonts w:asciiTheme="minorHAnsi" w:hAnsiTheme="minorHAnsi"/>
                <w:szCs w:val="20"/>
              </w:rPr>
            </w:pPr>
            <w:r w:rsidRPr="00370860">
              <w:rPr>
                <w:rFonts w:asciiTheme="minorHAnsi" w:hAnsiTheme="minorHAnsi"/>
                <w:b/>
                <w:szCs w:val="20"/>
                <w:highlight w:val="green"/>
              </w:rPr>
              <w:t>High</w:t>
            </w:r>
            <w:r w:rsidRPr="00370860">
              <w:rPr>
                <w:rFonts w:asciiTheme="minorHAnsi" w:hAnsiTheme="minorHAnsi"/>
                <w:b/>
                <w:szCs w:val="20"/>
              </w:rPr>
              <w:t xml:space="preserve">: </w:t>
            </w:r>
            <w:r w:rsidRPr="00370860">
              <w:rPr>
                <w:rFonts w:asciiTheme="minorHAnsi" w:hAnsiTheme="minorHAnsi"/>
                <w:szCs w:val="20"/>
              </w:rPr>
              <w:t xml:space="preserve">Glastir Woodland allocations are still to be announced, but expected to expand significantly within the incoming RDP. </w:t>
            </w:r>
          </w:p>
        </w:tc>
        <w:tc>
          <w:tcPr>
            <w:tcW w:w="848" w:type="pct"/>
            <w:shd w:val="clear" w:color="auto" w:fill="auto"/>
          </w:tcPr>
          <w:p w14:paraId="126153DC" w14:textId="6F9A2745" w:rsidR="00366762" w:rsidRPr="00370860" w:rsidRDefault="00366762" w:rsidP="00370860">
            <w:pPr>
              <w:pStyle w:val="TableTextNoSpace"/>
              <w:jc w:val="left"/>
              <w:rPr>
                <w:rFonts w:asciiTheme="minorHAnsi" w:hAnsiTheme="minorHAnsi"/>
                <w:szCs w:val="20"/>
              </w:rPr>
            </w:pPr>
            <w:r w:rsidRPr="00370860">
              <w:rPr>
                <w:rFonts w:asciiTheme="minorHAnsi" w:hAnsiTheme="minorHAnsi"/>
                <w:b/>
                <w:szCs w:val="20"/>
                <w:highlight w:val="green"/>
              </w:rPr>
              <w:t>High</w:t>
            </w:r>
            <w:r w:rsidRPr="00370860">
              <w:rPr>
                <w:rFonts w:asciiTheme="minorHAnsi" w:hAnsiTheme="minorHAnsi"/>
                <w:b/>
                <w:szCs w:val="20"/>
              </w:rPr>
              <w:t xml:space="preserve">: </w:t>
            </w:r>
            <w:r w:rsidRPr="00370860">
              <w:rPr>
                <w:rFonts w:asciiTheme="minorHAnsi" w:hAnsiTheme="minorHAnsi"/>
                <w:szCs w:val="20"/>
              </w:rPr>
              <w:t>Wide range of</w:t>
            </w:r>
            <w:r w:rsidRPr="00370860">
              <w:rPr>
                <w:rFonts w:asciiTheme="minorHAnsi" w:hAnsiTheme="minorHAnsi"/>
                <w:b/>
                <w:szCs w:val="20"/>
              </w:rPr>
              <w:t xml:space="preserve"> </w:t>
            </w:r>
            <w:r w:rsidRPr="00370860">
              <w:rPr>
                <w:rFonts w:asciiTheme="minorHAnsi" w:hAnsiTheme="minorHAnsi"/>
                <w:szCs w:val="20"/>
              </w:rPr>
              <w:t>management actions can potentially be funded, including ongoing management &amp; monitoring actions (12, 13, 14, 15, 16) where funding need is likely to be greatest</w:t>
            </w:r>
          </w:p>
        </w:tc>
        <w:tc>
          <w:tcPr>
            <w:tcW w:w="848" w:type="pct"/>
          </w:tcPr>
          <w:p w14:paraId="3ADAE056" w14:textId="0E39F09A" w:rsidR="00366762" w:rsidRPr="00370860" w:rsidRDefault="00366762" w:rsidP="00370860">
            <w:pPr>
              <w:pStyle w:val="TableTextNoSpace"/>
              <w:jc w:val="left"/>
              <w:rPr>
                <w:rFonts w:asciiTheme="minorHAnsi" w:hAnsiTheme="minorHAnsi"/>
                <w:szCs w:val="20"/>
              </w:rPr>
            </w:pPr>
            <w:r w:rsidRPr="00370860">
              <w:rPr>
                <w:rFonts w:asciiTheme="minorHAnsi" w:hAnsiTheme="minorHAnsi"/>
                <w:b/>
                <w:szCs w:val="20"/>
                <w:highlight w:val="yellow"/>
              </w:rPr>
              <w:t>Mod</w:t>
            </w:r>
            <w:r w:rsidRPr="00370860">
              <w:rPr>
                <w:rFonts w:asciiTheme="minorHAnsi" w:hAnsiTheme="minorHAnsi"/>
                <w:szCs w:val="20"/>
              </w:rPr>
              <w:t>: Woodland/agricultural land areas</w:t>
            </w:r>
          </w:p>
        </w:tc>
        <w:tc>
          <w:tcPr>
            <w:tcW w:w="849" w:type="pct"/>
          </w:tcPr>
          <w:p w14:paraId="79DD0CAB" w14:textId="5FCFEAAE" w:rsidR="00366762" w:rsidRPr="00370860" w:rsidRDefault="00366762" w:rsidP="00370860">
            <w:pPr>
              <w:pStyle w:val="TableTextNoSpace"/>
              <w:jc w:val="left"/>
              <w:rPr>
                <w:rFonts w:asciiTheme="minorHAnsi" w:hAnsiTheme="minorHAnsi"/>
                <w:szCs w:val="20"/>
              </w:rPr>
            </w:pPr>
            <w:r w:rsidRPr="00370860">
              <w:rPr>
                <w:rFonts w:asciiTheme="minorHAnsi" w:hAnsiTheme="minorHAnsi"/>
                <w:b/>
                <w:szCs w:val="20"/>
                <w:highlight w:val="green"/>
              </w:rPr>
              <w:t>High</w:t>
            </w:r>
            <w:r w:rsidRPr="00370860">
              <w:rPr>
                <w:rFonts w:asciiTheme="minorHAnsi" w:hAnsiTheme="minorHAnsi"/>
                <w:b/>
                <w:szCs w:val="20"/>
              </w:rPr>
              <w:t xml:space="preserve">: </w:t>
            </w:r>
            <w:r w:rsidRPr="00370860">
              <w:rPr>
                <w:rFonts w:asciiTheme="minorHAnsi" w:hAnsiTheme="minorHAnsi"/>
                <w:szCs w:val="20"/>
              </w:rPr>
              <w:t>Scale of funds points to strong potential through better targeting of conservation features</w:t>
            </w:r>
          </w:p>
        </w:tc>
      </w:tr>
      <w:tr w:rsidR="00366762" w14:paraId="6D8CF10F" w14:textId="77777777" w:rsidTr="00370860">
        <w:tc>
          <w:tcPr>
            <w:tcW w:w="759" w:type="pct"/>
            <w:shd w:val="clear" w:color="auto" w:fill="auto"/>
          </w:tcPr>
          <w:p w14:paraId="08574D63" w14:textId="1713DC7B" w:rsidR="00366762" w:rsidRPr="00370860" w:rsidRDefault="00366762" w:rsidP="00370860">
            <w:pPr>
              <w:pStyle w:val="TableTextNoSpace"/>
              <w:jc w:val="left"/>
              <w:rPr>
                <w:rFonts w:asciiTheme="minorHAnsi" w:hAnsiTheme="minorHAnsi"/>
                <w:szCs w:val="20"/>
              </w:rPr>
            </w:pPr>
            <w:r w:rsidRPr="00370860">
              <w:rPr>
                <w:rFonts w:asciiTheme="minorHAnsi" w:hAnsiTheme="minorHAnsi"/>
                <w:szCs w:val="20"/>
              </w:rPr>
              <w:t xml:space="preserve">FCERM </w:t>
            </w:r>
          </w:p>
        </w:tc>
        <w:tc>
          <w:tcPr>
            <w:tcW w:w="848" w:type="pct"/>
            <w:shd w:val="clear" w:color="auto" w:fill="auto"/>
          </w:tcPr>
          <w:p w14:paraId="1840787A" w14:textId="6CBD0C68" w:rsidR="00366762" w:rsidRPr="00370860" w:rsidRDefault="00366762" w:rsidP="006C66B0">
            <w:pPr>
              <w:pStyle w:val="TableTextNoSpace"/>
              <w:jc w:val="left"/>
              <w:rPr>
                <w:rFonts w:asciiTheme="minorHAnsi" w:hAnsiTheme="minorHAnsi"/>
                <w:szCs w:val="20"/>
              </w:rPr>
            </w:pPr>
            <w:r w:rsidRPr="00370860">
              <w:rPr>
                <w:rFonts w:asciiTheme="minorHAnsi" w:hAnsiTheme="minorHAnsi"/>
                <w:b/>
                <w:szCs w:val="20"/>
                <w:highlight w:val="red"/>
              </w:rPr>
              <w:t>Low</w:t>
            </w:r>
            <w:r w:rsidRPr="00370860">
              <w:rPr>
                <w:rFonts w:asciiTheme="minorHAnsi" w:hAnsiTheme="minorHAnsi"/>
                <w:b/>
                <w:szCs w:val="20"/>
              </w:rPr>
              <w:t xml:space="preserve">: </w:t>
            </w:r>
            <w:r w:rsidRPr="00370860">
              <w:rPr>
                <w:rFonts w:asciiTheme="minorHAnsi" w:hAnsiTheme="minorHAnsi"/>
                <w:szCs w:val="20"/>
              </w:rPr>
              <w:t>Limited current examples of applications to sites incorporating N</w:t>
            </w:r>
            <w:r w:rsidR="005D01F2">
              <w:rPr>
                <w:rFonts w:asciiTheme="minorHAnsi" w:hAnsiTheme="minorHAnsi"/>
                <w:szCs w:val="20"/>
              </w:rPr>
              <w:t xml:space="preserve">2K. </w:t>
            </w:r>
            <w:r w:rsidRPr="00370860">
              <w:rPr>
                <w:rFonts w:asciiTheme="minorHAnsi" w:hAnsiTheme="minorHAnsi"/>
                <w:szCs w:val="20"/>
              </w:rPr>
              <w:t xml:space="preserve"> </w:t>
            </w:r>
          </w:p>
        </w:tc>
        <w:tc>
          <w:tcPr>
            <w:tcW w:w="848" w:type="pct"/>
            <w:shd w:val="clear" w:color="auto" w:fill="auto"/>
          </w:tcPr>
          <w:p w14:paraId="7C5AABEB" w14:textId="149A3B43" w:rsidR="00366762" w:rsidRPr="00370860" w:rsidRDefault="00366762" w:rsidP="00370860">
            <w:pPr>
              <w:pStyle w:val="TableTextNoSpace"/>
              <w:jc w:val="left"/>
              <w:rPr>
                <w:rFonts w:asciiTheme="minorHAnsi" w:hAnsiTheme="minorHAnsi"/>
                <w:szCs w:val="20"/>
              </w:rPr>
            </w:pPr>
            <w:r w:rsidRPr="00370860">
              <w:rPr>
                <w:rFonts w:asciiTheme="minorHAnsi" w:hAnsiTheme="minorHAnsi"/>
                <w:b/>
                <w:szCs w:val="20"/>
                <w:highlight w:val="yellow"/>
              </w:rPr>
              <w:t>Mod</w:t>
            </w:r>
            <w:r w:rsidRPr="00370860">
              <w:rPr>
                <w:rFonts w:asciiTheme="minorHAnsi" w:hAnsiTheme="minorHAnsi"/>
                <w:b/>
                <w:szCs w:val="20"/>
              </w:rPr>
              <w:t xml:space="preserve">: </w:t>
            </w:r>
            <w:r w:rsidRPr="00370860">
              <w:rPr>
                <w:rFonts w:asciiTheme="minorHAnsi" w:hAnsiTheme="minorHAnsi"/>
                <w:szCs w:val="20"/>
              </w:rPr>
              <w:t xml:space="preserve">£39m of Local Authority capital grants, £40m of Dwr Cymru Funding </w:t>
            </w:r>
          </w:p>
        </w:tc>
        <w:tc>
          <w:tcPr>
            <w:tcW w:w="848" w:type="pct"/>
            <w:shd w:val="clear" w:color="auto" w:fill="auto"/>
          </w:tcPr>
          <w:p w14:paraId="3D826124" w14:textId="7BE02E3C" w:rsidR="00366762" w:rsidRPr="00370860" w:rsidRDefault="00366762" w:rsidP="00370860">
            <w:pPr>
              <w:pStyle w:val="TableTextNoSpace"/>
              <w:jc w:val="left"/>
              <w:rPr>
                <w:rFonts w:asciiTheme="minorHAnsi" w:hAnsiTheme="minorHAnsi"/>
                <w:szCs w:val="20"/>
              </w:rPr>
            </w:pPr>
            <w:r w:rsidRPr="00370860">
              <w:rPr>
                <w:rFonts w:asciiTheme="minorHAnsi" w:hAnsiTheme="minorHAnsi"/>
                <w:b/>
                <w:szCs w:val="20"/>
                <w:highlight w:val="yellow"/>
              </w:rPr>
              <w:t>Mod</w:t>
            </w:r>
            <w:r w:rsidRPr="00370860">
              <w:rPr>
                <w:rFonts w:asciiTheme="minorHAnsi" w:hAnsiTheme="minorHAnsi"/>
                <w:b/>
                <w:szCs w:val="20"/>
              </w:rPr>
              <w:t xml:space="preserve">: </w:t>
            </w:r>
            <w:r w:rsidRPr="00370860">
              <w:rPr>
                <w:rFonts w:asciiTheme="minorHAnsi" w:hAnsiTheme="minorHAnsi"/>
                <w:szCs w:val="20"/>
              </w:rPr>
              <w:t xml:space="preserve">Opportunities relate to piloting, provision of services and infrastructure funding </w:t>
            </w:r>
          </w:p>
        </w:tc>
        <w:tc>
          <w:tcPr>
            <w:tcW w:w="848" w:type="pct"/>
          </w:tcPr>
          <w:p w14:paraId="4DD564D7" w14:textId="6FFE065D" w:rsidR="00366762" w:rsidRPr="00370860" w:rsidRDefault="00366762" w:rsidP="00370860">
            <w:pPr>
              <w:pStyle w:val="TableTextNoSpace"/>
              <w:jc w:val="left"/>
              <w:rPr>
                <w:rFonts w:asciiTheme="minorHAnsi" w:hAnsiTheme="minorHAnsi"/>
                <w:szCs w:val="20"/>
              </w:rPr>
            </w:pPr>
            <w:r w:rsidRPr="00370860">
              <w:rPr>
                <w:rFonts w:asciiTheme="minorHAnsi" w:hAnsiTheme="minorHAnsi"/>
                <w:b/>
                <w:szCs w:val="20"/>
                <w:highlight w:val="yellow"/>
              </w:rPr>
              <w:t>Mod</w:t>
            </w:r>
            <w:r w:rsidRPr="00370860">
              <w:rPr>
                <w:rFonts w:asciiTheme="minorHAnsi" w:hAnsiTheme="minorHAnsi"/>
                <w:szCs w:val="20"/>
              </w:rPr>
              <w:t xml:space="preserve">: Riparian/bankside, estuary and coastal ecosystems </w:t>
            </w:r>
          </w:p>
        </w:tc>
        <w:tc>
          <w:tcPr>
            <w:tcW w:w="849" w:type="pct"/>
          </w:tcPr>
          <w:p w14:paraId="0E8A5FE1" w14:textId="59BA1A69" w:rsidR="00366762" w:rsidRPr="00370860" w:rsidRDefault="00366762" w:rsidP="00370860">
            <w:pPr>
              <w:pStyle w:val="TableTextNoSpace"/>
              <w:jc w:val="left"/>
              <w:rPr>
                <w:rFonts w:asciiTheme="minorHAnsi" w:hAnsiTheme="minorHAnsi"/>
                <w:szCs w:val="20"/>
              </w:rPr>
            </w:pPr>
            <w:r w:rsidRPr="00370860">
              <w:rPr>
                <w:rFonts w:asciiTheme="minorHAnsi" w:hAnsiTheme="minorHAnsi"/>
                <w:b/>
                <w:szCs w:val="20"/>
                <w:highlight w:val="green"/>
              </w:rPr>
              <w:t>High</w:t>
            </w:r>
            <w:r w:rsidRPr="00370860">
              <w:rPr>
                <w:rFonts w:asciiTheme="minorHAnsi" w:hAnsiTheme="minorHAnsi"/>
                <w:szCs w:val="20"/>
              </w:rPr>
              <w:t>: a number of opportunities linked directly to schemes, the National Habitat Creation Programme and policy objective of working with natural processes.</w:t>
            </w:r>
          </w:p>
        </w:tc>
      </w:tr>
      <w:tr w:rsidR="00366762" w14:paraId="3B66DC3B" w14:textId="77777777" w:rsidTr="00370860">
        <w:tc>
          <w:tcPr>
            <w:tcW w:w="759" w:type="pct"/>
            <w:shd w:val="clear" w:color="auto" w:fill="auto"/>
          </w:tcPr>
          <w:p w14:paraId="7C330634" w14:textId="7A67FDF1" w:rsidR="00366762" w:rsidRPr="00370860" w:rsidRDefault="00366762" w:rsidP="00370860">
            <w:pPr>
              <w:pStyle w:val="TableTextNoSpace"/>
              <w:jc w:val="left"/>
              <w:rPr>
                <w:rFonts w:asciiTheme="minorHAnsi" w:hAnsiTheme="minorHAnsi"/>
                <w:szCs w:val="20"/>
              </w:rPr>
            </w:pPr>
            <w:r w:rsidRPr="00370860">
              <w:rPr>
                <w:rFonts w:asciiTheme="minorHAnsi" w:hAnsiTheme="minorHAnsi"/>
                <w:szCs w:val="20"/>
              </w:rPr>
              <w:t xml:space="preserve">Research grants </w:t>
            </w:r>
          </w:p>
        </w:tc>
        <w:tc>
          <w:tcPr>
            <w:tcW w:w="848" w:type="pct"/>
            <w:shd w:val="clear" w:color="auto" w:fill="auto"/>
          </w:tcPr>
          <w:p w14:paraId="4C81EEAD" w14:textId="6D5B9055" w:rsidR="00366762" w:rsidRPr="00370860" w:rsidRDefault="00366762" w:rsidP="00EB0638">
            <w:pPr>
              <w:pStyle w:val="TableTextNoSpace"/>
              <w:jc w:val="left"/>
              <w:rPr>
                <w:rFonts w:asciiTheme="minorHAnsi" w:hAnsiTheme="minorHAnsi"/>
                <w:b/>
                <w:szCs w:val="20"/>
                <w:highlight w:val="red"/>
              </w:rPr>
            </w:pPr>
            <w:r w:rsidRPr="00370860">
              <w:rPr>
                <w:rFonts w:asciiTheme="minorHAnsi" w:hAnsiTheme="minorHAnsi"/>
                <w:b/>
                <w:szCs w:val="20"/>
                <w:highlight w:val="red"/>
              </w:rPr>
              <w:t>Low</w:t>
            </w:r>
            <w:r w:rsidRPr="00370860">
              <w:rPr>
                <w:rFonts w:asciiTheme="minorHAnsi" w:hAnsiTheme="minorHAnsi"/>
                <w:b/>
                <w:szCs w:val="20"/>
              </w:rPr>
              <w:t xml:space="preserve">: </w:t>
            </w:r>
            <w:r w:rsidRPr="00370860">
              <w:rPr>
                <w:rFonts w:asciiTheme="minorHAnsi" w:hAnsiTheme="minorHAnsi"/>
                <w:szCs w:val="20"/>
              </w:rPr>
              <w:t xml:space="preserve"> Limited specific application to Welsh </w:t>
            </w:r>
            <w:r w:rsidR="00EB0638">
              <w:rPr>
                <w:rFonts w:asciiTheme="minorHAnsi" w:hAnsiTheme="minorHAnsi"/>
                <w:szCs w:val="20"/>
              </w:rPr>
              <w:t xml:space="preserve">N2K </w:t>
            </w:r>
            <w:r w:rsidRPr="00370860">
              <w:rPr>
                <w:rFonts w:asciiTheme="minorHAnsi" w:hAnsiTheme="minorHAnsi"/>
                <w:szCs w:val="20"/>
              </w:rPr>
              <w:t xml:space="preserve"> sites </w:t>
            </w:r>
          </w:p>
        </w:tc>
        <w:tc>
          <w:tcPr>
            <w:tcW w:w="848" w:type="pct"/>
            <w:shd w:val="clear" w:color="auto" w:fill="auto"/>
          </w:tcPr>
          <w:p w14:paraId="2FAE515E" w14:textId="687F05B9" w:rsidR="00366762" w:rsidRPr="00370860" w:rsidRDefault="00366762" w:rsidP="00370860">
            <w:pPr>
              <w:pStyle w:val="TableTextNoSpace"/>
              <w:jc w:val="left"/>
              <w:rPr>
                <w:rFonts w:asciiTheme="minorHAnsi" w:hAnsiTheme="minorHAnsi"/>
                <w:b/>
                <w:szCs w:val="20"/>
                <w:highlight w:val="yellow"/>
              </w:rPr>
            </w:pPr>
            <w:r w:rsidRPr="00370860">
              <w:rPr>
                <w:rFonts w:asciiTheme="minorHAnsi" w:hAnsiTheme="minorHAnsi"/>
                <w:b/>
                <w:szCs w:val="20"/>
                <w:highlight w:val="green"/>
              </w:rPr>
              <w:t>High</w:t>
            </w:r>
            <w:r w:rsidRPr="00370860">
              <w:rPr>
                <w:rFonts w:asciiTheme="minorHAnsi" w:hAnsiTheme="minorHAnsi"/>
                <w:b/>
                <w:szCs w:val="20"/>
              </w:rPr>
              <w:t xml:space="preserve">: </w:t>
            </w:r>
            <w:r w:rsidRPr="00370860">
              <w:rPr>
                <w:rFonts w:asciiTheme="minorHAnsi" w:hAnsiTheme="minorHAnsi"/>
                <w:szCs w:val="20"/>
              </w:rPr>
              <w:t>Range of small-large grants, from £300 to ~£10m+. NERC 5-year grants total £60m</w:t>
            </w:r>
          </w:p>
        </w:tc>
        <w:tc>
          <w:tcPr>
            <w:tcW w:w="848" w:type="pct"/>
            <w:shd w:val="clear" w:color="auto" w:fill="auto"/>
          </w:tcPr>
          <w:p w14:paraId="4D7459EA" w14:textId="6C0B7D26" w:rsidR="00366762" w:rsidRPr="00370860" w:rsidRDefault="00366762" w:rsidP="00370860">
            <w:pPr>
              <w:pStyle w:val="TableTextNoSpace"/>
              <w:jc w:val="left"/>
              <w:rPr>
                <w:rFonts w:asciiTheme="minorHAnsi" w:hAnsiTheme="minorHAnsi"/>
                <w:b/>
                <w:szCs w:val="20"/>
                <w:highlight w:val="yellow"/>
              </w:rPr>
            </w:pPr>
            <w:r w:rsidRPr="00370860">
              <w:rPr>
                <w:rFonts w:asciiTheme="minorHAnsi" w:hAnsiTheme="minorHAnsi"/>
                <w:b/>
                <w:szCs w:val="20"/>
                <w:highlight w:val="red"/>
              </w:rPr>
              <w:t>Low</w:t>
            </w:r>
            <w:r w:rsidRPr="00370860">
              <w:rPr>
                <w:rFonts w:asciiTheme="minorHAnsi" w:hAnsiTheme="minorHAnsi"/>
                <w:b/>
                <w:szCs w:val="20"/>
              </w:rPr>
              <w:t xml:space="preserve">: </w:t>
            </w:r>
            <w:r w:rsidRPr="00370860">
              <w:rPr>
                <w:rFonts w:asciiTheme="minorHAnsi" w:hAnsiTheme="minorHAnsi"/>
                <w:szCs w:val="20"/>
              </w:rPr>
              <w:t xml:space="preserve">Wide range of high-priority management actions can be funded – however only when part of a research programme </w:t>
            </w:r>
          </w:p>
        </w:tc>
        <w:tc>
          <w:tcPr>
            <w:tcW w:w="848" w:type="pct"/>
          </w:tcPr>
          <w:p w14:paraId="03AA4CE3" w14:textId="0FCCFDB7" w:rsidR="00366762" w:rsidRPr="00370860" w:rsidRDefault="00366762" w:rsidP="00370860">
            <w:pPr>
              <w:pStyle w:val="TableTextNoSpace"/>
              <w:jc w:val="left"/>
              <w:rPr>
                <w:rFonts w:asciiTheme="minorHAnsi" w:hAnsiTheme="minorHAnsi"/>
                <w:b/>
                <w:szCs w:val="20"/>
                <w:highlight w:val="yellow"/>
              </w:rPr>
            </w:pPr>
            <w:r w:rsidRPr="00370860">
              <w:rPr>
                <w:rFonts w:asciiTheme="minorHAnsi" w:hAnsiTheme="minorHAnsi"/>
                <w:b/>
                <w:szCs w:val="20"/>
                <w:highlight w:val="yellow"/>
              </w:rPr>
              <w:t>Mod</w:t>
            </w:r>
            <w:r w:rsidRPr="00370860">
              <w:rPr>
                <w:rFonts w:asciiTheme="minorHAnsi" w:hAnsiTheme="minorHAnsi"/>
                <w:b/>
                <w:szCs w:val="20"/>
              </w:rPr>
              <w:t xml:space="preserve">: </w:t>
            </w:r>
            <w:r w:rsidRPr="006C66B0">
              <w:rPr>
                <w:rFonts w:asciiTheme="minorHAnsi" w:hAnsiTheme="minorHAnsi"/>
                <w:szCs w:val="20"/>
              </w:rPr>
              <w:t>A</w:t>
            </w:r>
            <w:r w:rsidRPr="00370860">
              <w:rPr>
                <w:rFonts w:asciiTheme="minorHAnsi" w:hAnsiTheme="minorHAnsi"/>
                <w:szCs w:val="20"/>
              </w:rPr>
              <w:t>pplicable to a range of terrestrial, freshwater and marine habitats, although funds need to be linked to a research programme</w:t>
            </w:r>
          </w:p>
        </w:tc>
        <w:tc>
          <w:tcPr>
            <w:tcW w:w="849" w:type="pct"/>
          </w:tcPr>
          <w:p w14:paraId="37546301" w14:textId="462DFFF7" w:rsidR="00366762" w:rsidRPr="00370860" w:rsidRDefault="00366762" w:rsidP="00370860">
            <w:pPr>
              <w:pStyle w:val="TableTextNoSpace"/>
              <w:jc w:val="left"/>
              <w:rPr>
                <w:rFonts w:asciiTheme="minorHAnsi" w:hAnsiTheme="minorHAnsi"/>
                <w:b/>
                <w:szCs w:val="20"/>
                <w:highlight w:val="green"/>
              </w:rPr>
            </w:pPr>
            <w:r w:rsidRPr="00370860">
              <w:rPr>
                <w:rFonts w:asciiTheme="minorHAnsi" w:hAnsiTheme="minorHAnsi"/>
                <w:b/>
                <w:color w:val="000000" w:themeColor="text1"/>
                <w:szCs w:val="20"/>
                <w:highlight w:val="yellow"/>
              </w:rPr>
              <w:t>Mod</w:t>
            </w:r>
            <w:r w:rsidRPr="00370860">
              <w:rPr>
                <w:rFonts w:asciiTheme="minorHAnsi" w:hAnsiTheme="minorHAnsi"/>
                <w:b/>
                <w:color w:val="000000" w:themeColor="text1"/>
                <w:szCs w:val="20"/>
              </w:rPr>
              <w:t xml:space="preserve">: </w:t>
            </w:r>
            <w:r w:rsidRPr="00370860">
              <w:rPr>
                <w:rFonts w:asciiTheme="minorHAnsi" w:hAnsiTheme="minorHAnsi"/>
                <w:color w:val="000000" w:themeColor="text1"/>
                <w:szCs w:val="20"/>
              </w:rPr>
              <w:t xml:space="preserve">Good potential for increased use through earlier coordination between NRW and academic partners. However, scope for growth depends on ability to be able to match objectives with site specific research needs </w:t>
            </w:r>
          </w:p>
        </w:tc>
      </w:tr>
      <w:tr w:rsidR="00366762" w14:paraId="1516BA58" w14:textId="77777777" w:rsidTr="00370860">
        <w:tc>
          <w:tcPr>
            <w:tcW w:w="5000" w:type="pct"/>
            <w:gridSpan w:val="6"/>
            <w:shd w:val="clear" w:color="auto" w:fill="F2F2F2" w:themeFill="background1" w:themeFillShade="F2"/>
          </w:tcPr>
          <w:p w14:paraId="79E659FA" w14:textId="0D4B0546" w:rsidR="00366762" w:rsidRPr="00370860" w:rsidRDefault="00366762" w:rsidP="00370860">
            <w:pPr>
              <w:pStyle w:val="TableTextNoSpace"/>
              <w:jc w:val="left"/>
              <w:rPr>
                <w:rFonts w:asciiTheme="minorHAnsi" w:hAnsiTheme="minorHAnsi"/>
                <w:b/>
                <w:color w:val="000000" w:themeColor="text1"/>
                <w:szCs w:val="20"/>
                <w:highlight w:val="yellow"/>
              </w:rPr>
            </w:pPr>
            <w:r w:rsidRPr="00370860">
              <w:rPr>
                <w:rFonts w:asciiTheme="minorHAnsi" w:hAnsiTheme="minorHAnsi"/>
                <w:b/>
                <w:szCs w:val="20"/>
              </w:rPr>
              <w:t>Private, Lottery and voluntary sector funds</w:t>
            </w:r>
          </w:p>
        </w:tc>
      </w:tr>
      <w:tr w:rsidR="00150EA7" w14:paraId="255AFE9A" w14:textId="77777777" w:rsidTr="00370860">
        <w:tc>
          <w:tcPr>
            <w:tcW w:w="759" w:type="pct"/>
            <w:shd w:val="clear" w:color="auto" w:fill="auto"/>
          </w:tcPr>
          <w:p w14:paraId="070A28BB" w14:textId="2FDBEB9D" w:rsidR="00150EA7" w:rsidRPr="00370860" w:rsidRDefault="00150EA7" w:rsidP="00150EA7">
            <w:pPr>
              <w:pStyle w:val="TableTextNoSpace"/>
              <w:jc w:val="left"/>
              <w:rPr>
                <w:rFonts w:asciiTheme="minorHAnsi" w:hAnsiTheme="minorHAnsi"/>
                <w:szCs w:val="20"/>
              </w:rPr>
            </w:pPr>
            <w:r>
              <w:rPr>
                <w:rFonts w:asciiTheme="minorHAnsi" w:hAnsiTheme="minorHAnsi"/>
                <w:sz w:val="18"/>
                <w:szCs w:val="18"/>
              </w:rPr>
              <w:t>Private, Lottery, voluntary sector:</w:t>
            </w:r>
            <w:r w:rsidRPr="00D60446">
              <w:rPr>
                <w:rFonts w:asciiTheme="minorHAnsi" w:hAnsiTheme="minorHAnsi"/>
                <w:sz w:val="18"/>
                <w:szCs w:val="18"/>
              </w:rPr>
              <w:t xml:space="preserve"> landscape </w:t>
            </w:r>
          </w:p>
        </w:tc>
        <w:tc>
          <w:tcPr>
            <w:tcW w:w="848" w:type="pct"/>
            <w:shd w:val="clear" w:color="auto" w:fill="auto"/>
          </w:tcPr>
          <w:p w14:paraId="2BC952B8" w14:textId="2B91D19E" w:rsidR="00150EA7" w:rsidRPr="00370860" w:rsidRDefault="00150EA7" w:rsidP="00150EA7">
            <w:pPr>
              <w:pStyle w:val="TableTextNoSpace"/>
              <w:jc w:val="left"/>
              <w:rPr>
                <w:rFonts w:asciiTheme="minorHAnsi" w:hAnsiTheme="minorHAnsi"/>
                <w:b/>
                <w:szCs w:val="20"/>
                <w:highlight w:val="red"/>
              </w:rPr>
            </w:pPr>
            <w:r w:rsidRPr="00370860">
              <w:rPr>
                <w:rFonts w:asciiTheme="minorHAnsi" w:hAnsiTheme="minorHAnsi"/>
                <w:b/>
                <w:szCs w:val="20"/>
                <w:highlight w:val="yellow"/>
              </w:rPr>
              <w:t>Mod</w:t>
            </w:r>
            <w:r w:rsidRPr="00370860">
              <w:rPr>
                <w:rFonts w:asciiTheme="minorHAnsi" w:hAnsiTheme="minorHAnsi"/>
                <w:b/>
                <w:szCs w:val="20"/>
              </w:rPr>
              <w:t xml:space="preserve">: </w:t>
            </w:r>
            <w:r w:rsidRPr="00370860">
              <w:rPr>
                <w:rFonts w:asciiTheme="minorHAnsi" w:hAnsiTheme="minorHAnsi"/>
                <w:szCs w:val="20"/>
              </w:rPr>
              <w:t xml:space="preserve">Wide use of some charitable funds (particularly </w:t>
            </w:r>
            <w:r w:rsidR="004E4270">
              <w:rPr>
                <w:rFonts w:asciiTheme="minorHAnsi" w:hAnsiTheme="minorHAnsi"/>
                <w:szCs w:val="20"/>
              </w:rPr>
              <w:t>L</w:t>
            </w:r>
            <w:r w:rsidRPr="00370860">
              <w:rPr>
                <w:rFonts w:asciiTheme="minorHAnsi" w:hAnsiTheme="minorHAnsi"/>
                <w:szCs w:val="20"/>
              </w:rPr>
              <w:t>ottery funds) in Wales but this has potential to be expanded further</w:t>
            </w:r>
          </w:p>
        </w:tc>
        <w:tc>
          <w:tcPr>
            <w:tcW w:w="848" w:type="pct"/>
            <w:shd w:val="clear" w:color="auto" w:fill="auto"/>
          </w:tcPr>
          <w:p w14:paraId="65772CF1" w14:textId="31D92EB1" w:rsidR="00150EA7" w:rsidRPr="00370860" w:rsidRDefault="00150EA7" w:rsidP="00150EA7">
            <w:pPr>
              <w:pStyle w:val="TableTextNoSpace"/>
              <w:jc w:val="left"/>
              <w:rPr>
                <w:rFonts w:asciiTheme="minorHAnsi" w:hAnsiTheme="minorHAnsi"/>
                <w:b/>
                <w:szCs w:val="20"/>
                <w:highlight w:val="green"/>
              </w:rPr>
            </w:pPr>
            <w:r w:rsidRPr="00370860">
              <w:rPr>
                <w:rFonts w:asciiTheme="minorHAnsi" w:hAnsiTheme="minorHAnsi"/>
                <w:b/>
                <w:szCs w:val="20"/>
                <w:highlight w:val="yellow"/>
              </w:rPr>
              <w:t>Mod</w:t>
            </w:r>
            <w:r w:rsidRPr="00370860">
              <w:rPr>
                <w:rFonts w:asciiTheme="minorHAnsi" w:hAnsiTheme="minorHAnsi"/>
                <w:b/>
                <w:szCs w:val="20"/>
              </w:rPr>
              <w:t xml:space="preserve">: </w:t>
            </w:r>
            <w:r w:rsidRPr="00370860">
              <w:rPr>
                <w:rFonts w:asciiTheme="minorHAnsi" w:hAnsiTheme="minorHAnsi"/>
                <w:szCs w:val="20"/>
              </w:rPr>
              <w:t>Range up to approx. £3m.</w:t>
            </w:r>
          </w:p>
        </w:tc>
        <w:tc>
          <w:tcPr>
            <w:tcW w:w="848" w:type="pct"/>
            <w:shd w:val="clear" w:color="auto" w:fill="auto"/>
          </w:tcPr>
          <w:p w14:paraId="2803FA0F" w14:textId="73E0FE03" w:rsidR="00150EA7" w:rsidRPr="00370860" w:rsidRDefault="00150EA7" w:rsidP="00150EA7">
            <w:pPr>
              <w:pStyle w:val="TableTextNoSpace"/>
              <w:jc w:val="left"/>
              <w:rPr>
                <w:rFonts w:asciiTheme="minorHAnsi" w:hAnsiTheme="minorHAnsi"/>
                <w:b/>
                <w:szCs w:val="20"/>
                <w:highlight w:val="red"/>
              </w:rPr>
            </w:pPr>
            <w:r w:rsidRPr="00370860">
              <w:rPr>
                <w:rFonts w:asciiTheme="minorHAnsi" w:hAnsiTheme="minorHAnsi"/>
                <w:b/>
                <w:szCs w:val="20"/>
                <w:highlight w:val="green"/>
              </w:rPr>
              <w:t>High</w:t>
            </w:r>
            <w:r w:rsidRPr="00370860">
              <w:rPr>
                <w:rFonts w:asciiTheme="minorHAnsi" w:hAnsiTheme="minorHAnsi"/>
                <w:b/>
                <w:szCs w:val="20"/>
              </w:rPr>
              <w:t xml:space="preserve">: </w:t>
            </w:r>
            <w:r w:rsidRPr="00370860">
              <w:rPr>
                <w:rFonts w:asciiTheme="minorHAnsi" w:hAnsiTheme="minorHAnsi"/>
                <w:szCs w:val="20"/>
              </w:rPr>
              <w:t>Nearly all (22 of 25) management actions can be funded, depending on the scope of each individual funding source</w:t>
            </w:r>
          </w:p>
        </w:tc>
        <w:tc>
          <w:tcPr>
            <w:tcW w:w="848" w:type="pct"/>
          </w:tcPr>
          <w:p w14:paraId="3B9CE97E" w14:textId="197D9E65" w:rsidR="00150EA7" w:rsidRPr="00370860" w:rsidRDefault="00150EA7" w:rsidP="00150EA7">
            <w:pPr>
              <w:pStyle w:val="TableTextNoSpace"/>
              <w:jc w:val="left"/>
              <w:rPr>
                <w:rFonts w:asciiTheme="minorHAnsi" w:hAnsiTheme="minorHAnsi"/>
                <w:b/>
                <w:szCs w:val="20"/>
                <w:highlight w:val="yellow"/>
              </w:rPr>
            </w:pPr>
            <w:r w:rsidRPr="00370860">
              <w:rPr>
                <w:rFonts w:asciiTheme="minorHAnsi" w:hAnsiTheme="minorHAnsi"/>
                <w:b/>
                <w:szCs w:val="20"/>
                <w:highlight w:val="green"/>
              </w:rPr>
              <w:t>High</w:t>
            </w:r>
            <w:r w:rsidRPr="00370860">
              <w:rPr>
                <w:rFonts w:asciiTheme="minorHAnsi" w:hAnsiTheme="minorHAnsi"/>
                <w:b/>
                <w:szCs w:val="20"/>
              </w:rPr>
              <w:t xml:space="preserve">: </w:t>
            </w:r>
            <w:r w:rsidRPr="00370860">
              <w:rPr>
                <w:rFonts w:asciiTheme="minorHAnsi" w:hAnsiTheme="minorHAnsi"/>
                <w:szCs w:val="20"/>
              </w:rPr>
              <w:t xml:space="preserve">No major land-use sector restrictions, although these vary across individual sources vary. May be issues surrounding targeting of specialist management actions. </w:t>
            </w:r>
          </w:p>
        </w:tc>
        <w:tc>
          <w:tcPr>
            <w:tcW w:w="849" w:type="pct"/>
          </w:tcPr>
          <w:p w14:paraId="0DB64AA9" w14:textId="14235A2A" w:rsidR="00150EA7" w:rsidRPr="00370860" w:rsidRDefault="00150EA7" w:rsidP="0051706A">
            <w:pPr>
              <w:pStyle w:val="TableTextNoSpace"/>
              <w:jc w:val="left"/>
              <w:rPr>
                <w:rFonts w:asciiTheme="minorHAnsi" w:hAnsiTheme="minorHAnsi"/>
                <w:b/>
                <w:color w:val="000000" w:themeColor="text1"/>
                <w:szCs w:val="20"/>
                <w:highlight w:val="yellow"/>
              </w:rPr>
            </w:pPr>
            <w:r w:rsidRPr="00370860">
              <w:rPr>
                <w:rFonts w:asciiTheme="minorHAnsi" w:hAnsiTheme="minorHAnsi"/>
                <w:b/>
                <w:szCs w:val="20"/>
                <w:shd w:val="clear" w:color="auto" w:fill="FFFF00"/>
              </w:rPr>
              <w:t>Mod</w:t>
            </w:r>
            <w:r w:rsidRPr="00370860">
              <w:rPr>
                <w:rFonts w:asciiTheme="minorHAnsi" w:hAnsiTheme="minorHAnsi"/>
                <w:b/>
                <w:szCs w:val="20"/>
              </w:rPr>
              <w:t>:</w:t>
            </w:r>
            <w:r w:rsidRPr="00370860">
              <w:rPr>
                <w:rFonts w:asciiTheme="minorHAnsi" w:hAnsiTheme="minorHAnsi"/>
                <w:szCs w:val="20"/>
              </w:rPr>
              <w:t xml:space="preserve"> Funds are already widely used and there is growing competition. However they hold good potential to support landscape-level N</w:t>
            </w:r>
            <w:r w:rsidR="0051706A">
              <w:rPr>
                <w:rFonts w:asciiTheme="minorHAnsi" w:hAnsiTheme="minorHAnsi"/>
                <w:szCs w:val="20"/>
              </w:rPr>
              <w:t xml:space="preserve">2K </w:t>
            </w:r>
            <w:r w:rsidRPr="00370860">
              <w:rPr>
                <w:rFonts w:asciiTheme="minorHAnsi" w:hAnsiTheme="minorHAnsi"/>
                <w:szCs w:val="20"/>
              </w:rPr>
              <w:t xml:space="preserve">projects and programmes as well as match funding </w:t>
            </w:r>
          </w:p>
        </w:tc>
      </w:tr>
      <w:tr w:rsidR="00150EA7" w14:paraId="51FDF9DA" w14:textId="77777777" w:rsidTr="00370860">
        <w:tc>
          <w:tcPr>
            <w:tcW w:w="759" w:type="pct"/>
            <w:shd w:val="clear" w:color="auto" w:fill="auto"/>
          </w:tcPr>
          <w:p w14:paraId="5499136E" w14:textId="1F0711A2" w:rsidR="00150EA7" w:rsidRPr="00370860" w:rsidRDefault="00150EA7" w:rsidP="00150EA7">
            <w:pPr>
              <w:pStyle w:val="TableTextNoSpace"/>
              <w:jc w:val="left"/>
              <w:rPr>
                <w:rFonts w:asciiTheme="minorHAnsi" w:hAnsiTheme="minorHAnsi"/>
                <w:szCs w:val="20"/>
              </w:rPr>
            </w:pPr>
            <w:r>
              <w:rPr>
                <w:rFonts w:asciiTheme="minorHAnsi" w:hAnsiTheme="minorHAnsi"/>
                <w:sz w:val="18"/>
                <w:szCs w:val="18"/>
              </w:rPr>
              <w:t>Private, Lottery, voluntary sector:</w:t>
            </w:r>
            <w:r w:rsidRPr="00D60446">
              <w:rPr>
                <w:rFonts w:asciiTheme="minorHAnsi" w:hAnsiTheme="minorHAnsi"/>
                <w:sz w:val="18"/>
                <w:szCs w:val="18"/>
              </w:rPr>
              <w:t xml:space="preserve"> skills/training</w:t>
            </w:r>
          </w:p>
        </w:tc>
        <w:tc>
          <w:tcPr>
            <w:tcW w:w="848" w:type="pct"/>
            <w:shd w:val="clear" w:color="auto" w:fill="auto"/>
          </w:tcPr>
          <w:p w14:paraId="0F8B4F16" w14:textId="2B30F947" w:rsidR="00150EA7" w:rsidRPr="00370860" w:rsidRDefault="00150EA7" w:rsidP="00150EA7">
            <w:pPr>
              <w:pStyle w:val="TableTextNoSpace"/>
              <w:jc w:val="left"/>
              <w:rPr>
                <w:rFonts w:asciiTheme="minorHAnsi" w:hAnsiTheme="minorHAnsi"/>
                <w:b/>
                <w:szCs w:val="20"/>
                <w:highlight w:val="red"/>
              </w:rPr>
            </w:pPr>
            <w:r w:rsidRPr="00370860">
              <w:rPr>
                <w:rFonts w:asciiTheme="minorHAnsi" w:hAnsiTheme="minorHAnsi"/>
                <w:b/>
                <w:szCs w:val="20"/>
                <w:highlight w:val="yellow"/>
              </w:rPr>
              <w:t>Mod</w:t>
            </w:r>
            <w:r w:rsidRPr="00370860">
              <w:rPr>
                <w:rFonts w:asciiTheme="minorHAnsi" w:hAnsiTheme="minorHAnsi"/>
                <w:szCs w:val="20"/>
              </w:rPr>
              <w:t xml:space="preserve">: Increasing examples of partnership between NRW reserves and local charities </w:t>
            </w:r>
          </w:p>
        </w:tc>
        <w:tc>
          <w:tcPr>
            <w:tcW w:w="848" w:type="pct"/>
            <w:shd w:val="clear" w:color="auto" w:fill="auto"/>
          </w:tcPr>
          <w:p w14:paraId="6E65B696" w14:textId="10D7D377" w:rsidR="00150EA7" w:rsidRPr="00370860" w:rsidRDefault="00150EA7" w:rsidP="00150EA7">
            <w:pPr>
              <w:pStyle w:val="TableTextNoSpace"/>
              <w:jc w:val="left"/>
              <w:rPr>
                <w:rFonts w:asciiTheme="minorHAnsi" w:hAnsiTheme="minorHAnsi"/>
                <w:b/>
                <w:szCs w:val="20"/>
                <w:highlight w:val="green"/>
              </w:rPr>
            </w:pPr>
            <w:r w:rsidRPr="00370860">
              <w:rPr>
                <w:rFonts w:asciiTheme="minorHAnsi" w:hAnsiTheme="minorHAnsi"/>
                <w:b/>
                <w:szCs w:val="20"/>
                <w:highlight w:val="yellow"/>
              </w:rPr>
              <w:t>Mod</w:t>
            </w:r>
            <w:r w:rsidRPr="00370860">
              <w:rPr>
                <w:rFonts w:asciiTheme="minorHAnsi" w:hAnsiTheme="minorHAnsi"/>
                <w:b/>
                <w:szCs w:val="20"/>
              </w:rPr>
              <w:t xml:space="preserve">: </w:t>
            </w:r>
            <w:r w:rsidRPr="00370860">
              <w:rPr>
                <w:rFonts w:asciiTheme="minorHAnsi" w:hAnsiTheme="minorHAnsi"/>
                <w:szCs w:val="20"/>
              </w:rPr>
              <w:t>Range of small-to-large scale funds</w:t>
            </w:r>
          </w:p>
        </w:tc>
        <w:tc>
          <w:tcPr>
            <w:tcW w:w="848" w:type="pct"/>
            <w:shd w:val="clear" w:color="auto" w:fill="auto"/>
          </w:tcPr>
          <w:p w14:paraId="4F1A9027" w14:textId="42D83853" w:rsidR="00150EA7" w:rsidRPr="00370860" w:rsidRDefault="00150EA7" w:rsidP="00150EA7">
            <w:pPr>
              <w:pStyle w:val="TableTextNoSpace"/>
              <w:jc w:val="left"/>
              <w:rPr>
                <w:rFonts w:asciiTheme="minorHAnsi" w:hAnsiTheme="minorHAnsi"/>
                <w:b/>
                <w:szCs w:val="20"/>
                <w:highlight w:val="red"/>
              </w:rPr>
            </w:pPr>
            <w:r w:rsidRPr="00370860">
              <w:rPr>
                <w:rFonts w:asciiTheme="minorHAnsi" w:hAnsiTheme="minorHAnsi"/>
                <w:b/>
                <w:szCs w:val="20"/>
                <w:highlight w:val="red"/>
              </w:rPr>
              <w:t>Low</w:t>
            </w:r>
            <w:r w:rsidRPr="00370860">
              <w:rPr>
                <w:rFonts w:asciiTheme="minorHAnsi" w:hAnsiTheme="minorHAnsi"/>
                <w:b/>
                <w:szCs w:val="20"/>
              </w:rPr>
              <w:t xml:space="preserve">: </w:t>
            </w:r>
            <w:r w:rsidRPr="00370860">
              <w:rPr>
                <w:rFonts w:asciiTheme="minorHAnsi" w:hAnsiTheme="minorHAnsi"/>
                <w:szCs w:val="20"/>
              </w:rPr>
              <w:t xml:space="preserve">Use of funds relates to provision of information and skills and training (18, 19) </w:t>
            </w:r>
          </w:p>
        </w:tc>
        <w:tc>
          <w:tcPr>
            <w:tcW w:w="848" w:type="pct"/>
          </w:tcPr>
          <w:p w14:paraId="7BF5958D" w14:textId="77777777" w:rsidR="00150EA7" w:rsidRPr="00370860" w:rsidRDefault="00150EA7" w:rsidP="00150EA7">
            <w:pPr>
              <w:pStyle w:val="TableTextNoSpace"/>
              <w:jc w:val="left"/>
              <w:rPr>
                <w:rFonts w:asciiTheme="minorHAnsi" w:hAnsiTheme="minorHAnsi"/>
                <w:szCs w:val="20"/>
              </w:rPr>
            </w:pPr>
            <w:r w:rsidRPr="00370860">
              <w:rPr>
                <w:rFonts w:asciiTheme="minorHAnsi" w:hAnsiTheme="minorHAnsi"/>
                <w:b/>
                <w:szCs w:val="20"/>
                <w:highlight w:val="yellow"/>
              </w:rPr>
              <w:t>Mod</w:t>
            </w:r>
            <w:r w:rsidRPr="00370860">
              <w:rPr>
                <w:rFonts w:asciiTheme="minorHAnsi" w:hAnsiTheme="minorHAnsi"/>
                <w:szCs w:val="20"/>
              </w:rPr>
              <w:t>: Typically urban-rural environments or sites with recreational</w:t>
            </w:r>
          </w:p>
          <w:p w14:paraId="49190527" w14:textId="1777346B" w:rsidR="00150EA7" w:rsidRPr="00370860" w:rsidRDefault="00150EA7" w:rsidP="00150EA7">
            <w:pPr>
              <w:pStyle w:val="TableTextNoSpace"/>
              <w:jc w:val="left"/>
              <w:rPr>
                <w:rFonts w:asciiTheme="minorHAnsi" w:hAnsiTheme="minorHAnsi"/>
                <w:b/>
                <w:szCs w:val="20"/>
                <w:highlight w:val="yellow"/>
              </w:rPr>
            </w:pPr>
            <w:r w:rsidRPr="00370860">
              <w:rPr>
                <w:rFonts w:asciiTheme="minorHAnsi" w:hAnsiTheme="minorHAnsi"/>
                <w:szCs w:val="20"/>
              </w:rPr>
              <w:t xml:space="preserve">/educational uses </w:t>
            </w:r>
          </w:p>
        </w:tc>
        <w:tc>
          <w:tcPr>
            <w:tcW w:w="849" w:type="pct"/>
          </w:tcPr>
          <w:p w14:paraId="5FE792F7" w14:textId="2B46C6D7" w:rsidR="00150EA7" w:rsidRPr="00370860" w:rsidRDefault="00150EA7" w:rsidP="00150EA7">
            <w:pPr>
              <w:pStyle w:val="TableTextNoSpace"/>
              <w:jc w:val="left"/>
              <w:rPr>
                <w:rFonts w:asciiTheme="minorHAnsi" w:hAnsiTheme="minorHAnsi"/>
                <w:b/>
                <w:color w:val="000000" w:themeColor="text1"/>
                <w:szCs w:val="20"/>
                <w:highlight w:val="yellow"/>
              </w:rPr>
            </w:pPr>
            <w:r w:rsidRPr="00370860">
              <w:rPr>
                <w:rFonts w:asciiTheme="minorHAnsi" w:hAnsiTheme="minorHAnsi"/>
                <w:b/>
                <w:szCs w:val="20"/>
                <w:highlight w:val="yellow"/>
              </w:rPr>
              <w:t>Mod</w:t>
            </w:r>
            <w:r w:rsidRPr="00370860">
              <w:rPr>
                <w:rFonts w:asciiTheme="minorHAnsi" w:hAnsiTheme="minorHAnsi"/>
                <w:szCs w:val="20"/>
              </w:rPr>
              <w:t>: Some potential for further development of local partnerships around N</w:t>
            </w:r>
            <w:r w:rsidR="0051706A">
              <w:rPr>
                <w:rFonts w:asciiTheme="minorHAnsi" w:hAnsiTheme="minorHAnsi"/>
                <w:szCs w:val="20"/>
              </w:rPr>
              <w:t>2K</w:t>
            </w:r>
            <w:r w:rsidRPr="00370860">
              <w:rPr>
                <w:rFonts w:asciiTheme="minorHAnsi" w:hAnsiTheme="minorHAnsi"/>
                <w:szCs w:val="20"/>
              </w:rPr>
              <w:t xml:space="preserve"> sites. However, potential limited by scope for application </w:t>
            </w:r>
          </w:p>
        </w:tc>
      </w:tr>
      <w:tr w:rsidR="00366762" w14:paraId="178B07E8" w14:textId="77777777" w:rsidTr="00370860">
        <w:tc>
          <w:tcPr>
            <w:tcW w:w="759" w:type="pct"/>
            <w:shd w:val="clear" w:color="auto" w:fill="auto"/>
          </w:tcPr>
          <w:p w14:paraId="2F2E3969" w14:textId="7165D3E6" w:rsidR="00366762" w:rsidRPr="00370860" w:rsidRDefault="00366762" w:rsidP="00370860">
            <w:pPr>
              <w:pStyle w:val="TableTextNoSpace"/>
              <w:jc w:val="left"/>
              <w:rPr>
                <w:rFonts w:asciiTheme="minorHAnsi" w:hAnsiTheme="minorHAnsi"/>
                <w:szCs w:val="20"/>
              </w:rPr>
            </w:pPr>
            <w:r w:rsidRPr="00370860">
              <w:rPr>
                <w:rFonts w:asciiTheme="minorHAnsi" w:hAnsiTheme="minorHAnsi"/>
                <w:szCs w:val="20"/>
              </w:rPr>
              <w:t>Landfill funds</w:t>
            </w:r>
          </w:p>
        </w:tc>
        <w:tc>
          <w:tcPr>
            <w:tcW w:w="848" w:type="pct"/>
            <w:shd w:val="clear" w:color="auto" w:fill="auto"/>
          </w:tcPr>
          <w:p w14:paraId="1B5D41B2" w14:textId="6A7F19CF" w:rsidR="00366762" w:rsidRPr="00370860" w:rsidRDefault="00366762" w:rsidP="00370860">
            <w:pPr>
              <w:pStyle w:val="TableTextNoSpace"/>
              <w:jc w:val="left"/>
              <w:rPr>
                <w:rFonts w:asciiTheme="minorHAnsi" w:hAnsiTheme="minorHAnsi"/>
                <w:b/>
                <w:szCs w:val="20"/>
                <w:highlight w:val="red"/>
              </w:rPr>
            </w:pPr>
            <w:r w:rsidRPr="00370860">
              <w:rPr>
                <w:rFonts w:asciiTheme="minorHAnsi" w:hAnsiTheme="minorHAnsi"/>
                <w:b/>
                <w:szCs w:val="20"/>
                <w:highlight w:val="yellow"/>
              </w:rPr>
              <w:t>Mod</w:t>
            </w:r>
            <w:r w:rsidRPr="00370860">
              <w:rPr>
                <w:rFonts w:asciiTheme="minorHAnsi" w:hAnsiTheme="minorHAnsi"/>
                <w:b/>
                <w:szCs w:val="20"/>
              </w:rPr>
              <w:t xml:space="preserve">: </w:t>
            </w:r>
            <w:r w:rsidRPr="00370860">
              <w:rPr>
                <w:rFonts w:asciiTheme="minorHAnsi" w:hAnsiTheme="minorHAnsi"/>
                <w:szCs w:val="20"/>
              </w:rPr>
              <w:t>Frequent use in conservation management, but restrictions in the use of funds</w:t>
            </w:r>
          </w:p>
        </w:tc>
        <w:tc>
          <w:tcPr>
            <w:tcW w:w="848" w:type="pct"/>
            <w:shd w:val="clear" w:color="auto" w:fill="auto"/>
          </w:tcPr>
          <w:p w14:paraId="63AE0741" w14:textId="290E12C3" w:rsidR="00366762" w:rsidRPr="00370860" w:rsidRDefault="00366762" w:rsidP="00370860">
            <w:pPr>
              <w:pStyle w:val="TableTextNoSpace"/>
              <w:jc w:val="left"/>
              <w:rPr>
                <w:rFonts w:asciiTheme="minorHAnsi" w:hAnsiTheme="minorHAnsi"/>
                <w:b/>
                <w:szCs w:val="20"/>
                <w:highlight w:val="green"/>
              </w:rPr>
            </w:pPr>
            <w:r w:rsidRPr="00370860">
              <w:rPr>
                <w:rFonts w:asciiTheme="minorHAnsi" w:hAnsiTheme="minorHAnsi"/>
                <w:b/>
                <w:szCs w:val="20"/>
                <w:highlight w:val="yellow"/>
              </w:rPr>
              <w:t>Mod</w:t>
            </w:r>
            <w:r w:rsidRPr="00370860">
              <w:rPr>
                <w:rFonts w:asciiTheme="minorHAnsi" w:hAnsiTheme="minorHAnsi"/>
                <w:b/>
                <w:szCs w:val="20"/>
              </w:rPr>
              <w:t xml:space="preserve">: </w:t>
            </w:r>
            <w:r w:rsidRPr="00370860">
              <w:rPr>
                <w:rFonts w:asciiTheme="minorHAnsi" w:hAnsiTheme="minorHAnsi"/>
                <w:szCs w:val="20"/>
              </w:rPr>
              <w:t>Range of awards, from £5000 to £250,000. However total available for use in Wales appears relatively modest</w:t>
            </w:r>
          </w:p>
        </w:tc>
        <w:tc>
          <w:tcPr>
            <w:tcW w:w="848" w:type="pct"/>
            <w:shd w:val="clear" w:color="auto" w:fill="auto"/>
          </w:tcPr>
          <w:p w14:paraId="26592E4B" w14:textId="1BF28049" w:rsidR="00366762" w:rsidRPr="00370860" w:rsidRDefault="00366762" w:rsidP="00370860">
            <w:pPr>
              <w:pStyle w:val="TableTextNoSpace"/>
              <w:jc w:val="left"/>
              <w:rPr>
                <w:rFonts w:asciiTheme="minorHAnsi" w:hAnsiTheme="minorHAnsi"/>
                <w:b/>
                <w:szCs w:val="20"/>
                <w:highlight w:val="red"/>
              </w:rPr>
            </w:pPr>
            <w:r w:rsidRPr="00370860">
              <w:rPr>
                <w:rFonts w:asciiTheme="minorHAnsi" w:hAnsiTheme="minorHAnsi"/>
                <w:b/>
                <w:color w:val="000000" w:themeColor="text1"/>
                <w:szCs w:val="20"/>
                <w:highlight w:val="yellow"/>
              </w:rPr>
              <w:t>Mod</w:t>
            </w:r>
            <w:r w:rsidRPr="00370860">
              <w:rPr>
                <w:rFonts w:asciiTheme="minorHAnsi" w:hAnsiTheme="minorHAnsi"/>
                <w:b/>
                <w:color w:val="000000" w:themeColor="text1"/>
                <w:szCs w:val="20"/>
              </w:rPr>
              <w:t xml:space="preserve">: </w:t>
            </w:r>
            <w:r w:rsidRPr="00370860">
              <w:rPr>
                <w:rFonts w:asciiTheme="minorHAnsi" w:hAnsiTheme="minorHAnsi"/>
                <w:color w:val="000000" w:themeColor="text1"/>
                <w:szCs w:val="20"/>
              </w:rPr>
              <w:t xml:space="preserve">Six key actions can be funded relating to habitat management schemes and implementation (12, 13, 14, 15), piloting and restoration infrastructure </w:t>
            </w:r>
          </w:p>
        </w:tc>
        <w:tc>
          <w:tcPr>
            <w:tcW w:w="848" w:type="pct"/>
          </w:tcPr>
          <w:p w14:paraId="4651B961" w14:textId="413021E6" w:rsidR="00366762" w:rsidRPr="00370860" w:rsidRDefault="00366762" w:rsidP="00370860">
            <w:pPr>
              <w:pStyle w:val="TableTextNoSpace"/>
              <w:jc w:val="left"/>
              <w:rPr>
                <w:rFonts w:asciiTheme="minorHAnsi" w:hAnsiTheme="minorHAnsi"/>
                <w:b/>
                <w:szCs w:val="20"/>
                <w:highlight w:val="yellow"/>
              </w:rPr>
            </w:pPr>
            <w:r w:rsidRPr="00370860">
              <w:rPr>
                <w:rFonts w:asciiTheme="minorHAnsi" w:hAnsiTheme="minorHAnsi"/>
                <w:b/>
                <w:color w:val="000000" w:themeColor="text1"/>
                <w:szCs w:val="20"/>
                <w:shd w:val="clear" w:color="auto" w:fill="FF0000"/>
              </w:rPr>
              <w:t>Low</w:t>
            </w:r>
            <w:r w:rsidRPr="00370860">
              <w:rPr>
                <w:rFonts w:asciiTheme="minorHAnsi" w:hAnsiTheme="minorHAnsi"/>
                <w:b/>
                <w:color w:val="000000" w:themeColor="text1"/>
                <w:szCs w:val="20"/>
              </w:rPr>
              <w:t xml:space="preserve">: </w:t>
            </w:r>
            <w:r w:rsidRPr="00370860">
              <w:rPr>
                <w:rFonts w:asciiTheme="minorHAnsi" w:hAnsiTheme="minorHAnsi"/>
                <w:color w:val="000000" w:themeColor="text1"/>
                <w:szCs w:val="20"/>
              </w:rPr>
              <w:t xml:space="preserve">Range of habitat types supported. However, geographical proximity to landfill sites is typically a condition of funding awards. </w:t>
            </w:r>
          </w:p>
        </w:tc>
        <w:tc>
          <w:tcPr>
            <w:tcW w:w="849" w:type="pct"/>
          </w:tcPr>
          <w:p w14:paraId="484198AD" w14:textId="6E9142ED" w:rsidR="00366762" w:rsidRPr="00370860" w:rsidRDefault="00366762" w:rsidP="00370860">
            <w:pPr>
              <w:pStyle w:val="TableTextNoSpace"/>
              <w:jc w:val="left"/>
              <w:rPr>
                <w:rFonts w:asciiTheme="minorHAnsi" w:hAnsiTheme="minorHAnsi"/>
                <w:b/>
                <w:color w:val="000000" w:themeColor="text1"/>
                <w:szCs w:val="20"/>
                <w:highlight w:val="yellow"/>
              </w:rPr>
            </w:pPr>
            <w:r w:rsidRPr="00370860">
              <w:rPr>
                <w:rFonts w:asciiTheme="minorHAnsi" w:hAnsiTheme="minorHAnsi"/>
                <w:b/>
                <w:color w:val="000000" w:themeColor="text1"/>
                <w:szCs w:val="20"/>
                <w:shd w:val="clear" w:color="auto" w:fill="FF0000"/>
              </w:rPr>
              <w:t>Low</w:t>
            </w:r>
            <w:r w:rsidRPr="00370860">
              <w:rPr>
                <w:rFonts w:asciiTheme="minorHAnsi" w:hAnsiTheme="minorHAnsi"/>
                <w:b/>
                <w:color w:val="000000" w:themeColor="text1"/>
                <w:szCs w:val="20"/>
              </w:rPr>
              <w:t xml:space="preserve">: </w:t>
            </w:r>
            <w:r w:rsidRPr="00370860">
              <w:rPr>
                <w:rFonts w:asciiTheme="minorHAnsi" w:hAnsiTheme="minorHAnsi"/>
                <w:color w:val="000000" w:themeColor="text1"/>
                <w:szCs w:val="20"/>
              </w:rPr>
              <w:t>Limited scope for expanding use significantly. Funds are likely to decline over long term</w:t>
            </w:r>
          </w:p>
        </w:tc>
      </w:tr>
      <w:tr w:rsidR="00366762" w14:paraId="511CC5E3" w14:textId="77777777" w:rsidTr="00370860">
        <w:tc>
          <w:tcPr>
            <w:tcW w:w="5000" w:type="pct"/>
            <w:gridSpan w:val="6"/>
            <w:shd w:val="clear" w:color="auto" w:fill="F2F2F2" w:themeFill="background1" w:themeFillShade="F2"/>
          </w:tcPr>
          <w:p w14:paraId="3BCD615B" w14:textId="07D381C5" w:rsidR="00366762" w:rsidRPr="00370860" w:rsidRDefault="00366762" w:rsidP="00370860">
            <w:pPr>
              <w:pStyle w:val="TableTextNoSpace"/>
              <w:jc w:val="left"/>
              <w:rPr>
                <w:rFonts w:asciiTheme="minorHAnsi" w:hAnsiTheme="minorHAnsi"/>
                <w:b/>
                <w:szCs w:val="20"/>
              </w:rPr>
            </w:pPr>
            <w:r w:rsidRPr="00370860">
              <w:rPr>
                <w:rFonts w:asciiTheme="minorHAnsi" w:hAnsiTheme="minorHAnsi"/>
                <w:b/>
                <w:szCs w:val="20"/>
              </w:rPr>
              <w:t xml:space="preserve">Alternative funding sources </w:t>
            </w:r>
          </w:p>
        </w:tc>
      </w:tr>
      <w:tr w:rsidR="00366762" w14:paraId="4AE2321D" w14:textId="77777777" w:rsidTr="00370860">
        <w:tc>
          <w:tcPr>
            <w:tcW w:w="759" w:type="pct"/>
            <w:shd w:val="clear" w:color="auto" w:fill="auto"/>
          </w:tcPr>
          <w:p w14:paraId="58328E2C" w14:textId="5F943A0D" w:rsidR="00366762" w:rsidRPr="00370860" w:rsidRDefault="00366762" w:rsidP="00370860">
            <w:pPr>
              <w:pStyle w:val="TableTextNoSpace"/>
              <w:jc w:val="left"/>
              <w:rPr>
                <w:rFonts w:asciiTheme="minorHAnsi" w:hAnsiTheme="minorHAnsi"/>
                <w:szCs w:val="20"/>
              </w:rPr>
            </w:pPr>
            <w:r w:rsidRPr="00370860">
              <w:rPr>
                <w:rFonts w:asciiTheme="minorHAnsi" w:hAnsiTheme="minorHAnsi"/>
                <w:szCs w:val="20"/>
              </w:rPr>
              <w:t xml:space="preserve">Ecological compensation </w:t>
            </w:r>
          </w:p>
        </w:tc>
        <w:tc>
          <w:tcPr>
            <w:tcW w:w="848" w:type="pct"/>
            <w:shd w:val="clear" w:color="auto" w:fill="auto"/>
          </w:tcPr>
          <w:p w14:paraId="26852280" w14:textId="5483DC64" w:rsidR="00366762" w:rsidRPr="00370860" w:rsidRDefault="00366762" w:rsidP="00370860">
            <w:pPr>
              <w:pStyle w:val="TableTextNoSpace"/>
              <w:jc w:val="left"/>
              <w:rPr>
                <w:rFonts w:asciiTheme="minorHAnsi" w:hAnsiTheme="minorHAnsi"/>
                <w:szCs w:val="20"/>
              </w:rPr>
            </w:pPr>
            <w:r w:rsidRPr="00370860">
              <w:rPr>
                <w:rFonts w:asciiTheme="minorHAnsi" w:hAnsiTheme="minorHAnsi"/>
                <w:b/>
                <w:szCs w:val="20"/>
                <w:highlight w:val="red"/>
              </w:rPr>
              <w:t>Low</w:t>
            </w:r>
            <w:r w:rsidRPr="00370860">
              <w:rPr>
                <w:rFonts w:asciiTheme="minorHAnsi" w:hAnsiTheme="minorHAnsi"/>
                <w:b/>
                <w:szCs w:val="20"/>
              </w:rPr>
              <w:t xml:space="preserve">: </w:t>
            </w:r>
            <w:r w:rsidRPr="00370860">
              <w:rPr>
                <w:rFonts w:asciiTheme="minorHAnsi" w:hAnsiTheme="minorHAnsi"/>
                <w:szCs w:val="20"/>
              </w:rPr>
              <w:t xml:space="preserve">Some limited pilot projects as well as conventional mitigation/ compensation funds under s106/CIL </w:t>
            </w:r>
          </w:p>
        </w:tc>
        <w:tc>
          <w:tcPr>
            <w:tcW w:w="848" w:type="pct"/>
            <w:shd w:val="clear" w:color="auto" w:fill="auto"/>
          </w:tcPr>
          <w:p w14:paraId="5C894D48" w14:textId="61AAC6BC" w:rsidR="00366762" w:rsidRPr="00370860" w:rsidRDefault="00366762" w:rsidP="00370860">
            <w:pPr>
              <w:pStyle w:val="TableTextNoSpace"/>
              <w:jc w:val="left"/>
              <w:rPr>
                <w:rFonts w:asciiTheme="minorHAnsi" w:hAnsiTheme="minorHAnsi"/>
                <w:szCs w:val="20"/>
              </w:rPr>
            </w:pPr>
            <w:r w:rsidRPr="00370860">
              <w:rPr>
                <w:rFonts w:asciiTheme="minorHAnsi" w:hAnsiTheme="minorHAnsi"/>
                <w:b/>
                <w:szCs w:val="20"/>
                <w:highlight w:val="green"/>
              </w:rPr>
              <w:t>High</w:t>
            </w:r>
            <w:r w:rsidRPr="00370860">
              <w:rPr>
                <w:rFonts w:asciiTheme="minorHAnsi" w:hAnsiTheme="minorHAnsi"/>
                <w:b/>
                <w:szCs w:val="20"/>
              </w:rPr>
              <w:t xml:space="preserve">: </w:t>
            </w:r>
            <w:r w:rsidRPr="00370860">
              <w:rPr>
                <w:rFonts w:asciiTheme="minorHAnsi" w:hAnsiTheme="minorHAnsi"/>
                <w:szCs w:val="20"/>
              </w:rPr>
              <w:t xml:space="preserve">Case specific, though typically large-scale; Carmarthenshire levy has raised £1m+ of funds to date </w:t>
            </w:r>
          </w:p>
        </w:tc>
        <w:tc>
          <w:tcPr>
            <w:tcW w:w="848" w:type="pct"/>
            <w:shd w:val="clear" w:color="auto" w:fill="auto"/>
          </w:tcPr>
          <w:p w14:paraId="1A66B99F" w14:textId="7F471A03" w:rsidR="00366762" w:rsidRPr="00370860" w:rsidRDefault="00366762" w:rsidP="00370860">
            <w:pPr>
              <w:pStyle w:val="TableTextNoSpace"/>
              <w:jc w:val="left"/>
              <w:rPr>
                <w:rFonts w:asciiTheme="minorHAnsi" w:hAnsiTheme="minorHAnsi"/>
                <w:szCs w:val="20"/>
              </w:rPr>
            </w:pPr>
            <w:r w:rsidRPr="00370860">
              <w:rPr>
                <w:rFonts w:asciiTheme="minorHAnsi" w:hAnsiTheme="minorHAnsi"/>
                <w:b/>
                <w:szCs w:val="20"/>
                <w:highlight w:val="green"/>
              </w:rPr>
              <w:t>High</w:t>
            </w:r>
            <w:r w:rsidRPr="00370860">
              <w:rPr>
                <w:rFonts w:asciiTheme="minorHAnsi" w:hAnsiTheme="minorHAnsi"/>
                <w:b/>
                <w:szCs w:val="20"/>
              </w:rPr>
              <w:t xml:space="preserve">: </w:t>
            </w:r>
            <w:r w:rsidRPr="00652EA8">
              <w:rPr>
                <w:rFonts w:asciiTheme="minorHAnsi" w:hAnsiTheme="minorHAnsi"/>
                <w:szCs w:val="20"/>
              </w:rPr>
              <w:t>Wide range of actions,</w:t>
            </w:r>
            <w:r w:rsidRPr="00370860">
              <w:rPr>
                <w:rFonts w:asciiTheme="minorHAnsi" w:hAnsiTheme="minorHAnsi"/>
                <w:szCs w:val="20"/>
              </w:rPr>
              <w:t xml:space="preserve"> including piloting and management planning (7,9) species and habitat management (12, 13) ongoing monitoring (17, 19) and infrastructure (23, 24, 25) </w:t>
            </w:r>
          </w:p>
        </w:tc>
        <w:tc>
          <w:tcPr>
            <w:tcW w:w="848" w:type="pct"/>
            <w:shd w:val="clear" w:color="auto" w:fill="auto"/>
          </w:tcPr>
          <w:p w14:paraId="71EBC2E7" w14:textId="121CFAF8" w:rsidR="00366762" w:rsidRPr="00370860" w:rsidRDefault="00366762" w:rsidP="00370860">
            <w:pPr>
              <w:pStyle w:val="TableTextNoSpace"/>
              <w:jc w:val="left"/>
              <w:rPr>
                <w:rFonts w:asciiTheme="minorHAnsi" w:hAnsiTheme="minorHAnsi"/>
                <w:szCs w:val="20"/>
              </w:rPr>
            </w:pPr>
            <w:r w:rsidRPr="00370860">
              <w:rPr>
                <w:rFonts w:asciiTheme="minorHAnsi" w:hAnsiTheme="minorHAnsi"/>
                <w:b/>
                <w:szCs w:val="20"/>
                <w:highlight w:val="yellow"/>
              </w:rPr>
              <w:t>Mod</w:t>
            </w:r>
            <w:r w:rsidRPr="00370860">
              <w:rPr>
                <w:rFonts w:asciiTheme="minorHAnsi" w:hAnsiTheme="minorHAnsi"/>
                <w:szCs w:val="20"/>
              </w:rPr>
              <w:t xml:space="preserve">: Typically local metapopulations or equivalent habitat types </w:t>
            </w:r>
          </w:p>
        </w:tc>
        <w:tc>
          <w:tcPr>
            <w:tcW w:w="849" w:type="pct"/>
            <w:shd w:val="clear" w:color="auto" w:fill="auto"/>
          </w:tcPr>
          <w:p w14:paraId="7CA11652" w14:textId="5D9E5890" w:rsidR="00366762" w:rsidRPr="00370860" w:rsidRDefault="00366762" w:rsidP="00370860">
            <w:pPr>
              <w:pStyle w:val="TableTextNoSpace"/>
              <w:jc w:val="left"/>
              <w:rPr>
                <w:rFonts w:asciiTheme="minorHAnsi" w:hAnsiTheme="minorHAnsi"/>
                <w:szCs w:val="20"/>
              </w:rPr>
            </w:pPr>
            <w:r w:rsidRPr="00370860">
              <w:rPr>
                <w:rFonts w:asciiTheme="minorHAnsi" w:hAnsiTheme="minorHAnsi"/>
                <w:b/>
                <w:szCs w:val="20"/>
                <w:highlight w:val="yellow"/>
              </w:rPr>
              <w:t>Mod</w:t>
            </w:r>
            <w:r w:rsidRPr="00370860">
              <w:rPr>
                <w:rFonts w:asciiTheme="minorHAnsi" w:hAnsiTheme="minorHAnsi"/>
                <w:szCs w:val="20"/>
              </w:rPr>
              <w:t xml:space="preserve">: Potential applications at landscape/ metapopulation  scale (agricultural land) </w:t>
            </w:r>
          </w:p>
        </w:tc>
      </w:tr>
      <w:tr w:rsidR="00366762" w14:paraId="5971BBA9" w14:textId="77777777" w:rsidTr="00370860">
        <w:tc>
          <w:tcPr>
            <w:tcW w:w="759" w:type="pct"/>
            <w:shd w:val="clear" w:color="auto" w:fill="auto"/>
          </w:tcPr>
          <w:p w14:paraId="50946732" w14:textId="7B392DB0" w:rsidR="00366762" w:rsidRPr="00370860" w:rsidRDefault="00366762" w:rsidP="00370860">
            <w:pPr>
              <w:pStyle w:val="TableTextNoSpace"/>
              <w:jc w:val="left"/>
              <w:rPr>
                <w:rFonts w:asciiTheme="minorHAnsi" w:hAnsiTheme="minorHAnsi"/>
                <w:szCs w:val="20"/>
              </w:rPr>
            </w:pPr>
            <w:r w:rsidRPr="00370860">
              <w:rPr>
                <w:rFonts w:asciiTheme="minorHAnsi" w:hAnsiTheme="minorHAnsi"/>
                <w:szCs w:val="20"/>
              </w:rPr>
              <w:t>Environmental bonds</w:t>
            </w:r>
          </w:p>
        </w:tc>
        <w:tc>
          <w:tcPr>
            <w:tcW w:w="848" w:type="pct"/>
            <w:shd w:val="clear" w:color="auto" w:fill="auto"/>
          </w:tcPr>
          <w:p w14:paraId="6847C805" w14:textId="751301FF" w:rsidR="00366762" w:rsidRPr="00370860" w:rsidRDefault="00366762" w:rsidP="00370860">
            <w:pPr>
              <w:pStyle w:val="TableTextNoSpace"/>
              <w:jc w:val="left"/>
              <w:rPr>
                <w:rFonts w:asciiTheme="minorHAnsi" w:hAnsiTheme="minorHAnsi"/>
                <w:szCs w:val="20"/>
              </w:rPr>
            </w:pPr>
            <w:r w:rsidRPr="00370860">
              <w:rPr>
                <w:rFonts w:asciiTheme="minorHAnsi" w:hAnsiTheme="minorHAnsi"/>
                <w:b/>
                <w:szCs w:val="20"/>
                <w:highlight w:val="red"/>
              </w:rPr>
              <w:t>Low</w:t>
            </w:r>
            <w:r w:rsidRPr="00370860">
              <w:rPr>
                <w:rFonts w:asciiTheme="minorHAnsi" w:hAnsiTheme="minorHAnsi"/>
                <w:b/>
                <w:szCs w:val="20"/>
              </w:rPr>
              <w:t xml:space="preserve">: </w:t>
            </w:r>
            <w:r w:rsidRPr="00370860">
              <w:rPr>
                <w:rFonts w:asciiTheme="minorHAnsi" w:hAnsiTheme="minorHAnsi"/>
                <w:szCs w:val="20"/>
              </w:rPr>
              <w:t xml:space="preserve">No current biodiversity-related green bonds </w:t>
            </w:r>
          </w:p>
        </w:tc>
        <w:tc>
          <w:tcPr>
            <w:tcW w:w="848" w:type="pct"/>
            <w:shd w:val="clear" w:color="auto" w:fill="auto"/>
          </w:tcPr>
          <w:p w14:paraId="24D1665F" w14:textId="5546E7D1" w:rsidR="00366762" w:rsidRPr="00370860" w:rsidRDefault="00366762" w:rsidP="00370860">
            <w:pPr>
              <w:pStyle w:val="TableTextNoSpace"/>
              <w:jc w:val="left"/>
              <w:rPr>
                <w:rFonts w:asciiTheme="minorHAnsi" w:hAnsiTheme="minorHAnsi"/>
                <w:szCs w:val="20"/>
              </w:rPr>
            </w:pPr>
            <w:r w:rsidRPr="00370860">
              <w:rPr>
                <w:rFonts w:asciiTheme="minorHAnsi" w:hAnsiTheme="minorHAnsi"/>
                <w:b/>
                <w:szCs w:val="20"/>
                <w:highlight w:val="red"/>
              </w:rPr>
              <w:t>Low</w:t>
            </w:r>
            <w:r w:rsidRPr="00370860">
              <w:rPr>
                <w:rFonts w:asciiTheme="minorHAnsi" w:hAnsiTheme="minorHAnsi"/>
                <w:szCs w:val="20"/>
              </w:rPr>
              <w:t xml:space="preserve">: </w:t>
            </w:r>
            <w:r w:rsidR="0051706A">
              <w:rPr>
                <w:rFonts w:asciiTheme="minorHAnsi" w:hAnsiTheme="minorHAnsi"/>
                <w:szCs w:val="20"/>
              </w:rPr>
              <w:t>N</w:t>
            </w:r>
            <w:r w:rsidRPr="00370860">
              <w:rPr>
                <w:rFonts w:asciiTheme="minorHAnsi" w:hAnsiTheme="minorHAnsi"/>
                <w:szCs w:val="20"/>
              </w:rPr>
              <w:t>ot currently in operation.</w:t>
            </w:r>
          </w:p>
        </w:tc>
        <w:tc>
          <w:tcPr>
            <w:tcW w:w="848" w:type="pct"/>
            <w:shd w:val="clear" w:color="auto" w:fill="auto"/>
          </w:tcPr>
          <w:p w14:paraId="10511C56" w14:textId="1F72B5F2" w:rsidR="00366762" w:rsidRPr="00370860" w:rsidRDefault="00366762" w:rsidP="00370860">
            <w:pPr>
              <w:pStyle w:val="TableBullet"/>
              <w:numPr>
                <w:ilvl w:val="0"/>
                <w:numId w:val="0"/>
              </w:numPr>
              <w:ind w:left="57"/>
              <w:jc w:val="left"/>
              <w:rPr>
                <w:rFonts w:asciiTheme="minorHAnsi" w:hAnsiTheme="minorHAnsi"/>
                <w:szCs w:val="20"/>
              </w:rPr>
            </w:pPr>
            <w:r w:rsidRPr="00370860">
              <w:rPr>
                <w:rFonts w:asciiTheme="minorHAnsi" w:hAnsiTheme="minorHAnsi"/>
                <w:b/>
                <w:szCs w:val="20"/>
                <w:highlight w:val="yellow"/>
              </w:rPr>
              <w:t>Mod</w:t>
            </w:r>
            <w:r w:rsidRPr="00370860">
              <w:rPr>
                <w:rFonts w:asciiTheme="minorHAnsi" w:hAnsiTheme="minorHAnsi"/>
                <w:szCs w:val="20"/>
              </w:rPr>
              <w:t>: Management of habitats and species (12, 13); investment costs 25-27)</w:t>
            </w:r>
          </w:p>
        </w:tc>
        <w:tc>
          <w:tcPr>
            <w:tcW w:w="848" w:type="pct"/>
            <w:shd w:val="clear" w:color="auto" w:fill="auto"/>
          </w:tcPr>
          <w:p w14:paraId="12B8D035" w14:textId="0EBAC92D" w:rsidR="00366762" w:rsidRPr="00370860" w:rsidRDefault="00366762" w:rsidP="00370860">
            <w:pPr>
              <w:pStyle w:val="TableBullet"/>
              <w:numPr>
                <w:ilvl w:val="0"/>
                <w:numId w:val="0"/>
              </w:numPr>
              <w:ind w:left="57"/>
              <w:jc w:val="left"/>
              <w:rPr>
                <w:rFonts w:asciiTheme="minorHAnsi" w:hAnsiTheme="minorHAnsi"/>
                <w:szCs w:val="20"/>
              </w:rPr>
            </w:pPr>
            <w:r w:rsidRPr="00370860">
              <w:rPr>
                <w:rFonts w:asciiTheme="minorHAnsi" w:hAnsiTheme="minorHAnsi"/>
                <w:szCs w:val="20"/>
                <w:highlight w:val="red"/>
              </w:rPr>
              <w:t>Low</w:t>
            </w:r>
            <w:r w:rsidRPr="00370860">
              <w:rPr>
                <w:rFonts w:asciiTheme="minorHAnsi" w:hAnsiTheme="minorHAnsi"/>
                <w:szCs w:val="20"/>
              </w:rPr>
              <w:t>: Limited in their field of application. Largely applicable to new extractive industries, not restoration or mitigation of previous impacts</w:t>
            </w:r>
          </w:p>
        </w:tc>
        <w:tc>
          <w:tcPr>
            <w:tcW w:w="849" w:type="pct"/>
            <w:shd w:val="clear" w:color="auto" w:fill="auto"/>
          </w:tcPr>
          <w:p w14:paraId="5718473C" w14:textId="2EC48908" w:rsidR="00366762" w:rsidRPr="00370860" w:rsidRDefault="00366762" w:rsidP="00370860">
            <w:pPr>
              <w:pStyle w:val="TableBullet"/>
              <w:numPr>
                <w:ilvl w:val="0"/>
                <w:numId w:val="0"/>
              </w:numPr>
              <w:ind w:left="57"/>
              <w:jc w:val="left"/>
              <w:rPr>
                <w:rFonts w:asciiTheme="minorHAnsi" w:hAnsiTheme="minorHAnsi"/>
                <w:szCs w:val="20"/>
              </w:rPr>
            </w:pPr>
            <w:r w:rsidRPr="00370860">
              <w:rPr>
                <w:rFonts w:asciiTheme="minorHAnsi" w:hAnsiTheme="minorHAnsi"/>
                <w:szCs w:val="20"/>
                <w:highlight w:val="red"/>
              </w:rPr>
              <w:t>Low</w:t>
            </w:r>
            <w:r w:rsidRPr="00370860">
              <w:rPr>
                <w:rFonts w:asciiTheme="minorHAnsi" w:hAnsiTheme="minorHAnsi"/>
                <w:szCs w:val="20"/>
              </w:rPr>
              <w:t>: Further work needs to be done to understand how and whether environmental bonds might work in practice</w:t>
            </w:r>
          </w:p>
        </w:tc>
      </w:tr>
      <w:tr w:rsidR="00366762" w14:paraId="79E4F156" w14:textId="77777777" w:rsidTr="00370860">
        <w:tc>
          <w:tcPr>
            <w:tcW w:w="759" w:type="pct"/>
            <w:shd w:val="clear" w:color="auto" w:fill="auto"/>
          </w:tcPr>
          <w:p w14:paraId="0E6C8677" w14:textId="5F0B70E4" w:rsidR="00366762" w:rsidRPr="00370860" w:rsidRDefault="00366762" w:rsidP="00370860">
            <w:pPr>
              <w:pStyle w:val="TableTextNoSpace"/>
              <w:jc w:val="left"/>
              <w:rPr>
                <w:rFonts w:asciiTheme="minorHAnsi" w:hAnsiTheme="minorHAnsi"/>
                <w:szCs w:val="20"/>
              </w:rPr>
            </w:pPr>
            <w:r w:rsidRPr="00370860">
              <w:rPr>
                <w:rFonts w:asciiTheme="minorHAnsi" w:hAnsiTheme="minorHAnsi"/>
                <w:szCs w:val="20"/>
              </w:rPr>
              <w:t>Loan finance</w:t>
            </w:r>
          </w:p>
        </w:tc>
        <w:tc>
          <w:tcPr>
            <w:tcW w:w="848" w:type="pct"/>
            <w:shd w:val="clear" w:color="auto" w:fill="auto"/>
          </w:tcPr>
          <w:p w14:paraId="746F2BD7" w14:textId="54F6D662" w:rsidR="00366762" w:rsidRPr="00370860" w:rsidRDefault="00366762" w:rsidP="00370860">
            <w:pPr>
              <w:pStyle w:val="TableTextNoSpace"/>
              <w:jc w:val="left"/>
              <w:rPr>
                <w:rFonts w:asciiTheme="minorHAnsi" w:hAnsiTheme="minorHAnsi"/>
                <w:b/>
                <w:szCs w:val="20"/>
                <w:highlight w:val="red"/>
              </w:rPr>
            </w:pPr>
            <w:r w:rsidRPr="00370860">
              <w:rPr>
                <w:rFonts w:asciiTheme="minorHAnsi" w:hAnsiTheme="minorHAnsi"/>
                <w:b/>
                <w:szCs w:val="20"/>
                <w:highlight w:val="red"/>
              </w:rPr>
              <w:t>Unknown</w:t>
            </w:r>
          </w:p>
        </w:tc>
        <w:tc>
          <w:tcPr>
            <w:tcW w:w="848" w:type="pct"/>
            <w:shd w:val="clear" w:color="auto" w:fill="auto"/>
          </w:tcPr>
          <w:p w14:paraId="67F1C22D" w14:textId="1C0AAE9F" w:rsidR="00366762" w:rsidRPr="006C66B0" w:rsidRDefault="00366762" w:rsidP="00696984">
            <w:pPr>
              <w:pStyle w:val="TableTextNoSpace"/>
              <w:jc w:val="left"/>
              <w:rPr>
                <w:rFonts w:asciiTheme="minorHAnsi" w:hAnsiTheme="minorHAnsi"/>
                <w:b/>
                <w:szCs w:val="20"/>
              </w:rPr>
            </w:pPr>
            <w:r w:rsidRPr="00370860">
              <w:rPr>
                <w:rFonts w:asciiTheme="minorHAnsi" w:hAnsiTheme="minorHAnsi"/>
                <w:b/>
                <w:szCs w:val="20"/>
                <w:highlight w:val="yellow"/>
              </w:rPr>
              <w:t>Mod:</w:t>
            </w:r>
            <w:r w:rsidRPr="00370860">
              <w:rPr>
                <w:rFonts w:asciiTheme="minorHAnsi" w:hAnsiTheme="minorHAnsi"/>
                <w:b/>
                <w:szCs w:val="20"/>
              </w:rPr>
              <w:t xml:space="preserve"> </w:t>
            </w:r>
            <w:r w:rsidR="00696984" w:rsidRPr="006C66B0">
              <w:rPr>
                <w:rFonts w:asciiTheme="minorHAnsi" w:hAnsiTheme="minorHAnsi"/>
                <w:szCs w:val="20"/>
              </w:rPr>
              <w:t>Loans available to SMEs with environmental focus from Finance Wales and Welsh Council for Voluntary Action.</w:t>
            </w:r>
            <w:r w:rsidR="00696984">
              <w:rPr>
                <w:rFonts w:asciiTheme="minorHAnsi" w:hAnsiTheme="minorHAnsi"/>
                <w:b/>
                <w:szCs w:val="20"/>
              </w:rPr>
              <w:t xml:space="preserve"> </w:t>
            </w:r>
            <w:r w:rsidRPr="00370860">
              <w:rPr>
                <w:rFonts w:asciiTheme="minorHAnsi" w:hAnsiTheme="minorHAnsi"/>
                <w:szCs w:val="20"/>
              </w:rPr>
              <w:t xml:space="preserve">Size of loan available is dependent on the facility used. Can range from small (&lt;£10k) to </w:t>
            </w:r>
            <w:r w:rsidR="00696984">
              <w:rPr>
                <w:rFonts w:asciiTheme="minorHAnsi" w:hAnsiTheme="minorHAnsi"/>
                <w:szCs w:val="20"/>
              </w:rPr>
              <w:t>medium</w:t>
            </w:r>
            <w:r w:rsidRPr="00370860">
              <w:rPr>
                <w:rFonts w:asciiTheme="minorHAnsi" w:hAnsiTheme="minorHAnsi"/>
                <w:szCs w:val="20"/>
              </w:rPr>
              <w:t xml:space="preserve"> (&gt;</w:t>
            </w:r>
            <w:r w:rsidR="00696984">
              <w:rPr>
                <w:rFonts w:asciiTheme="minorHAnsi" w:hAnsiTheme="minorHAnsi"/>
                <w:szCs w:val="20"/>
              </w:rPr>
              <w:t>£250,000</w:t>
            </w:r>
            <w:r w:rsidRPr="00370860">
              <w:rPr>
                <w:rFonts w:asciiTheme="minorHAnsi" w:hAnsiTheme="minorHAnsi"/>
                <w:szCs w:val="20"/>
              </w:rPr>
              <w:t>)</w:t>
            </w:r>
          </w:p>
        </w:tc>
        <w:tc>
          <w:tcPr>
            <w:tcW w:w="848" w:type="pct"/>
            <w:shd w:val="clear" w:color="auto" w:fill="auto"/>
          </w:tcPr>
          <w:p w14:paraId="40B327EB" w14:textId="1EFE6A0A" w:rsidR="00366762" w:rsidRPr="00370860" w:rsidRDefault="00366762" w:rsidP="00370860">
            <w:pPr>
              <w:pStyle w:val="TableBullet"/>
              <w:numPr>
                <w:ilvl w:val="0"/>
                <w:numId w:val="0"/>
              </w:numPr>
              <w:ind w:left="57"/>
              <w:jc w:val="left"/>
              <w:rPr>
                <w:rFonts w:asciiTheme="minorHAnsi" w:hAnsiTheme="minorHAnsi"/>
                <w:szCs w:val="20"/>
                <w:highlight w:val="yellow"/>
              </w:rPr>
            </w:pPr>
            <w:r w:rsidRPr="00370860">
              <w:rPr>
                <w:rFonts w:asciiTheme="minorHAnsi" w:hAnsiTheme="minorHAnsi"/>
                <w:b/>
                <w:szCs w:val="20"/>
                <w:highlight w:val="yellow"/>
              </w:rPr>
              <w:t>Mod:</w:t>
            </w:r>
            <w:r w:rsidRPr="00370860">
              <w:rPr>
                <w:rFonts w:asciiTheme="minorHAnsi" w:hAnsiTheme="minorHAnsi"/>
                <w:b/>
                <w:szCs w:val="20"/>
              </w:rPr>
              <w:t xml:space="preserve"> </w:t>
            </w:r>
            <w:r w:rsidRPr="00370860">
              <w:rPr>
                <w:rFonts w:asciiTheme="minorHAnsi" w:hAnsiTheme="minorHAnsi"/>
                <w:szCs w:val="20"/>
              </w:rPr>
              <w:t>Generally limited to ongoing management of habitats/species and one-off investments, although these must be in relation to profit generating activities</w:t>
            </w:r>
          </w:p>
        </w:tc>
        <w:tc>
          <w:tcPr>
            <w:tcW w:w="848" w:type="pct"/>
            <w:shd w:val="clear" w:color="auto" w:fill="auto"/>
          </w:tcPr>
          <w:p w14:paraId="340F279B" w14:textId="72268FAF" w:rsidR="00366762" w:rsidRPr="00370860" w:rsidRDefault="00366762" w:rsidP="00370860">
            <w:pPr>
              <w:pStyle w:val="TableBullet"/>
              <w:numPr>
                <w:ilvl w:val="0"/>
                <w:numId w:val="0"/>
              </w:numPr>
              <w:ind w:left="57"/>
              <w:jc w:val="left"/>
              <w:rPr>
                <w:rFonts w:asciiTheme="minorHAnsi" w:hAnsiTheme="minorHAnsi"/>
                <w:szCs w:val="20"/>
                <w:highlight w:val="red"/>
              </w:rPr>
            </w:pPr>
            <w:r w:rsidRPr="00370860">
              <w:rPr>
                <w:rFonts w:asciiTheme="minorHAnsi" w:hAnsiTheme="minorHAnsi"/>
                <w:b/>
                <w:szCs w:val="20"/>
                <w:highlight w:val="yellow"/>
              </w:rPr>
              <w:t>Mod</w:t>
            </w:r>
            <w:r w:rsidRPr="00370860">
              <w:rPr>
                <w:rFonts w:asciiTheme="minorHAnsi" w:hAnsiTheme="minorHAnsi"/>
                <w:b/>
                <w:szCs w:val="20"/>
              </w:rPr>
              <w:t xml:space="preserve">: </w:t>
            </w:r>
            <w:r w:rsidRPr="00370860">
              <w:rPr>
                <w:rFonts w:asciiTheme="minorHAnsi" w:hAnsiTheme="minorHAnsi"/>
                <w:szCs w:val="20"/>
              </w:rPr>
              <w:t>Dependent on facility being used.</w:t>
            </w:r>
            <w:r w:rsidRPr="00370860">
              <w:rPr>
                <w:rFonts w:asciiTheme="minorHAnsi" w:hAnsiTheme="minorHAnsi"/>
                <w:b/>
                <w:szCs w:val="20"/>
              </w:rPr>
              <w:t xml:space="preserve"> </w:t>
            </w:r>
          </w:p>
        </w:tc>
        <w:tc>
          <w:tcPr>
            <w:tcW w:w="849" w:type="pct"/>
            <w:shd w:val="clear" w:color="auto" w:fill="auto"/>
          </w:tcPr>
          <w:p w14:paraId="446F38DB" w14:textId="288E4339" w:rsidR="00366762" w:rsidRPr="00370860" w:rsidRDefault="00366762" w:rsidP="006C66B0">
            <w:pPr>
              <w:pStyle w:val="TableBullet"/>
              <w:numPr>
                <w:ilvl w:val="0"/>
                <w:numId w:val="0"/>
              </w:numPr>
              <w:ind w:left="57"/>
              <w:jc w:val="left"/>
              <w:rPr>
                <w:rFonts w:asciiTheme="minorHAnsi" w:hAnsiTheme="minorHAnsi"/>
                <w:szCs w:val="20"/>
                <w:highlight w:val="red"/>
              </w:rPr>
            </w:pPr>
            <w:r w:rsidRPr="00370860">
              <w:rPr>
                <w:rFonts w:asciiTheme="minorHAnsi" w:hAnsiTheme="minorHAnsi"/>
                <w:szCs w:val="20"/>
                <w:highlight w:val="red"/>
              </w:rPr>
              <w:t>Low:</w:t>
            </w:r>
            <w:r w:rsidRPr="00370860">
              <w:rPr>
                <w:rFonts w:asciiTheme="minorHAnsi" w:hAnsiTheme="minorHAnsi"/>
                <w:szCs w:val="20"/>
              </w:rPr>
              <w:t xml:space="preserve"> </w:t>
            </w:r>
            <w:r w:rsidR="0051706A">
              <w:rPr>
                <w:rFonts w:asciiTheme="minorHAnsi" w:hAnsiTheme="minorHAnsi"/>
                <w:szCs w:val="20"/>
              </w:rPr>
              <w:t>D</w:t>
            </w:r>
            <w:r w:rsidRPr="00370860">
              <w:rPr>
                <w:rFonts w:asciiTheme="minorHAnsi" w:hAnsiTheme="minorHAnsi"/>
                <w:szCs w:val="20"/>
              </w:rPr>
              <w:t>ue to the need for loan repayment, applicability to N</w:t>
            </w:r>
            <w:r w:rsidR="0051706A">
              <w:rPr>
                <w:rFonts w:asciiTheme="minorHAnsi" w:hAnsiTheme="minorHAnsi"/>
                <w:szCs w:val="20"/>
              </w:rPr>
              <w:t xml:space="preserve">2K </w:t>
            </w:r>
            <w:r w:rsidRPr="00370860">
              <w:rPr>
                <w:rFonts w:asciiTheme="minorHAnsi" w:hAnsiTheme="minorHAnsi"/>
                <w:szCs w:val="20"/>
              </w:rPr>
              <w:t>management needs is likely to be low. Likely to be most relevant when considered in tandem with marketed products</w:t>
            </w:r>
          </w:p>
        </w:tc>
      </w:tr>
      <w:tr w:rsidR="00366762" w14:paraId="4D9687E2" w14:textId="77777777" w:rsidTr="00370860">
        <w:tc>
          <w:tcPr>
            <w:tcW w:w="759" w:type="pct"/>
            <w:shd w:val="clear" w:color="auto" w:fill="auto"/>
          </w:tcPr>
          <w:p w14:paraId="538CE3C7" w14:textId="22E7D453" w:rsidR="00366762" w:rsidRPr="00370860" w:rsidRDefault="00366762" w:rsidP="00370860">
            <w:pPr>
              <w:pStyle w:val="TableTextNoSpace"/>
              <w:jc w:val="left"/>
              <w:rPr>
                <w:rFonts w:asciiTheme="minorHAnsi" w:hAnsiTheme="minorHAnsi"/>
                <w:szCs w:val="20"/>
              </w:rPr>
            </w:pPr>
            <w:r w:rsidRPr="00370860">
              <w:rPr>
                <w:rFonts w:asciiTheme="minorHAnsi" w:hAnsiTheme="minorHAnsi"/>
                <w:szCs w:val="20"/>
              </w:rPr>
              <w:t>Marketed products</w:t>
            </w:r>
          </w:p>
        </w:tc>
        <w:tc>
          <w:tcPr>
            <w:tcW w:w="848" w:type="pct"/>
            <w:shd w:val="clear" w:color="auto" w:fill="auto"/>
          </w:tcPr>
          <w:p w14:paraId="5F0B2202" w14:textId="3B50DF2B" w:rsidR="00366762" w:rsidRPr="00370860" w:rsidRDefault="00366762" w:rsidP="00370860">
            <w:pPr>
              <w:pStyle w:val="TableTextNoSpace"/>
              <w:jc w:val="left"/>
              <w:rPr>
                <w:rFonts w:asciiTheme="minorHAnsi" w:hAnsiTheme="minorHAnsi"/>
                <w:szCs w:val="20"/>
              </w:rPr>
            </w:pPr>
            <w:r w:rsidRPr="00370860">
              <w:rPr>
                <w:rFonts w:asciiTheme="minorHAnsi" w:hAnsiTheme="minorHAnsi"/>
                <w:b/>
                <w:szCs w:val="20"/>
                <w:highlight w:val="yellow"/>
              </w:rPr>
              <w:t>Mod</w:t>
            </w:r>
            <w:r w:rsidRPr="00370860">
              <w:rPr>
                <w:rFonts w:asciiTheme="minorHAnsi" w:hAnsiTheme="minorHAnsi"/>
                <w:b/>
                <w:szCs w:val="20"/>
              </w:rPr>
              <w:t xml:space="preserve">: </w:t>
            </w:r>
            <w:r w:rsidRPr="00370860">
              <w:rPr>
                <w:rFonts w:asciiTheme="minorHAnsi" w:hAnsiTheme="minorHAnsi"/>
                <w:szCs w:val="20"/>
              </w:rPr>
              <w:t>A range of environmentally sustainable marketed products are produced in Wales, although the extent of use in relation to</w:t>
            </w:r>
            <w:r w:rsidR="0051706A">
              <w:rPr>
                <w:rFonts w:asciiTheme="minorHAnsi" w:hAnsiTheme="minorHAnsi"/>
                <w:szCs w:val="20"/>
              </w:rPr>
              <w:t xml:space="preserve"> N2K </w:t>
            </w:r>
            <w:r w:rsidRPr="00370860">
              <w:rPr>
                <w:rFonts w:asciiTheme="minorHAnsi" w:hAnsiTheme="minorHAnsi"/>
                <w:szCs w:val="20"/>
              </w:rPr>
              <w:t xml:space="preserve"> is not clear and likely to be modest</w:t>
            </w:r>
          </w:p>
        </w:tc>
        <w:tc>
          <w:tcPr>
            <w:tcW w:w="848" w:type="pct"/>
            <w:shd w:val="clear" w:color="auto" w:fill="auto"/>
          </w:tcPr>
          <w:p w14:paraId="492482F7" w14:textId="293045D5" w:rsidR="00366762" w:rsidRPr="00370860" w:rsidRDefault="00366762" w:rsidP="00370860">
            <w:pPr>
              <w:pStyle w:val="TableTextNoSpace"/>
              <w:jc w:val="left"/>
              <w:rPr>
                <w:rFonts w:asciiTheme="minorHAnsi" w:hAnsiTheme="minorHAnsi"/>
                <w:szCs w:val="20"/>
              </w:rPr>
            </w:pPr>
            <w:r w:rsidRPr="00370860">
              <w:rPr>
                <w:rFonts w:asciiTheme="minorHAnsi" w:hAnsiTheme="minorHAnsi"/>
                <w:b/>
                <w:szCs w:val="20"/>
                <w:highlight w:val="yellow"/>
              </w:rPr>
              <w:t>Mod</w:t>
            </w:r>
            <w:r w:rsidRPr="00370860">
              <w:rPr>
                <w:rFonts w:asciiTheme="minorHAnsi" w:hAnsiTheme="minorHAnsi"/>
                <w:b/>
                <w:szCs w:val="20"/>
              </w:rPr>
              <w:t xml:space="preserve">: </w:t>
            </w:r>
            <w:r w:rsidRPr="00370860">
              <w:rPr>
                <w:rFonts w:asciiTheme="minorHAnsi" w:hAnsiTheme="minorHAnsi"/>
                <w:szCs w:val="20"/>
              </w:rPr>
              <w:t>The size of conservation finance generated / management actions delivered is commensurate with the current scale of use</w:t>
            </w:r>
          </w:p>
        </w:tc>
        <w:tc>
          <w:tcPr>
            <w:tcW w:w="848" w:type="pct"/>
            <w:shd w:val="clear" w:color="auto" w:fill="auto"/>
          </w:tcPr>
          <w:p w14:paraId="18C10836" w14:textId="3056F525" w:rsidR="00366762" w:rsidRPr="00370860" w:rsidRDefault="00366762" w:rsidP="00370860">
            <w:pPr>
              <w:pStyle w:val="TableTextNoSpace"/>
              <w:jc w:val="left"/>
              <w:rPr>
                <w:rFonts w:asciiTheme="minorHAnsi" w:hAnsiTheme="minorHAnsi"/>
                <w:szCs w:val="20"/>
              </w:rPr>
            </w:pPr>
            <w:r w:rsidRPr="00370860">
              <w:rPr>
                <w:rFonts w:asciiTheme="minorHAnsi" w:hAnsiTheme="minorHAnsi"/>
                <w:b/>
                <w:szCs w:val="20"/>
                <w:highlight w:val="yellow"/>
              </w:rPr>
              <w:t>Mod</w:t>
            </w:r>
            <w:r w:rsidRPr="00370860">
              <w:rPr>
                <w:rFonts w:asciiTheme="minorHAnsi" w:hAnsiTheme="minorHAnsi"/>
                <w:b/>
                <w:szCs w:val="20"/>
              </w:rPr>
              <w:t xml:space="preserve">: </w:t>
            </w:r>
            <w:r w:rsidR="0080501F">
              <w:rPr>
                <w:rFonts w:asciiTheme="minorHAnsi" w:hAnsiTheme="minorHAnsi"/>
                <w:szCs w:val="20"/>
              </w:rPr>
              <w:t>S</w:t>
            </w:r>
            <w:r w:rsidRPr="00370860">
              <w:rPr>
                <w:rFonts w:asciiTheme="minorHAnsi" w:hAnsiTheme="minorHAnsi"/>
                <w:szCs w:val="20"/>
              </w:rPr>
              <w:t xml:space="preserve">upports direct management actions but funds can be used to finance a wider range of actions </w:t>
            </w:r>
          </w:p>
        </w:tc>
        <w:tc>
          <w:tcPr>
            <w:tcW w:w="848" w:type="pct"/>
            <w:shd w:val="clear" w:color="auto" w:fill="auto"/>
          </w:tcPr>
          <w:p w14:paraId="4064C839" w14:textId="362FCCC2" w:rsidR="00366762" w:rsidRPr="00370860" w:rsidRDefault="00366762" w:rsidP="00370860">
            <w:pPr>
              <w:pStyle w:val="TableTextNoSpace"/>
              <w:jc w:val="left"/>
              <w:rPr>
                <w:rFonts w:asciiTheme="minorHAnsi" w:hAnsiTheme="minorHAnsi"/>
                <w:szCs w:val="20"/>
              </w:rPr>
            </w:pPr>
            <w:r w:rsidRPr="00370860">
              <w:rPr>
                <w:rFonts w:asciiTheme="minorHAnsi" w:hAnsiTheme="minorHAnsi"/>
                <w:b/>
                <w:szCs w:val="20"/>
                <w:highlight w:val="yellow"/>
              </w:rPr>
              <w:t>Mod</w:t>
            </w:r>
            <w:r w:rsidRPr="00370860">
              <w:rPr>
                <w:rFonts w:asciiTheme="minorHAnsi" w:hAnsiTheme="minorHAnsi"/>
                <w:b/>
                <w:szCs w:val="20"/>
              </w:rPr>
              <w:t xml:space="preserve">: </w:t>
            </w:r>
            <w:r w:rsidRPr="00370860">
              <w:rPr>
                <w:rFonts w:asciiTheme="minorHAnsi" w:hAnsiTheme="minorHAnsi"/>
                <w:szCs w:val="20"/>
              </w:rPr>
              <w:t>Agricultural and forestry land-uses, as well as fisheries are the primary areas of opportunity. Notable transaction costs and commerciality issues</w:t>
            </w:r>
          </w:p>
        </w:tc>
        <w:tc>
          <w:tcPr>
            <w:tcW w:w="849" w:type="pct"/>
            <w:shd w:val="clear" w:color="auto" w:fill="auto"/>
          </w:tcPr>
          <w:p w14:paraId="75620CEB" w14:textId="62CF071D" w:rsidR="00366762" w:rsidRPr="00370860" w:rsidRDefault="00366762" w:rsidP="00370860">
            <w:pPr>
              <w:pStyle w:val="TableTextNoSpace"/>
              <w:jc w:val="left"/>
              <w:rPr>
                <w:rFonts w:asciiTheme="minorHAnsi" w:hAnsiTheme="minorHAnsi"/>
                <w:szCs w:val="20"/>
              </w:rPr>
            </w:pPr>
            <w:r w:rsidRPr="00370860">
              <w:rPr>
                <w:rFonts w:asciiTheme="minorHAnsi" w:hAnsiTheme="minorHAnsi"/>
                <w:b/>
                <w:szCs w:val="20"/>
                <w:highlight w:val="yellow"/>
              </w:rPr>
              <w:t>Mod</w:t>
            </w:r>
            <w:r w:rsidRPr="00370860">
              <w:rPr>
                <w:rFonts w:asciiTheme="minorHAnsi" w:hAnsiTheme="minorHAnsi"/>
                <w:b/>
                <w:szCs w:val="20"/>
              </w:rPr>
              <w:t xml:space="preserve">: </w:t>
            </w:r>
            <w:r w:rsidRPr="00370860">
              <w:rPr>
                <w:rFonts w:asciiTheme="minorHAnsi" w:hAnsiTheme="minorHAnsi"/>
                <w:szCs w:val="20"/>
              </w:rPr>
              <w:t>Opportunities will be limited to where site characteristics are appropriate and commercially viable products can be produced</w:t>
            </w:r>
          </w:p>
        </w:tc>
      </w:tr>
      <w:tr w:rsidR="00366762" w14:paraId="6E3A85A0" w14:textId="77777777" w:rsidTr="00370860">
        <w:tc>
          <w:tcPr>
            <w:tcW w:w="759" w:type="pct"/>
            <w:shd w:val="clear" w:color="auto" w:fill="auto"/>
          </w:tcPr>
          <w:p w14:paraId="69D88B45" w14:textId="0AB59C1E" w:rsidR="00366762" w:rsidRPr="00370860" w:rsidRDefault="00366762" w:rsidP="00370860">
            <w:pPr>
              <w:pStyle w:val="TableTextNoSpace"/>
              <w:jc w:val="left"/>
              <w:rPr>
                <w:rFonts w:asciiTheme="minorHAnsi" w:hAnsiTheme="minorHAnsi"/>
                <w:szCs w:val="20"/>
              </w:rPr>
            </w:pPr>
            <w:r w:rsidRPr="00370860">
              <w:rPr>
                <w:rFonts w:asciiTheme="minorHAnsi" w:hAnsiTheme="minorHAnsi"/>
                <w:szCs w:val="20"/>
              </w:rPr>
              <w:t xml:space="preserve">Nutrient offsetting </w:t>
            </w:r>
          </w:p>
        </w:tc>
        <w:tc>
          <w:tcPr>
            <w:tcW w:w="848" w:type="pct"/>
            <w:shd w:val="clear" w:color="auto" w:fill="auto"/>
          </w:tcPr>
          <w:p w14:paraId="3363BC0B" w14:textId="7432EBC9" w:rsidR="00366762" w:rsidRPr="00370860" w:rsidRDefault="00366762" w:rsidP="00370860">
            <w:pPr>
              <w:pStyle w:val="TableTextNoSpace"/>
              <w:jc w:val="left"/>
              <w:rPr>
                <w:rFonts w:asciiTheme="minorHAnsi" w:hAnsiTheme="minorHAnsi"/>
                <w:szCs w:val="20"/>
              </w:rPr>
            </w:pPr>
            <w:r w:rsidRPr="00370860">
              <w:rPr>
                <w:rFonts w:asciiTheme="minorHAnsi" w:hAnsiTheme="minorHAnsi"/>
                <w:b/>
                <w:szCs w:val="20"/>
                <w:highlight w:val="red"/>
              </w:rPr>
              <w:t>Low</w:t>
            </w:r>
            <w:r w:rsidRPr="00370860">
              <w:rPr>
                <w:rFonts w:asciiTheme="minorHAnsi" w:hAnsiTheme="minorHAnsi"/>
                <w:b/>
                <w:szCs w:val="20"/>
              </w:rPr>
              <w:t xml:space="preserve">: </w:t>
            </w:r>
            <w:r w:rsidRPr="00370860">
              <w:rPr>
                <w:rFonts w:asciiTheme="minorHAnsi" w:hAnsiTheme="minorHAnsi"/>
                <w:szCs w:val="20"/>
              </w:rPr>
              <w:t xml:space="preserve">Handful of pilot-scale initiatives </w:t>
            </w:r>
          </w:p>
        </w:tc>
        <w:tc>
          <w:tcPr>
            <w:tcW w:w="848" w:type="pct"/>
            <w:shd w:val="clear" w:color="auto" w:fill="auto"/>
          </w:tcPr>
          <w:p w14:paraId="1431D401" w14:textId="09318D45" w:rsidR="00366762" w:rsidRPr="00370860" w:rsidRDefault="00652EA8" w:rsidP="00370860">
            <w:pPr>
              <w:pStyle w:val="TableTextNoSpace"/>
              <w:jc w:val="left"/>
              <w:rPr>
                <w:rFonts w:asciiTheme="minorHAnsi" w:hAnsiTheme="minorHAnsi"/>
                <w:szCs w:val="20"/>
              </w:rPr>
            </w:pPr>
            <w:r w:rsidRPr="00370860">
              <w:rPr>
                <w:rFonts w:asciiTheme="minorHAnsi" w:hAnsiTheme="minorHAnsi"/>
                <w:b/>
                <w:szCs w:val="20"/>
                <w:highlight w:val="red"/>
              </w:rPr>
              <w:t>Low</w:t>
            </w:r>
            <w:r w:rsidR="00366762" w:rsidRPr="00370860">
              <w:rPr>
                <w:rFonts w:asciiTheme="minorHAnsi" w:hAnsiTheme="minorHAnsi"/>
                <w:b/>
                <w:szCs w:val="20"/>
              </w:rPr>
              <w:t xml:space="preserve">: </w:t>
            </w:r>
            <w:r w:rsidR="00366762" w:rsidRPr="00370860">
              <w:rPr>
                <w:rFonts w:asciiTheme="minorHAnsi" w:hAnsiTheme="minorHAnsi"/>
                <w:szCs w:val="20"/>
              </w:rPr>
              <w:t xml:space="preserve">Pembrokeshire pilot scheme equates to £150,000 of funding to support range of activities </w:t>
            </w:r>
          </w:p>
        </w:tc>
        <w:tc>
          <w:tcPr>
            <w:tcW w:w="848" w:type="pct"/>
            <w:shd w:val="clear" w:color="auto" w:fill="auto"/>
          </w:tcPr>
          <w:p w14:paraId="569EF451" w14:textId="04CE10C2" w:rsidR="00366762" w:rsidRPr="00370860" w:rsidRDefault="00366762" w:rsidP="00370860">
            <w:pPr>
              <w:pStyle w:val="TableTextNoSpace"/>
              <w:jc w:val="left"/>
              <w:rPr>
                <w:rFonts w:asciiTheme="minorHAnsi" w:hAnsiTheme="minorHAnsi"/>
                <w:szCs w:val="20"/>
              </w:rPr>
            </w:pPr>
            <w:r w:rsidRPr="00370860">
              <w:rPr>
                <w:rFonts w:asciiTheme="minorHAnsi" w:hAnsiTheme="minorHAnsi"/>
                <w:b/>
                <w:szCs w:val="20"/>
                <w:highlight w:val="yellow"/>
              </w:rPr>
              <w:t>Mod</w:t>
            </w:r>
            <w:r w:rsidRPr="00370860">
              <w:rPr>
                <w:rFonts w:asciiTheme="minorHAnsi" w:hAnsiTheme="minorHAnsi"/>
                <w:b/>
                <w:szCs w:val="20"/>
              </w:rPr>
              <w:t xml:space="preserve">: </w:t>
            </w:r>
            <w:r w:rsidRPr="00370860">
              <w:rPr>
                <w:rFonts w:asciiTheme="minorHAnsi" w:hAnsiTheme="minorHAnsi"/>
                <w:szCs w:val="20"/>
              </w:rPr>
              <w:t xml:space="preserve">7 actions can be funded, including habitat management schemes and provision of services (12, 13, 16) and investment (20, 22, 23) </w:t>
            </w:r>
          </w:p>
        </w:tc>
        <w:tc>
          <w:tcPr>
            <w:tcW w:w="848" w:type="pct"/>
            <w:shd w:val="clear" w:color="auto" w:fill="auto"/>
          </w:tcPr>
          <w:p w14:paraId="2B0FABFB" w14:textId="2E4D867F" w:rsidR="00366762" w:rsidRPr="00370860" w:rsidRDefault="00366762" w:rsidP="00652EA8">
            <w:pPr>
              <w:pStyle w:val="TableTextNoSpace"/>
              <w:jc w:val="left"/>
              <w:rPr>
                <w:rFonts w:asciiTheme="minorHAnsi" w:hAnsiTheme="minorHAnsi"/>
                <w:szCs w:val="20"/>
              </w:rPr>
            </w:pPr>
            <w:r w:rsidRPr="00370860">
              <w:rPr>
                <w:rFonts w:asciiTheme="minorHAnsi" w:hAnsiTheme="minorHAnsi"/>
                <w:b/>
                <w:szCs w:val="20"/>
                <w:highlight w:val="yellow"/>
              </w:rPr>
              <w:t>Mod</w:t>
            </w:r>
            <w:r w:rsidRPr="00370860">
              <w:rPr>
                <w:rFonts w:asciiTheme="minorHAnsi" w:hAnsiTheme="minorHAnsi"/>
                <w:b/>
                <w:szCs w:val="20"/>
              </w:rPr>
              <w:t xml:space="preserve">: </w:t>
            </w:r>
            <w:r w:rsidR="00652EA8">
              <w:rPr>
                <w:rFonts w:asciiTheme="minorHAnsi" w:hAnsiTheme="minorHAnsi"/>
                <w:szCs w:val="20"/>
              </w:rPr>
              <w:t>Focus on water bodies and adjacent habitats.</w:t>
            </w:r>
            <w:r w:rsidRPr="00370860">
              <w:rPr>
                <w:rFonts w:asciiTheme="minorHAnsi" w:hAnsiTheme="minorHAnsi"/>
                <w:szCs w:val="20"/>
              </w:rPr>
              <w:t xml:space="preserve"> Areas of opportunity are typically those with specific pollutant issues</w:t>
            </w:r>
          </w:p>
        </w:tc>
        <w:tc>
          <w:tcPr>
            <w:tcW w:w="849" w:type="pct"/>
            <w:shd w:val="clear" w:color="auto" w:fill="auto"/>
          </w:tcPr>
          <w:p w14:paraId="13458CE2" w14:textId="426DB03D" w:rsidR="00366762" w:rsidRPr="00370860" w:rsidRDefault="00652EA8" w:rsidP="00370860">
            <w:pPr>
              <w:pStyle w:val="TableTextNoSpace"/>
              <w:jc w:val="left"/>
              <w:rPr>
                <w:rFonts w:asciiTheme="minorHAnsi" w:hAnsiTheme="minorHAnsi"/>
                <w:szCs w:val="20"/>
              </w:rPr>
            </w:pPr>
            <w:r w:rsidRPr="00370860">
              <w:rPr>
                <w:rFonts w:asciiTheme="minorHAnsi" w:hAnsiTheme="minorHAnsi"/>
                <w:b/>
                <w:szCs w:val="20"/>
                <w:highlight w:val="red"/>
              </w:rPr>
              <w:t>Low</w:t>
            </w:r>
            <w:r w:rsidR="00366762" w:rsidRPr="00370860">
              <w:rPr>
                <w:rFonts w:asciiTheme="minorHAnsi" w:hAnsiTheme="minorHAnsi"/>
                <w:b/>
                <w:szCs w:val="20"/>
              </w:rPr>
              <w:t xml:space="preserve">: </w:t>
            </w:r>
            <w:r w:rsidR="00366762" w:rsidRPr="00370860">
              <w:rPr>
                <w:rFonts w:asciiTheme="minorHAnsi" w:hAnsiTheme="minorHAnsi"/>
                <w:szCs w:val="20"/>
              </w:rPr>
              <w:t>Further work needs to be done to demonstrate the general efficacy of offsetting measures</w:t>
            </w:r>
          </w:p>
        </w:tc>
      </w:tr>
      <w:tr w:rsidR="00366762" w14:paraId="1A0438FC" w14:textId="77777777" w:rsidTr="00370860">
        <w:tc>
          <w:tcPr>
            <w:tcW w:w="759" w:type="pct"/>
            <w:shd w:val="clear" w:color="auto" w:fill="auto"/>
          </w:tcPr>
          <w:p w14:paraId="157C1BC4" w14:textId="5A521BED" w:rsidR="00366762" w:rsidRPr="00370860" w:rsidRDefault="00366762" w:rsidP="00370860">
            <w:pPr>
              <w:pStyle w:val="TableTextNoSpace"/>
              <w:jc w:val="left"/>
              <w:rPr>
                <w:rFonts w:asciiTheme="minorHAnsi" w:hAnsiTheme="minorHAnsi"/>
                <w:szCs w:val="20"/>
              </w:rPr>
            </w:pPr>
            <w:r w:rsidRPr="00370860">
              <w:rPr>
                <w:rFonts w:asciiTheme="minorHAnsi" w:hAnsiTheme="minorHAnsi"/>
                <w:szCs w:val="20"/>
              </w:rPr>
              <w:t>PES</w:t>
            </w:r>
          </w:p>
        </w:tc>
        <w:tc>
          <w:tcPr>
            <w:tcW w:w="848" w:type="pct"/>
            <w:shd w:val="clear" w:color="auto" w:fill="auto"/>
          </w:tcPr>
          <w:p w14:paraId="5541F42F" w14:textId="784539EB" w:rsidR="00366762" w:rsidRPr="00370860" w:rsidRDefault="00366762" w:rsidP="008001BA">
            <w:pPr>
              <w:pStyle w:val="TableTextNoSpace"/>
              <w:jc w:val="left"/>
              <w:rPr>
                <w:rFonts w:asciiTheme="minorHAnsi" w:hAnsiTheme="minorHAnsi"/>
                <w:szCs w:val="20"/>
              </w:rPr>
            </w:pPr>
            <w:r w:rsidRPr="00370860">
              <w:rPr>
                <w:rFonts w:asciiTheme="minorHAnsi" w:hAnsiTheme="minorHAnsi"/>
                <w:b/>
                <w:szCs w:val="20"/>
                <w:highlight w:val="red"/>
              </w:rPr>
              <w:t>Low</w:t>
            </w:r>
            <w:r w:rsidRPr="00370860">
              <w:rPr>
                <w:rFonts w:asciiTheme="minorHAnsi" w:hAnsiTheme="minorHAnsi"/>
                <w:b/>
                <w:szCs w:val="20"/>
              </w:rPr>
              <w:t xml:space="preserve">: </w:t>
            </w:r>
            <w:r w:rsidRPr="00370860">
              <w:rPr>
                <w:rFonts w:asciiTheme="minorHAnsi" w:hAnsiTheme="minorHAnsi"/>
                <w:szCs w:val="20"/>
              </w:rPr>
              <w:t>PES are not currently used in Wales, other than through the publicly funded land management programmes</w:t>
            </w:r>
            <w:r w:rsidR="0080501F">
              <w:rPr>
                <w:rFonts w:asciiTheme="minorHAnsi" w:hAnsiTheme="minorHAnsi"/>
                <w:szCs w:val="20"/>
              </w:rPr>
              <w:t xml:space="preserve"> such as Glastir</w:t>
            </w:r>
          </w:p>
        </w:tc>
        <w:tc>
          <w:tcPr>
            <w:tcW w:w="848" w:type="pct"/>
            <w:shd w:val="clear" w:color="auto" w:fill="auto"/>
          </w:tcPr>
          <w:p w14:paraId="5E41A1F0" w14:textId="76EC7507" w:rsidR="00366762" w:rsidRPr="00370860" w:rsidRDefault="00652EA8" w:rsidP="00370860">
            <w:pPr>
              <w:pStyle w:val="TableTextNoSpace"/>
              <w:jc w:val="left"/>
              <w:rPr>
                <w:rFonts w:asciiTheme="minorHAnsi" w:hAnsiTheme="minorHAnsi"/>
                <w:szCs w:val="20"/>
              </w:rPr>
            </w:pPr>
            <w:r w:rsidRPr="00370860">
              <w:rPr>
                <w:rFonts w:asciiTheme="minorHAnsi" w:hAnsiTheme="minorHAnsi"/>
                <w:b/>
                <w:szCs w:val="20"/>
                <w:highlight w:val="red"/>
              </w:rPr>
              <w:t>Low</w:t>
            </w:r>
            <w:r w:rsidR="00366762" w:rsidRPr="00370860">
              <w:rPr>
                <w:rFonts w:asciiTheme="minorHAnsi" w:hAnsiTheme="minorHAnsi"/>
                <w:b/>
                <w:szCs w:val="20"/>
              </w:rPr>
              <w:t xml:space="preserve">: </w:t>
            </w:r>
            <w:r w:rsidR="00366762" w:rsidRPr="00370860">
              <w:rPr>
                <w:rFonts w:asciiTheme="minorHAnsi" w:hAnsiTheme="minorHAnsi"/>
                <w:szCs w:val="20"/>
              </w:rPr>
              <w:t>The scale of funds raised will be commensurate with individual contracts. In the short term these are likely to be relatively small</w:t>
            </w:r>
          </w:p>
        </w:tc>
        <w:tc>
          <w:tcPr>
            <w:tcW w:w="848" w:type="pct"/>
            <w:shd w:val="clear" w:color="auto" w:fill="auto"/>
          </w:tcPr>
          <w:p w14:paraId="16EE5F7D" w14:textId="12CBF591" w:rsidR="00366762" w:rsidRPr="00370860" w:rsidRDefault="00366762" w:rsidP="00370860">
            <w:pPr>
              <w:pStyle w:val="TableTextNoSpace"/>
              <w:jc w:val="left"/>
              <w:rPr>
                <w:rFonts w:asciiTheme="minorHAnsi" w:hAnsiTheme="minorHAnsi"/>
                <w:szCs w:val="20"/>
              </w:rPr>
            </w:pPr>
            <w:r w:rsidRPr="00370860">
              <w:rPr>
                <w:rFonts w:asciiTheme="minorHAnsi" w:hAnsiTheme="minorHAnsi"/>
                <w:b/>
                <w:szCs w:val="20"/>
                <w:highlight w:val="green"/>
              </w:rPr>
              <w:t>High</w:t>
            </w:r>
            <w:r w:rsidRPr="00370860">
              <w:rPr>
                <w:rFonts w:asciiTheme="minorHAnsi" w:hAnsiTheme="minorHAnsi"/>
                <w:b/>
                <w:szCs w:val="20"/>
              </w:rPr>
              <w:t xml:space="preserve">: </w:t>
            </w:r>
            <w:r w:rsidRPr="00370860">
              <w:rPr>
                <w:rFonts w:asciiTheme="minorHAnsi" w:hAnsiTheme="minorHAnsi"/>
                <w:szCs w:val="20"/>
              </w:rPr>
              <w:t>A wide range of management actions can potentially be funded, including the 3 ongoing management &amp; monitoring actions (12, 15, 18) where funding need is likely to be greatest</w:t>
            </w:r>
          </w:p>
        </w:tc>
        <w:tc>
          <w:tcPr>
            <w:tcW w:w="848" w:type="pct"/>
            <w:shd w:val="clear" w:color="auto" w:fill="auto"/>
          </w:tcPr>
          <w:p w14:paraId="51D1F615" w14:textId="374B560B" w:rsidR="00366762" w:rsidRPr="00370860" w:rsidRDefault="00366762" w:rsidP="00370860">
            <w:pPr>
              <w:pStyle w:val="TableTextNoSpace"/>
              <w:jc w:val="left"/>
              <w:rPr>
                <w:rFonts w:asciiTheme="minorHAnsi" w:hAnsiTheme="minorHAnsi"/>
                <w:szCs w:val="20"/>
              </w:rPr>
            </w:pPr>
            <w:r w:rsidRPr="00370860">
              <w:rPr>
                <w:rFonts w:asciiTheme="minorHAnsi" w:hAnsiTheme="minorHAnsi"/>
                <w:b/>
                <w:szCs w:val="20"/>
                <w:highlight w:val="yellow"/>
              </w:rPr>
              <w:t>Mod</w:t>
            </w:r>
            <w:r w:rsidRPr="00370860">
              <w:rPr>
                <w:rFonts w:asciiTheme="minorHAnsi" w:hAnsiTheme="minorHAnsi"/>
                <w:b/>
                <w:szCs w:val="20"/>
              </w:rPr>
              <w:t xml:space="preserve">: </w:t>
            </w:r>
            <w:r w:rsidRPr="00370860">
              <w:rPr>
                <w:rFonts w:asciiTheme="minorHAnsi" w:hAnsiTheme="minorHAnsi"/>
                <w:szCs w:val="20"/>
              </w:rPr>
              <w:t>There are a number of potential restrictions, most of which effect the ease of use and implementation. Key restrictions are the ability to use PES for multiple ecosystem service delivery and the scientific uncertainty of the effect of actions on service delivery</w:t>
            </w:r>
          </w:p>
        </w:tc>
        <w:tc>
          <w:tcPr>
            <w:tcW w:w="849" w:type="pct"/>
            <w:shd w:val="clear" w:color="auto" w:fill="auto"/>
          </w:tcPr>
          <w:p w14:paraId="7EDA5BE4" w14:textId="359885A2" w:rsidR="00366762" w:rsidRPr="00370860" w:rsidRDefault="00366762" w:rsidP="00370860">
            <w:pPr>
              <w:pStyle w:val="TableTextNoSpace"/>
              <w:jc w:val="left"/>
              <w:rPr>
                <w:rFonts w:asciiTheme="minorHAnsi" w:hAnsiTheme="minorHAnsi"/>
                <w:szCs w:val="20"/>
              </w:rPr>
            </w:pPr>
            <w:r w:rsidRPr="00370860">
              <w:rPr>
                <w:rFonts w:asciiTheme="minorHAnsi" w:hAnsiTheme="minorHAnsi"/>
                <w:b/>
                <w:szCs w:val="20"/>
                <w:highlight w:val="yellow"/>
              </w:rPr>
              <w:t>Mod</w:t>
            </w:r>
            <w:r w:rsidRPr="00370860">
              <w:rPr>
                <w:rFonts w:asciiTheme="minorHAnsi" w:hAnsiTheme="minorHAnsi"/>
                <w:b/>
                <w:szCs w:val="20"/>
              </w:rPr>
              <w:t xml:space="preserve">: </w:t>
            </w:r>
            <w:r w:rsidRPr="00652EA8">
              <w:rPr>
                <w:rFonts w:asciiTheme="minorHAnsi" w:hAnsiTheme="minorHAnsi"/>
                <w:szCs w:val="20"/>
              </w:rPr>
              <w:t>Private</w:t>
            </w:r>
            <w:r w:rsidRPr="00370860">
              <w:rPr>
                <w:rFonts w:asciiTheme="minorHAnsi" w:hAnsiTheme="minorHAnsi"/>
                <w:b/>
                <w:szCs w:val="20"/>
              </w:rPr>
              <w:t xml:space="preserve"> </w:t>
            </w:r>
            <w:r w:rsidRPr="00370860">
              <w:rPr>
                <w:rFonts w:asciiTheme="minorHAnsi" w:hAnsiTheme="minorHAnsi"/>
                <w:szCs w:val="20"/>
              </w:rPr>
              <w:t>PES is currently an untapped approach. However in the short term, scope for use is likely to be limited to individual pilot schemes. Potential is likely to increase over the medium term</w:t>
            </w:r>
          </w:p>
        </w:tc>
      </w:tr>
      <w:tr w:rsidR="00366762" w14:paraId="6FF9F2DB" w14:textId="77777777" w:rsidTr="00370860">
        <w:tc>
          <w:tcPr>
            <w:tcW w:w="759" w:type="pct"/>
            <w:shd w:val="clear" w:color="auto" w:fill="auto"/>
          </w:tcPr>
          <w:p w14:paraId="5DB74E1D" w14:textId="77777777" w:rsidR="00366762" w:rsidRPr="00370860" w:rsidRDefault="00366762" w:rsidP="00370860">
            <w:pPr>
              <w:pStyle w:val="TableTextNoSpace"/>
              <w:jc w:val="left"/>
              <w:rPr>
                <w:rFonts w:asciiTheme="minorHAnsi" w:hAnsiTheme="minorHAnsi"/>
                <w:szCs w:val="20"/>
              </w:rPr>
            </w:pPr>
            <w:r w:rsidRPr="00370860">
              <w:rPr>
                <w:rFonts w:asciiTheme="minorHAnsi" w:hAnsiTheme="minorHAnsi"/>
                <w:szCs w:val="20"/>
              </w:rPr>
              <w:t xml:space="preserve">Visitor payback </w:t>
            </w:r>
          </w:p>
        </w:tc>
        <w:tc>
          <w:tcPr>
            <w:tcW w:w="848" w:type="pct"/>
            <w:shd w:val="clear" w:color="auto" w:fill="auto"/>
          </w:tcPr>
          <w:p w14:paraId="5C3C8B98" w14:textId="4790DC31" w:rsidR="00366762" w:rsidRPr="00370860" w:rsidRDefault="00366762" w:rsidP="0080501F">
            <w:pPr>
              <w:pStyle w:val="TableTextNoSpace"/>
              <w:jc w:val="left"/>
              <w:rPr>
                <w:rFonts w:asciiTheme="minorHAnsi" w:hAnsiTheme="minorHAnsi"/>
                <w:szCs w:val="20"/>
              </w:rPr>
            </w:pPr>
            <w:r w:rsidRPr="00370860">
              <w:rPr>
                <w:rFonts w:asciiTheme="minorHAnsi" w:hAnsiTheme="minorHAnsi"/>
                <w:b/>
                <w:szCs w:val="20"/>
                <w:highlight w:val="red"/>
              </w:rPr>
              <w:t>Low</w:t>
            </w:r>
            <w:r w:rsidRPr="00370860">
              <w:rPr>
                <w:rFonts w:asciiTheme="minorHAnsi" w:hAnsiTheme="minorHAnsi"/>
                <w:b/>
                <w:szCs w:val="20"/>
              </w:rPr>
              <w:t xml:space="preserve">: </w:t>
            </w:r>
            <w:r w:rsidRPr="00370860">
              <w:rPr>
                <w:rFonts w:asciiTheme="minorHAnsi" w:hAnsiTheme="minorHAnsi"/>
                <w:szCs w:val="20"/>
              </w:rPr>
              <w:t>Applied in a range of settings but no specific examples of N</w:t>
            </w:r>
            <w:r w:rsidR="0080501F">
              <w:rPr>
                <w:rFonts w:asciiTheme="minorHAnsi" w:hAnsiTheme="minorHAnsi"/>
                <w:szCs w:val="20"/>
              </w:rPr>
              <w:t xml:space="preserve">2K </w:t>
            </w:r>
            <w:r w:rsidRPr="00370860">
              <w:rPr>
                <w:rFonts w:asciiTheme="minorHAnsi" w:hAnsiTheme="minorHAnsi"/>
                <w:szCs w:val="20"/>
              </w:rPr>
              <w:t xml:space="preserve"> application</w:t>
            </w:r>
          </w:p>
        </w:tc>
        <w:tc>
          <w:tcPr>
            <w:tcW w:w="848" w:type="pct"/>
            <w:shd w:val="clear" w:color="auto" w:fill="auto"/>
          </w:tcPr>
          <w:p w14:paraId="19C436FD" w14:textId="223F404B" w:rsidR="00366762" w:rsidRPr="00370860" w:rsidRDefault="00366762" w:rsidP="00370860">
            <w:pPr>
              <w:pStyle w:val="TableTextNoSpace"/>
              <w:jc w:val="left"/>
              <w:rPr>
                <w:rFonts w:asciiTheme="minorHAnsi" w:hAnsiTheme="minorHAnsi"/>
                <w:szCs w:val="20"/>
              </w:rPr>
            </w:pPr>
            <w:r w:rsidRPr="00370860">
              <w:rPr>
                <w:rFonts w:asciiTheme="minorHAnsi" w:hAnsiTheme="minorHAnsi"/>
                <w:b/>
                <w:szCs w:val="20"/>
                <w:highlight w:val="red"/>
              </w:rPr>
              <w:t>Low</w:t>
            </w:r>
            <w:r w:rsidRPr="00370860">
              <w:rPr>
                <w:rFonts w:asciiTheme="minorHAnsi" w:hAnsiTheme="minorHAnsi"/>
                <w:b/>
                <w:szCs w:val="20"/>
              </w:rPr>
              <w:t xml:space="preserve">: </w:t>
            </w:r>
            <w:r w:rsidRPr="00370860">
              <w:rPr>
                <w:rFonts w:asciiTheme="minorHAnsi" w:hAnsiTheme="minorHAnsi"/>
                <w:szCs w:val="20"/>
              </w:rPr>
              <w:t>Funds are discretionary and thus usually small-scale</w:t>
            </w:r>
          </w:p>
        </w:tc>
        <w:tc>
          <w:tcPr>
            <w:tcW w:w="848" w:type="pct"/>
            <w:shd w:val="clear" w:color="auto" w:fill="auto"/>
          </w:tcPr>
          <w:p w14:paraId="177E498D" w14:textId="3EAEC60E" w:rsidR="00366762" w:rsidRPr="00370860" w:rsidRDefault="00366762" w:rsidP="00370860">
            <w:pPr>
              <w:pStyle w:val="TableTextNoSpace"/>
              <w:jc w:val="left"/>
              <w:rPr>
                <w:rFonts w:asciiTheme="minorHAnsi" w:hAnsiTheme="minorHAnsi"/>
                <w:szCs w:val="20"/>
              </w:rPr>
            </w:pPr>
            <w:r w:rsidRPr="00370860">
              <w:rPr>
                <w:rFonts w:asciiTheme="minorHAnsi" w:hAnsiTheme="minorHAnsi"/>
                <w:b/>
                <w:szCs w:val="20"/>
                <w:shd w:val="clear" w:color="auto" w:fill="00B050"/>
              </w:rPr>
              <w:t>High</w:t>
            </w:r>
            <w:r w:rsidRPr="00370860">
              <w:rPr>
                <w:rFonts w:asciiTheme="minorHAnsi" w:hAnsiTheme="minorHAnsi"/>
                <w:b/>
                <w:szCs w:val="20"/>
              </w:rPr>
              <w:t xml:space="preserve">: </w:t>
            </w:r>
            <w:r w:rsidRPr="00370860">
              <w:rPr>
                <w:rFonts w:asciiTheme="minorHAnsi" w:hAnsiTheme="minorHAnsi"/>
                <w:szCs w:val="20"/>
              </w:rPr>
              <w:t>A wide range of actions relating to management planning and ongoing management (10, 12, 13, 16) education and investment (21, 22, 24, 25). May require linkages with visitor experiences / interests</w:t>
            </w:r>
          </w:p>
        </w:tc>
        <w:tc>
          <w:tcPr>
            <w:tcW w:w="848" w:type="pct"/>
          </w:tcPr>
          <w:p w14:paraId="62D85E31" w14:textId="6030B4B1" w:rsidR="00366762" w:rsidRPr="00370860" w:rsidRDefault="00366762" w:rsidP="00370860">
            <w:pPr>
              <w:pStyle w:val="TableTextNoSpace"/>
              <w:jc w:val="left"/>
              <w:rPr>
                <w:rFonts w:asciiTheme="minorHAnsi" w:hAnsiTheme="minorHAnsi"/>
                <w:szCs w:val="20"/>
              </w:rPr>
            </w:pPr>
            <w:r w:rsidRPr="00370860">
              <w:rPr>
                <w:rFonts w:asciiTheme="minorHAnsi" w:hAnsiTheme="minorHAnsi"/>
                <w:b/>
                <w:szCs w:val="20"/>
                <w:highlight w:val="yellow"/>
              </w:rPr>
              <w:t>Mod</w:t>
            </w:r>
            <w:r w:rsidRPr="00370860">
              <w:rPr>
                <w:rFonts w:asciiTheme="minorHAnsi" w:hAnsiTheme="minorHAnsi"/>
                <w:b/>
                <w:szCs w:val="20"/>
              </w:rPr>
              <w:t xml:space="preserve">: </w:t>
            </w:r>
            <w:r w:rsidRPr="00370860">
              <w:rPr>
                <w:rFonts w:asciiTheme="minorHAnsi" w:hAnsiTheme="minorHAnsi"/>
                <w:szCs w:val="20"/>
              </w:rPr>
              <w:t xml:space="preserve">Potential application to a range of </w:t>
            </w:r>
            <w:r w:rsidR="0080501F">
              <w:rPr>
                <w:rFonts w:asciiTheme="minorHAnsi" w:hAnsiTheme="minorHAnsi"/>
                <w:szCs w:val="20"/>
              </w:rPr>
              <w:t xml:space="preserve">ecosystems </w:t>
            </w:r>
            <w:r w:rsidRPr="00370860">
              <w:rPr>
                <w:rFonts w:asciiTheme="minorHAnsi" w:hAnsiTheme="minorHAnsi"/>
                <w:szCs w:val="20"/>
              </w:rPr>
              <w:t xml:space="preserve">, although usually dependent on visitor access </w:t>
            </w:r>
          </w:p>
        </w:tc>
        <w:tc>
          <w:tcPr>
            <w:tcW w:w="849" w:type="pct"/>
          </w:tcPr>
          <w:p w14:paraId="21A271F1" w14:textId="38868D1A" w:rsidR="00366762" w:rsidRPr="00370860" w:rsidRDefault="00366762" w:rsidP="00370860">
            <w:pPr>
              <w:pStyle w:val="TableTextNoSpace"/>
              <w:jc w:val="left"/>
              <w:rPr>
                <w:rFonts w:asciiTheme="minorHAnsi" w:hAnsiTheme="minorHAnsi"/>
                <w:szCs w:val="20"/>
              </w:rPr>
            </w:pPr>
            <w:r w:rsidRPr="00370860">
              <w:rPr>
                <w:rFonts w:asciiTheme="minorHAnsi" w:hAnsiTheme="minorHAnsi"/>
                <w:b/>
                <w:szCs w:val="20"/>
                <w:highlight w:val="yellow"/>
              </w:rPr>
              <w:t>Mod</w:t>
            </w:r>
            <w:r w:rsidRPr="00370860">
              <w:rPr>
                <w:rFonts w:asciiTheme="minorHAnsi" w:hAnsiTheme="minorHAnsi"/>
                <w:b/>
                <w:szCs w:val="20"/>
              </w:rPr>
              <w:t xml:space="preserve">: </w:t>
            </w:r>
            <w:r w:rsidRPr="00370860">
              <w:rPr>
                <w:rFonts w:asciiTheme="minorHAnsi" w:hAnsiTheme="minorHAnsi"/>
                <w:szCs w:val="20"/>
              </w:rPr>
              <w:t xml:space="preserve">Good potential for development of webapp schemes around an ecosystem services approach </w:t>
            </w:r>
          </w:p>
        </w:tc>
      </w:tr>
    </w:tbl>
    <w:p w14:paraId="0144F997" w14:textId="77777777" w:rsidR="00643A19" w:rsidRDefault="00643A19" w:rsidP="00643A19">
      <w:pPr>
        <w:sectPr w:rsidR="00643A19" w:rsidSect="00EA15A4">
          <w:headerReference w:type="even" r:id="rId52"/>
          <w:headerReference w:type="default" r:id="rId53"/>
          <w:footerReference w:type="even" r:id="rId54"/>
          <w:footerReference w:type="default" r:id="rId55"/>
          <w:pgSz w:w="16840" w:h="11907" w:orient="landscape" w:code="9"/>
          <w:pgMar w:top="1871" w:right="1417" w:bottom="1020" w:left="1417" w:header="680" w:footer="454" w:gutter="0"/>
          <w:cols w:space="708"/>
          <w:docGrid w:linePitch="360"/>
        </w:sectPr>
      </w:pPr>
    </w:p>
    <w:p w14:paraId="7EB4EC9F" w14:textId="7F31D6FC" w:rsidR="00E56AFB" w:rsidRDefault="00265C20" w:rsidP="00C471B4">
      <w:pPr>
        <w:pStyle w:val="Heading2"/>
      </w:pPr>
      <w:bookmarkStart w:id="232" w:name="_Toc408077778"/>
      <w:bookmarkStart w:id="233" w:name="_Toc408093997"/>
      <w:bookmarkStart w:id="234" w:name="_Toc408850994"/>
      <w:bookmarkStart w:id="235" w:name="_Toc421880670"/>
      <w:bookmarkEnd w:id="232"/>
      <w:r>
        <w:t>NRW funds</w:t>
      </w:r>
      <w:bookmarkEnd w:id="233"/>
      <w:r w:rsidR="00D307DB">
        <w:t>:</w:t>
      </w:r>
      <w:r w:rsidR="00D307DB" w:rsidRPr="00D307DB">
        <w:t xml:space="preserve"> </w:t>
      </w:r>
      <w:r w:rsidR="00D307DB">
        <w:t>opportunities, limitations and actions</w:t>
      </w:r>
      <w:bookmarkEnd w:id="234"/>
      <w:bookmarkEnd w:id="235"/>
    </w:p>
    <w:p w14:paraId="794B6EC0" w14:textId="6C70362B" w:rsidR="00E56AFB" w:rsidRPr="003B2D23" w:rsidRDefault="00E56AFB" w:rsidP="00366762">
      <w:pPr>
        <w:pStyle w:val="BodyText"/>
        <w:rPr>
          <w:highlight w:val="yellow"/>
        </w:rPr>
      </w:pPr>
      <w:r w:rsidRPr="00E452A2">
        <w:t xml:space="preserve">NRW </w:t>
      </w:r>
      <w:r w:rsidR="004B1B14">
        <w:t xml:space="preserve">provides </w:t>
      </w:r>
      <w:r w:rsidRPr="00E452A2">
        <w:t xml:space="preserve">core funding </w:t>
      </w:r>
      <w:r w:rsidR="004B1B14">
        <w:t xml:space="preserve">for Natura 2000 through its </w:t>
      </w:r>
      <w:r w:rsidRPr="00E452A2">
        <w:t xml:space="preserve">operational and programme level budgets. </w:t>
      </w:r>
      <w:r w:rsidR="00366762">
        <w:t xml:space="preserve">NRW has a total annual operating budget and capital budget of £175m for the 2014/2015 financial year. </w:t>
      </w:r>
      <w:r w:rsidR="00A7700C">
        <w:t>This includes:</w:t>
      </w:r>
    </w:p>
    <w:p w14:paraId="7E4C5CDC" w14:textId="62F75671" w:rsidR="00EE101D" w:rsidRPr="00FC1E29" w:rsidRDefault="00EE101D" w:rsidP="00A7700C">
      <w:pPr>
        <w:pStyle w:val="BTBullet1Last"/>
      </w:pPr>
      <w:r>
        <w:rPr>
          <w:b/>
        </w:rPr>
        <w:t>Direct funds,</w:t>
      </w:r>
      <w:r w:rsidRPr="006C66B0">
        <w:t xml:space="preserve"> which cover the cost of National Nature Reserves and Forest Estate management </w:t>
      </w:r>
      <w:r>
        <w:t>(which include Natura 2000 sites)</w:t>
      </w:r>
      <w:r w:rsidR="00A7700C">
        <w:t>.</w:t>
      </w:r>
      <w:r w:rsidR="00A7700C" w:rsidRPr="00A7700C">
        <w:t>This includes approximately £2.2m for</w:t>
      </w:r>
      <w:r w:rsidR="00A7700C">
        <w:t xml:space="preserve"> land use management agreements </w:t>
      </w:r>
    </w:p>
    <w:p w14:paraId="52936552" w14:textId="6638A462" w:rsidR="00EE101D" w:rsidRDefault="00EE101D" w:rsidP="00EE101D">
      <w:pPr>
        <w:pStyle w:val="BTBullet1Last"/>
        <w:numPr>
          <w:ilvl w:val="0"/>
          <w:numId w:val="37"/>
        </w:numPr>
      </w:pPr>
      <w:r>
        <w:rPr>
          <w:b/>
        </w:rPr>
        <w:t>Specialist programmes</w:t>
      </w:r>
      <w:r w:rsidRPr="006C66B0">
        <w:t xml:space="preserve">, </w:t>
      </w:r>
      <w:r>
        <w:t xml:space="preserve">including the Invasive Non Native Species Programme (including the INNSP Small Business Research Initiative) and the Sustainable Fisheries Programme) </w:t>
      </w:r>
    </w:p>
    <w:p w14:paraId="7BA2EF4D" w14:textId="3338C342" w:rsidR="00EE101D" w:rsidRDefault="00EE101D" w:rsidP="00EE101D">
      <w:pPr>
        <w:pStyle w:val="BTBullet1Last"/>
        <w:numPr>
          <w:ilvl w:val="0"/>
          <w:numId w:val="37"/>
        </w:numPr>
      </w:pPr>
      <w:r>
        <w:rPr>
          <w:b/>
        </w:rPr>
        <w:t>Additional expenditures</w:t>
      </w:r>
      <w:r w:rsidRPr="006C66B0">
        <w:t>, including funding related to Water Framework Directive implementation and flood control risk management</w:t>
      </w:r>
    </w:p>
    <w:p w14:paraId="17756472" w14:textId="009906D7" w:rsidR="0078037A" w:rsidRDefault="0078037A" w:rsidP="00EE101D">
      <w:pPr>
        <w:pStyle w:val="BTBullet1Last"/>
        <w:numPr>
          <w:ilvl w:val="0"/>
          <w:numId w:val="37"/>
        </w:numPr>
      </w:pPr>
      <w:r>
        <w:rPr>
          <w:b/>
        </w:rPr>
        <w:t>Staffing expenditures</w:t>
      </w:r>
      <w:r w:rsidRPr="006C66B0">
        <w:t xml:space="preserve">, including a number of staff with specific responsibility for Natura 2000/SSSI management. </w:t>
      </w:r>
    </w:p>
    <w:p w14:paraId="60D9DD01" w14:textId="01083436" w:rsidR="00696984" w:rsidRDefault="0078037A" w:rsidP="00EE101D">
      <w:pPr>
        <w:pStyle w:val="BodyText"/>
      </w:pPr>
      <w:r>
        <w:t>Whilst all of these could be used to support Natura 2000 management, none of these funds can be used exclusively for Natura 2000 objectives and there is no specific focus on the network.</w:t>
      </w:r>
      <w:r w:rsidR="00A7700C">
        <w:t xml:space="preserve"> </w:t>
      </w:r>
      <w:r w:rsidR="00A7700C" w:rsidRPr="00A7700C">
        <w:t>A number of other management elements of the budget are unallocated or discretionary funding</w:t>
      </w:r>
      <w:r w:rsidR="00A7700C">
        <w:t xml:space="preserve">, such as that </w:t>
      </w:r>
      <w:r w:rsidR="00A7700C" w:rsidRPr="00A7700C">
        <w:t>i</w:t>
      </w:r>
      <w:r w:rsidR="00A7700C">
        <w:t>nformed by the Actions Database.</w:t>
      </w:r>
    </w:p>
    <w:p w14:paraId="0C6B992C" w14:textId="32FD85B7" w:rsidR="00E56AFB" w:rsidRDefault="00E56AFB" w:rsidP="00C471B4">
      <w:pPr>
        <w:pStyle w:val="Heading3"/>
      </w:pPr>
      <w:r>
        <w:t>Opportunities</w:t>
      </w:r>
    </w:p>
    <w:p w14:paraId="0D0A4B75" w14:textId="13C43CD0" w:rsidR="00E56AFB" w:rsidRDefault="00E56AFB" w:rsidP="00E56AFB">
      <w:pPr>
        <w:pStyle w:val="BodyText"/>
      </w:pPr>
      <w:r>
        <w:t>NRW</w:t>
      </w:r>
      <w:r w:rsidRPr="00581C4B">
        <w:t xml:space="preserve"> has a significant focus on biodiversity conservation and a responsibility to deliver the Natura 2000 statutory obligations for Wales on behalf of the Welsh government</w:t>
      </w:r>
      <w:r>
        <w:t xml:space="preserve">. </w:t>
      </w:r>
      <w:r w:rsidRPr="00581C4B">
        <w:t>Funding can be used flexibly for a variety of conservation actions, importantly including those actions often difficult t</w:t>
      </w:r>
      <w:r>
        <w:t>o fund through other means</w:t>
      </w:r>
      <w:r w:rsidR="004B1B14">
        <w:t xml:space="preserve">, such as employment of </w:t>
      </w:r>
      <w:r w:rsidRPr="00581C4B">
        <w:t>staff</w:t>
      </w:r>
      <w:r w:rsidR="004B1B14">
        <w:t xml:space="preserve"> responsible for overseeing the management of the network</w:t>
      </w:r>
      <w:r>
        <w:t>.</w:t>
      </w:r>
    </w:p>
    <w:p w14:paraId="1E7068F7" w14:textId="3E0EE31D" w:rsidR="00265C20" w:rsidRDefault="00E56AFB" w:rsidP="00C471B4">
      <w:pPr>
        <w:pStyle w:val="Heading3"/>
      </w:pPr>
      <w:r>
        <w:t>Limitations</w:t>
      </w:r>
    </w:p>
    <w:p w14:paraId="4F8386BA" w14:textId="5199C164" w:rsidR="003F5E2A" w:rsidRDefault="003F5E2A" w:rsidP="003F5E2A">
      <w:pPr>
        <w:pStyle w:val="BodyText"/>
      </w:pPr>
      <w:r>
        <w:t xml:space="preserve">NRW funding is the </w:t>
      </w:r>
      <w:r w:rsidR="004B1B14">
        <w:t xml:space="preserve">main </w:t>
      </w:r>
      <w:r>
        <w:t xml:space="preserve">source of </w:t>
      </w:r>
      <w:r w:rsidR="004B1B14">
        <w:t xml:space="preserve">dedicated </w:t>
      </w:r>
      <w:r>
        <w:t>funding support to the Natura 2000 network in Wales, reflecting NRW’s statutory responsibility for the network. Although large in absolute terms (NRW had an operating budget of £175m in 2014/2015) this budget is expected to face cuts in future years and this will place increasing pressure on less routine aspects of Natura 2000 management. A key issue is that the allocation of funds to specific management actions is largely discretionary.</w:t>
      </w:r>
      <w:r w:rsidR="000032D9">
        <w:t xml:space="preserve"> </w:t>
      </w:r>
      <w:r w:rsidR="0078037A">
        <w:t xml:space="preserve">None of these funds are used </w:t>
      </w:r>
      <w:r w:rsidR="006C66B0">
        <w:t>solely</w:t>
      </w:r>
      <w:r w:rsidR="0078037A">
        <w:t xml:space="preserve"> for Natura 2000 management, and f</w:t>
      </w:r>
      <w:r w:rsidR="000032D9" w:rsidRPr="000032D9">
        <w:t>unds are generally not ring fenced for specific purposes and this can lead to trade-offs, particularly for more costly management options</w:t>
      </w:r>
    </w:p>
    <w:p w14:paraId="5DFD83E5" w14:textId="3648891B" w:rsidR="000032D9" w:rsidRDefault="00E56AFB" w:rsidP="000005F4">
      <w:pPr>
        <w:pStyle w:val="BodyText"/>
      </w:pPr>
      <w:r>
        <w:t>Where there are allocated budgets, these are generally not sufficient to cover the desired level of expenditure. For example, there is an annual budget set aside for NRW management agreements. These typically run for 5 years, and are subject to annual renewal. As such a proportion of each year’s annual budget is taken by ongoing agreements. This is estimated to be in the order of 75%. Therefore the headroom for new agreements is around 25%, or £0.5million</w:t>
      </w:r>
      <w:r w:rsidR="000032D9">
        <w:t>.</w:t>
      </w:r>
    </w:p>
    <w:p w14:paraId="0D513D83" w14:textId="29E428DD" w:rsidR="000032D9" w:rsidRDefault="000032D9" w:rsidP="006F38F9">
      <w:pPr>
        <w:pStyle w:val="BodyText"/>
      </w:pPr>
      <w:r>
        <w:t>Other issues relate to the timing and availability of funds, which are allocated on an annual basis, which is often out of sync with the conservation needs and the needs/timeframes of potential funding partners.</w:t>
      </w:r>
    </w:p>
    <w:p w14:paraId="015A340F" w14:textId="11153E8E" w:rsidR="00E56AFB" w:rsidRDefault="00E56AFB" w:rsidP="00C471B4">
      <w:pPr>
        <w:pStyle w:val="Heading3"/>
      </w:pPr>
      <w:r>
        <w:t>Enhancing uptake</w:t>
      </w:r>
    </w:p>
    <w:p w14:paraId="4501A3D9" w14:textId="0200DF12" w:rsidR="00E56AFB" w:rsidRDefault="00E56AFB" w:rsidP="00C471B4">
      <w:pPr>
        <w:pStyle w:val="BodyText"/>
      </w:pPr>
      <w:r>
        <w:t>A structured funding prioritisation framework (linked to the PAF) could help maximise the impact of NRW funds</w:t>
      </w:r>
      <w:r w:rsidR="0078037A">
        <w:t xml:space="preserve"> for Natura 2000 sites</w:t>
      </w:r>
      <w:r>
        <w:t>, channelling them to those where opportunity to capture funding from other sources is more limited (e.g. staff costs) or to where activity would be most beneficial.</w:t>
      </w:r>
    </w:p>
    <w:p w14:paraId="1A7B4DCB" w14:textId="557E999B" w:rsidR="00C471B4" w:rsidRDefault="003F5E2A" w:rsidP="003F5E2A">
      <w:pPr>
        <w:pStyle w:val="BodyText"/>
      </w:pPr>
      <w:r>
        <w:t>Investigation</w:t>
      </w:r>
      <w:r w:rsidR="00B12D7A">
        <w:t xml:space="preserve"> (an official process for gathering more information to clarify the scale and detail of a management issue</w:t>
      </w:r>
      <w:r w:rsidR="000005F4">
        <w:t xml:space="preserve"> and associated management action</w:t>
      </w:r>
      <w:r w:rsidR="00B12D7A">
        <w:t>)</w:t>
      </w:r>
      <w:r w:rsidR="00C471B4">
        <w:t xml:space="preserve"> is noted as often being underutilised due to resource constraints. </w:t>
      </w:r>
      <w:r w:rsidR="00E56AFB">
        <w:t xml:space="preserve">In many cases, a lack of underlying evidence on </w:t>
      </w:r>
      <w:r w:rsidR="0078037A">
        <w:t xml:space="preserve">feature ecology or </w:t>
      </w:r>
      <w:r w:rsidR="00E56AFB">
        <w:t>wider environmental trends</w:t>
      </w:r>
      <w:r w:rsidR="0078037A">
        <w:t xml:space="preserve"> hampers progress. E</w:t>
      </w:r>
      <w:r w:rsidR="00E56AFB">
        <w:t>ngagement with other partners</w:t>
      </w:r>
      <w:r w:rsidR="0078037A">
        <w:t xml:space="preserve"> such as NGOs and research institutions</w:t>
      </w:r>
      <w:r w:rsidR="00E56AFB">
        <w:t xml:space="preserve"> (i.e. through ecosystem/landscape level </w:t>
      </w:r>
      <w:r w:rsidR="0078037A">
        <w:t xml:space="preserve">projects and </w:t>
      </w:r>
      <w:r w:rsidR="00E56AFB">
        <w:t>initiatives) could help strengthen the evidence base for investigation</w:t>
      </w:r>
      <w:r w:rsidR="0078037A">
        <w:t>s</w:t>
      </w:r>
      <w:r w:rsidR="00E56AFB">
        <w:t>- thus lowering costs and resource requirements</w:t>
      </w:r>
      <w:r w:rsidR="00C471B4">
        <w:t>.</w:t>
      </w:r>
      <w:r>
        <w:t xml:space="preserve"> </w:t>
      </w:r>
    </w:p>
    <w:p w14:paraId="03D463D1" w14:textId="1443DD28" w:rsidR="003F5E2A" w:rsidRDefault="003F5E2A" w:rsidP="00642BD5">
      <w:pPr>
        <w:pStyle w:val="BodyText"/>
      </w:pPr>
      <w:r>
        <w:t xml:space="preserve">Management Agreements, meanwhile, generally achieve effective environmental outcomes but could be supplemented </w:t>
      </w:r>
      <w:r w:rsidR="00E56AFB">
        <w:t xml:space="preserve">with </w:t>
      </w:r>
      <w:r>
        <w:t>other funding source</w:t>
      </w:r>
      <w:r w:rsidR="00B12D7A">
        <w:t>s</w:t>
      </w:r>
      <w:r w:rsidR="0078037A">
        <w:t xml:space="preserve">. </w:t>
      </w:r>
      <w:r w:rsidR="00B12D7A">
        <w:t>More targeted</w:t>
      </w:r>
      <w:r w:rsidR="00C471B4">
        <w:t xml:space="preserve"> use of Glastir or </w:t>
      </w:r>
      <w:r w:rsidR="00B12D7A">
        <w:t xml:space="preserve">use of </w:t>
      </w:r>
      <w:r w:rsidR="00C471B4">
        <w:t xml:space="preserve">flexible funding sources </w:t>
      </w:r>
      <w:r w:rsidR="00B12D7A">
        <w:t>could help address the limited budget for NRW Management Agreements.</w:t>
      </w:r>
      <w:r>
        <w:t xml:space="preserve"> </w:t>
      </w:r>
      <w:r w:rsidR="00642BD5" w:rsidRPr="00642BD5">
        <w:t xml:space="preserve">An overhaul to streamline the </w:t>
      </w:r>
      <w:r w:rsidR="0078037A">
        <w:t xml:space="preserve">Management Agreements </w:t>
      </w:r>
      <w:r w:rsidR="00642BD5" w:rsidRPr="00642BD5">
        <w:t xml:space="preserve">administrative system may deliver efficiency savings. Linked with this, streamlining of the application processes </w:t>
      </w:r>
      <w:r w:rsidR="0078037A">
        <w:t>c</w:t>
      </w:r>
      <w:r w:rsidR="00642BD5" w:rsidRPr="00642BD5">
        <w:t>ould generate efficiency savings for applicants, reducing transaction costs.</w:t>
      </w:r>
    </w:p>
    <w:p w14:paraId="782E8C5D" w14:textId="4F1FF2E9" w:rsidR="00642BD5" w:rsidRDefault="006F38F9" w:rsidP="006F38F9">
      <w:pPr>
        <w:pStyle w:val="BodyText"/>
      </w:pPr>
      <w:r>
        <w:t>A</w:t>
      </w:r>
      <w:r w:rsidR="00642BD5">
        <w:t>n increase in the scale of funding available for a given action would help to enhance the attractiveness of agreements for large farms, whilst enhancing the frequency and data outputs of monitoring processes.</w:t>
      </w:r>
    </w:p>
    <w:p w14:paraId="7AACADF6" w14:textId="4C84FBEA" w:rsidR="003F5E2A" w:rsidRDefault="003F5E2A" w:rsidP="006F38F9">
      <w:pPr>
        <w:pStyle w:val="Heading2"/>
      </w:pPr>
      <w:bookmarkStart w:id="236" w:name="_Toc408566123"/>
      <w:bookmarkStart w:id="237" w:name="_Toc408569231"/>
      <w:bookmarkStart w:id="238" w:name="_Toc408570985"/>
      <w:bookmarkStart w:id="239" w:name="_Toc408571065"/>
      <w:bookmarkStart w:id="240" w:name="_Toc408571177"/>
      <w:bookmarkStart w:id="241" w:name="_Toc408571468"/>
      <w:bookmarkStart w:id="242" w:name="_Toc408571540"/>
      <w:bookmarkStart w:id="243" w:name="_Toc408576613"/>
      <w:bookmarkStart w:id="244" w:name="_Toc408093998"/>
      <w:bookmarkStart w:id="245" w:name="_Toc408850995"/>
      <w:bookmarkStart w:id="246" w:name="_Toc405964055"/>
      <w:bookmarkStart w:id="247" w:name="_Toc407618001"/>
      <w:bookmarkStart w:id="248" w:name="_Toc421880671"/>
      <w:bookmarkEnd w:id="236"/>
      <w:bookmarkEnd w:id="237"/>
      <w:bookmarkEnd w:id="238"/>
      <w:bookmarkEnd w:id="239"/>
      <w:bookmarkEnd w:id="240"/>
      <w:bookmarkEnd w:id="241"/>
      <w:bookmarkEnd w:id="242"/>
      <w:bookmarkEnd w:id="243"/>
      <w:r>
        <w:t>EU Funds</w:t>
      </w:r>
      <w:bookmarkEnd w:id="244"/>
      <w:r w:rsidR="00CA1444">
        <w:t>: opportunities, limitations and actions</w:t>
      </w:r>
      <w:bookmarkEnd w:id="245"/>
      <w:bookmarkEnd w:id="248"/>
    </w:p>
    <w:p w14:paraId="53616301" w14:textId="77777777" w:rsidR="003F5E2A" w:rsidRDefault="003F5E2A" w:rsidP="003F5E2A">
      <w:pPr>
        <w:pStyle w:val="BodyText"/>
      </w:pPr>
      <w:r>
        <w:t xml:space="preserve">Wales benefits from substantial investment from a range of EU funding sources. In 2007-2013, these amounted to £1.9bn of grants and match-funding, spurring a total investment of £3.7bn and substantial private sector activity and job creation. </w:t>
      </w:r>
    </w:p>
    <w:p w14:paraId="1935A23A" w14:textId="340C6158" w:rsidR="003F5E2A" w:rsidRDefault="003F5E2A" w:rsidP="003F5E2A">
      <w:pPr>
        <w:pStyle w:val="BodyText"/>
      </w:pPr>
      <w:r>
        <w:t>Evaluation of EU Structural Funds in the 2007-2013 period indicates that investments in environmental projects or research and innovation activities linked to the green economy generated better returns on investment than direct investments in skills and training programmes. In spite of this, use of EU funds in areas linked to Natura 2000 management and conservation activities in general is scarce in Wales</w:t>
      </w:r>
      <w:r w:rsidR="00337949">
        <w:t>, in part because of the substantial technical and resource requirements necessary to prepare and manage projects supported by these funds.</w:t>
      </w:r>
      <w:r>
        <w:t xml:space="preserve"> </w:t>
      </w:r>
    </w:p>
    <w:p w14:paraId="61F96112" w14:textId="77777777" w:rsidR="003F5E2A" w:rsidRDefault="003F5E2A" w:rsidP="003F5E2A">
      <w:pPr>
        <w:pStyle w:val="Heading3"/>
      </w:pPr>
      <w:r>
        <w:t xml:space="preserve">Types of funding available and opportunities for Natura 2000 </w:t>
      </w:r>
    </w:p>
    <w:p w14:paraId="6AF2F4FB" w14:textId="23D2690E" w:rsidR="003F5E2A" w:rsidRDefault="003F5E2A" w:rsidP="003F5E2A">
      <w:pPr>
        <w:pStyle w:val="BTBullet1Last"/>
      </w:pPr>
      <w:r>
        <w:t xml:space="preserve">The </w:t>
      </w:r>
      <w:r w:rsidRPr="00285C8F">
        <w:rPr>
          <w:b/>
        </w:rPr>
        <w:t>European Fund for Agriculture and Rural Development</w:t>
      </w:r>
      <w:r>
        <w:t xml:space="preserve"> </w:t>
      </w:r>
      <w:r w:rsidR="0078037A">
        <w:t xml:space="preserve">(EAFRD) </w:t>
      </w:r>
      <w:r>
        <w:t>provides support to the implementation of the Rural Development Plan – most of this is channelled into Glastir agri-environmental agreements</w:t>
      </w:r>
      <w:r w:rsidR="003A06EE">
        <w:t xml:space="preserve"> (with some additional support to woodland management)</w:t>
      </w:r>
      <w:r>
        <w:t xml:space="preserve"> but it also supports a range of collaborative projects aimed at spurring growth of the rural economy;</w:t>
      </w:r>
    </w:p>
    <w:p w14:paraId="16C34021" w14:textId="43B7D3AB" w:rsidR="002153F2" w:rsidRDefault="002153F2" w:rsidP="002153F2">
      <w:pPr>
        <w:pStyle w:val="BTBullet1Last"/>
      </w:pPr>
      <w:r>
        <w:t xml:space="preserve">The </w:t>
      </w:r>
      <w:r w:rsidRPr="00285C8F">
        <w:rPr>
          <w:b/>
        </w:rPr>
        <w:t>European Maritime and Fisheries Fund</w:t>
      </w:r>
      <w:r w:rsidR="0078037A">
        <w:rPr>
          <w:b/>
        </w:rPr>
        <w:t xml:space="preserve"> </w:t>
      </w:r>
      <w:r w:rsidR="0078037A" w:rsidRPr="006C66B0">
        <w:t>(EMFF)</w:t>
      </w:r>
      <w:r w:rsidRPr="0078037A">
        <w:t xml:space="preserve"> </w:t>
      </w:r>
      <w:r>
        <w:t>provides support for the diversification of fisheries livelihoods and adoption of more sustainable practices, and has a number of applications to the management of marine Natura 2000 sites, particularly in the areas of monitoring, investigation and development of evidence;</w:t>
      </w:r>
    </w:p>
    <w:p w14:paraId="05AD38C6" w14:textId="59FF34AD" w:rsidR="003F5E2A" w:rsidRDefault="003F5E2A" w:rsidP="003F5E2A">
      <w:pPr>
        <w:pStyle w:val="BTBullet1Last"/>
      </w:pPr>
      <w:r>
        <w:t xml:space="preserve">The </w:t>
      </w:r>
      <w:r w:rsidRPr="004471AE">
        <w:rPr>
          <w:b/>
        </w:rPr>
        <w:t>European Regional Development Fund</w:t>
      </w:r>
      <w:r>
        <w:t xml:space="preserve"> </w:t>
      </w:r>
      <w:r w:rsidR="0078037A">
        <w:t xml:space="preserve">(ERDF) </w:t>
      </w:r>
      <w:r>
        <w:t xml:space="preserve">provides </w:t>
      </w:r>
      <w:r w:rsidR="00176B08">
        <w:t xml:space="preserve">capital </w:t>
      </w:r>
      <w:r>
        <w:t xml:space="preserve">support </w:t>
      </w:r>
      <w:r w:rsidR="00176B08">
        <w:t>for economic development and infrastructure in the EU</w:t>
      </w:r>
      <w:r w:rsidR="00337949">
        <w:t>.</w:t>
      </w:r>
      <w:r w:rsidR="00176B08">
        <w:t xml:space="preserve"> It can potentially support a range of projects benefiting Natura 2000, particularly where they require capital investments that benefit economic development and tourism.</w:t>
      </w:r>
    </w:p>
    <w:p w14:paraId="0C3092FD" w14:textId="177F1EE7" w:rsidR="003A06EE" w:rsidRDefault="003A06EE" w:rsidP="003A06EE">
      <w:pPr>
        <w:pStyle w:val="BTBullet1Last"/>
      </w:pPr>
      <w:r>
        <w:t>The ERDF</w:t>
      </w:r>
      <w:r w:rsidR="003120EA">
        <w:t xml:space="preserve"> funded </w:t>
      </w:r>
      <w:r w:rsidR="0078037A">
        <w:t>INTERREG</w:t>
      </w:r>
      <w:r>
        <w:t xml:space="preserve"> </w:t>
      </w:r>
      <w:r w:rsidRPr="00285C8F">
        <w:rPr>
          <w:b/>
        </w:rPr>
        <w:t>Ireland-Wales Territorial Cooperation Programme</w:t>
      </w:r>
      <w:r>
        <w:t xml:space="preserve"> is a </w:t>
      </w:r>
      <w:r>
        <w:rPr>
          <w:rFonts w:cs="Arial"/>
        </w:rPr>
        <w:t>€</w:t>
      </w:r>
      <w:r>
        <w:t>100m programme of support to collaborative projects between Ireland and Wales, with a major focus on conservation, livelihoods and tourism in the Irish Sea;</w:t>
      </w:r>
    </w:p>
    <w:p w14:paraId="6167B382" w14:textId="7A51F0A9" w:rsidR="003F5E2A" w:rsidRDefault="003F5E2A" w:rsidP="003F5E2A">
      <w:pPr>
        <w:pStyle w:val="BTBullet1Last"/>
      </w:pPr>
      <w:r>
        <w:t xml:space="preserve">The </w:t>
      </w:r>
      <w:r w:rsidRPr="004471AE">
        <w:rPr>
          <w:b/>
        </w:rPr>
        <w:t>European Social Fund</w:t>
      </w:r>
      <w:r w:rsidR="0078037A" w:rsidRPr="006C66B0">
        <w:t xml:space="preserve"> (ESF)</w:t>
      </w:r>
      <w:r w:rsidRPr="006C66B0">
        <w:t xml:space="preserve"> supports</w:t>
      </w:r>
      <w:r w:rsidRPr="0078037A">
        <w:t xml:space="preserve"> </w:t>
      </w:r>
      <w:r>
        <w:t xml:space="preserve">the development of emerging skills and training needs, with a particular focus on youth employment, and can provide support to emerging opportunities in the green economy; </w:t>
      </w:r>
    </w:p>
    <w:p w14:paraId="45B9C74B" w14:textId="77777777" w:rsidR="002153F2" w:rsidRDefault="002153F2" w:rsidP="002153F2">
      <w:pPr>
        <w:pStyle w:val="BTBullet1Last"/>
      </w:pPr>
      <w:r w:rsidRPr="00285C8F">
        <w:rPr>
          <w:b/>
        </w:rPr>
        <w:t>LIFE</w:t>
      </w:r>
      <w:r>
        <w:t xml:space="preserve"> is the core funding source for environmental conservation and climate action in the EU, and can support a range of activities from ‘traditional’ habitat and conservation management to ‘integrated’ thematic programmes- combining these can promote more strategic integration of Natura 2000 into decision-making;</w:t>
      </w:r>
    </w:p>
    <w:p w14:paraId="625E692D" w14:textId="2E94A42B" w:rsidR="003F5E2A" w:rsidRPr="004471AE" w:rsidRDefault="003F5E2A" w:rsidP="003F5E2A">
      <w:pPr>
        <w:pStyle w:val="BTBullet1Last"/>
      </w:pPr>
      <w:r w:rsidRPr="004471AE">
        <w:rPr>
          <w:b/>
        </w:rPr>
        <w:t xml:space="preserve">Horizon 2020 </w:t>
      </w:r>
      <w:r w:rsidRPr="004471AE">
        <w:t xml:space="preserve">promotes innovative research that </w:t>
      </w:r>
      <w:r>
        <w:t>strengthens links between academia and industry</w:t>
      </w:r>
      <w:r w:rsidR="00176B08">
        <w:t xml:space="preserve">, and addresses </w:t>
      </w:r>
      <w:r>
        <w:t>societal challenges such as sustainable agriculture and fisheries</w:t>
      </w:r>
      <w:r w:rsidR="00176B08">
        <w:t>, management of natural resources and climate change, including through basic research and development of new products and services</w:t>
      </w:r>
      <w:r w:rsidR="0078037A">
        <w:t>.</w:t>
      </w:r>
    </w:p>
    <w:p w14:paraId="5AF5D337" w14:textId="77777777" w:rsidR="003F5E2A" w:rsidRDefault="003F5E2A" w:rsidP="003F5E2A">
      <w:pPr>
        <w:pStyle w:val="Heading3"/>
      </w:pPr>
      <w:r>
        <w:t xml:space="preserve">Barriers to implementation </w:t>
      </w:r>
    </w:p>
    <w:p w14:paraId="23B4C617" w14:textId="77777777" w:rsidR="003F5E2A" w:rsidRDefault="003F5E2A" w:rsidP="003F5E2A">
      <w:pPr>
        <w:pStyle w:val="BodyText"/>
      </w:pPr>
      <w:r>
        <w:t>Based on discussions with stakeholders linked to a range of EU funds, common barriers to implementation include:</w:t>
      </w:r>
    </w:p>
    <w:p w14:paraId="6920236A" w14:textId="0A87FB29" w:rsidR="003F5E2A" w:rsidRDefault="003F5E2A" w:rsidP="003F5E2A">
      <w:pPr>
        <w:pStyle w:val="BTBullet1Last"/>
        <w:rPr>
          <w:b/>
        </w:rPr>
      </w:pPr>
      <w:r w:rsidRPr="00984A91">
        <w:rPr>
          <w:b/>
        </w:rPr>
        <w:t>A lack of awareness of the funding options available</w:t>
      </w:r>
      <w:r>
        <w:rPr>
          <w:b/>
        </w:rPr>
        <w:t xml:space="preserve">. </w:t>
      </w:r>
      <w:r w:rsidRPr="00984A91">
        <w:t xml:space="preserve">Many </w:t>
      </w:r>
      <w:r>
        <w:t xml:space="preserve">potential applicants are unaware of the range of funding priorities and options contained within major funds, or even the existence of certain funds. The </w:t>
      </w:r>
      <w:r w:rsidR="006C66B0">
        <w:t>European Fisheries Fund (EFF</w:t>
      </w:r>
      <w:r w:rsidR="00337949">
        <w:t>)</w:t>
      </w:r>
      <w:r>
        <w:t xml:space="preserve">, for example, has not been applied to funding Natura 2000 management in Wales despite </w:t>
      </w:r>
      <w:r w:rsidR="006C66B0">
        <w:t>some</w:t>
      </w:r>
      <w:r>
        <w:t xml:space="preserve"> alignment of many of its priorities with management needs</w:t>
      </w:r>
      <w:r w:rsidR="006C66B0">
        <w:t xml:space="preserve"> (this alignment has been increased in the current the EMFF, which has replaced the EFF)</w:t>
      </w:r>
      <w:r>
        <w:t xml:space="preserve">. In other cases, the linkages may be less obviously apparent- the ESF, for example, provides a means to address a growing demand, and skills gap, in the green economy relating to practical monitoring and restoration of sites. </w:t>
      </w:r>
    </w:p>
    <w:p w14:paraId="10FB8927" w14:textId="77777777" w:rsidR="003F5E2A" w:rsidRPr="00BD6504" w:rsidRDefault="003F5E2A" w:rsidP="003F5E2A">
      <w:pPr>
        <w:pStyle w:val="BTBullet1Last"/>
        <w:rPr>
          <w:b/>
        </w:rPr>
      </w:pPr>
      <w:r>
        <w:rPr>
          <w:b/>
        </w:rPr>
        <w:t xml:space="preserve">A lack of access to appropriate match funding. </w:t>
      </w:r>
      <w:r>
        <w:t>Since EU funds require various degrees of match funding, certain activities may be limited by the existing funding options available in Wales. For major funders, there may a degree of risk aversion in assigning limited annual funds to competitive fund applications with no guarantee of winning the award. Inappropriate funding timescales can also create barriers to matching otherwise complementary funds. In many cases, success of match funding relates to experience and relationships between major funders and grantholders.</w:t>
      </w:r>
    </w:p>
    <w:p w14:paraId="1CC9695F" w14:textId="064308C3" w:rsidR="003F5E2A" w:rsidRDefault="003F5E2A" w:rsidP="003F5E2A">
      <w:pPr>
        <w:pStyle w:val="BTBullet1Last"/>
        <w:rPr>
          <w:b/>
        </w:rPr>
      </w:pPr>
      <w:r w:rsidRPr="00984A91">
        <w:rPr>
          <w:b/>
        </w:rPr>
        <w:t xml:space="preserve">A lack of capacities to develop and deliver </w:t>
      </w:r>
      <w:r>
        <w:rPr>
          <w:b/>
        </w:rPr>
        <w:t xml:space="preserve">funding proposals. </w:t>
      </w:r>
      <w:r w:rsidRPr="002B2F02">
        <w:t xml:space="preserve">This is reportedly </w:t>
      </w:r>
      <w:r>
        <w:t>the largest barrier to uptake of EU funds- proposal development and applications are time-consuming, resource and data-dependent, and even larger organisations appear to struggle with meeting the requirements of proposals, particularly where necessary data are scarce. The complexity of applications is problematic for many organisations and a standard LIFE application may consume 6-12 months of FTE for one employee- a major commitment.</w:t>
      </w:r>
      <w:r w:rsidR="00362227">
        <w:t xml:space="preserve"> Management of larger projects requires a reasonably high level of technical or project management skills, backed by ongoing support from hosting organisations – this can be particularly challenging.</w:t>
      </w:r>
    </w:p>
    <w:p w14:paraId="75DC30EF" w14:textId="77777777" w:rsidR="003F5E2A" w:rsidRPr="00082DF1" w:rsidRDefault="003F5E2A" w:rsidP="003F5E2A">
      <w:pPr>
        <w:pStyle w:val="BTBullet1Last"/>
        <w:rPr>
          <w:b/>
        </w:rPr>
      </w:pPr>
      <w:r w:rsidRPr="002B2F02">
        <w:rPr>
          <w:b/>
        </w:rPr>
        <w:t>A lack of financial acumen to ensure proper auditing and reporting during the lifetime of projects.</w:t>
      </w:r>
      <w:r>
        <w:t xml:space="preserve"> </w:t>
      </w:r>
      <w:r w:rsidRPr="002B2F02">
        <w:t xml:space="preserve">Many </w:t>
      </w:r>
      <w:r>
        <w:t>funds require rigorous but non-standardised financial reporting and auditing, which may be beyond the capacities of smaller or inexperienced organisations – many partner organisations reportedly fail to comprehend these expectations, and their associated time and resource inputs, when agreeing to engage in funding applications. This impacts on the effectiveness of project management and the credibility of the grantholders in future applications.</w:t>
      </w:r>
    </w:p>
    <w:p w14:paraId="76E5DC88" w14:textId="0C64EB86" w:rsidR="00B12D7A" w:rsidRPr="002B2F02" w:rsidRDefault="00B12D7A" w:rsidP="003F5E2A">
      <w:pPr>
        <w:pStyle w:val="BTBullet1Last"/>
        <w:rPr>
          <w:b/>
        </w:rPr>
      </w:pPr>
      <w:r>
        <w:rPr>
          <w:b/>
        </w:rPr>
        <w:t xml:space="preserve">Limited funds, and competing priorities. </w:t>
      </w:r>
      <w:r w:rsidRPr="00082DF1">
        <w:t xml:space="preserve">Whilst </w:t>
      </w:r>
      <w:r>
        <w:t xml:space="preserve">a number of funds have </w:t>
      </w:r>
      <w:r w:rsidR="00183320">
        <w:t xml:space="preserve">strong potential application to the Natura 2000 (notably LIFE and the EMFF) these funds are often limited in size. Linked to this is the general issue of competing priorities for funding – many funds may be suitable for application to the network in theory but in practice there may be competing demand for these funds in other areas, such as local development. </w:t>
      </w:r>
    </w:p>
    <w:p w14:paraId="1B4E2F59" w14:textId="77777777" w:rsidR="003F5E2A" w:rsidRDefault="003F5E2A" w:rsidP="003F5E2A">
      <w:pPr>
        <w:pStyle w:val="Heading3"/>
      </w:pPr>
      <w:r>
        <w:t xml:space="preserve">Increasing uptake and integration </w:t>
      </w:r>
    </w:p>
    <w:p w14:paraId="217B19D0" w14:textId="77777777" w:rsidR="003F5E2A" w:rsidRDefault="003F5E2A" w:rsidP="003F5E2A">
      <w:pPr>
        <w:pStyle w:val="BodyText"/>
      </w:pPr>
      <w:r>
        <w:t xml:space="preserve">Discussion with stakeholders has highlighted a number of cross-cutting approaches to maximising the uptake of EU Funds in Wales. </w:t>
      </w:r>
    </w:p>
    <w:p w14:paraId="0A9A080C" w14:textId="77777777" w:rsidR="003F5E2A" w:rsidRPr="007E5B00" w:rsidRDefault="003F5E2A" w:rsidP="003F5E2A">
      <w:pPr>
        <w:pStyle w:val="BTBullet1Last"/>
        <w:rPr>
          <w:b/>
        </w:rPr>
      </w:pPr>
      <w:r w:rsidRPr="00607524">
        <w:rPr>
          <w:b/>
        </w:rPr>
        <w:t>Wider dissemination of best practice and information.</w:t>
      </w:r>
      <w:r>
        <w:rPr>
          <w:b/>
        </w:rPr>
        <w:t xml:space="preserve"> </w:t>
      </w:r>
      <w:r>
        <w:t>Evidence suggests that a lack of data and information relating to previous funding applications results in substantial duplication of effort or, more often, the decision not to proceed. For many funds (particularly LIFE and EMFF) experience of applications to Natura 2000 management is limited or non-existent in Wales. Better access to examples of best practice in Wales would be useful (such as the LIFE Anglesey Fens project, which is being used to demonstrate best practice for financial auditing and reporting of projects) and examples from elsewhere in the UK should also be drawn up, given the relative scarcity of case studies for some funds in Wales.</w:t>
      </w:r>
      <w:r>
        <w:rPr>
          <w:b/>
        </w:rPr>
        <w:t xml:space="preserve"> </w:t>
      </w:r>
      <w:r w:rsidRPr="00BD6504">
        <w:t>Wider use of the BetaEurope support service can underpin establishment of best practice.</w:t>
      </w:r>
      <w:r>
        <w:rPr>
          <w:b/>
        </w:rPr>
        <w:t xml:space="preserve"> </w:t>
      </w:r>
    </w:p>
    <w:p w14:paraId="523372C6" w14:textId="031AD91D" w:rsidR="003F5E2A" w:rsidRDefault="003F5E2A" w:rsidP="003F5E2A">
      <w:pPr>
        <w:pStyle w:val="BTBullet1Last"/>
        <w:rPr>
          <w:b/>
        </w:rPr>
      </w:pPr>
      <w:r>
        <w:rPr>
          <w:b/>
        </w:rPr>
        <w:t xml:space="preserve">Wider dissemination of monitoring and outcomes. </w:t>
      </w:r>
      <w:r>
        <w:t>A lot of statistical information is collected as part of the monitoring process associated with EU funding streams – it would be beneficial if this information could be disseminated to demonstrate the wider social, environmental and economic changes that are occurring across Wales, so as to better target future funding applications</w:t>
      </w:r>
      <w:r w:rsidR="00362227">
        <w:t>.</w:t>
      </w:r>
    </w:p>
    <w:p w14:paraId="4CCDE7D8" w14:textId="0F19394E" w:rsidR="003F5E2A" w:rsidRPr="003F5E2A" w:rsidRDefault="003F5E2A" w:rsidP="003F5E2A">
      <w:pPr>
        <w:pStyle w:val="BTBullet1Last"/>
        <w:rPr>
          <w:b/>
        </w:rPr>
      </w:pPr>
      <w:r>
        <w:rPr>
          <w:b/>
        </w:rPr>
        <w:t xml:space="preserve">Further development of discretionary funds to support funding applications. </w:t>
      </w:r>
      <w:r>
        <w:t xml:space="preserve">Development of funding applications requires substantial upfront investments in coordination, evidence gathering and partnership development, and a key issue is the alignment of NRW annual funds with timeframes for EU funds and other funding sources- this can create problems for the identification of match funding in practice. Extension of the WEFO Targeted Match Fund could support applications for Structural Funds but there is a need for support to early costs of bid development – the </w:t>
      </w:r>
      <w:r w:rsidRPr="00BD6504">
        <w:t>SCoRE Cymru</w:t>
      </w:r>
      <w:r>
        <w:t xml:space="preserve"> Fund (which currently supports the formation of academic bid partnerships in connection with H2020 Research and Innovation Funding) could be meaningfully extended to other partners to foster wider engagement with conservation management research. Similarly, the NRW Partnership Funding facility could be used to targeted the development of new funding partners in connection with EU funds, beyond established relationships to new opportunities (such as skills and education or tourism)</w:t>
      </w:r>
      <w:r w:rsidR="00362227">
        <w:t>.</w:t>
      </w:r>
    </w:p>
    <w:p w14:paraId="4D9AB48C" w14:textId="1118A6B2" w:rsidR="003F5E2A" w:rsidRPr="006C66B0" w:rsidRDefault="003F5E2A" w:rsidP="003F5E2A">
      <w:pPr>
        <w:pStyle w:val="BTBullet1Last"/>
        <w:rPr>
          <w:b/>
        </w:rPr>
      </w:pPr>
      <w:r w:rsidRPr="003F5E2A">
        <w:rPr>
          <w:b/>
        </w:rPr>
        <w:t>Greater strategic coordination of funding applications.</w:t>
      </w:r>
      <w:r>
        <w:t xml:space="preserve"> Given the substantial resource requirements necessary to develop many EU funding applications, greater coordination between programmes and projects could increase the efficiency of developing applications. For example, under LIFE, Integrated Projects (those funding programme or large-scale thematic activities) represent a key opportunity to engage with programmes occurring at a UK level. Outputs and evidence for these applications then provide a strong basis for Traditional Projects at a landscape or site scale in Wales. Such coordinated approaches can help counteract growing competition for match funding</w:t>
      </w:r>
      <w:r w:rsidR="00362227">
        <w:t xml:space="preserve">. </w:t>
      </w:r>
    </w:p>
    <w:p w14:paraId="55B80EB2" w14:textId="3807DCAA" w:rsidR="00362227" w:rsidRPr="003F5E2A" w:rsidRDefault="00362227" w:rsidP="003F5E2A">
      <w:pPr>
        <w:pStyle w:val="BTBullet1Last"/>
        <w:rPr>
          <w:b/>
        </w:rPr>
      </w:pPr>
      <w:r>
        <w:rPr>
          <w:b/>
        </w:rPr>
        <w:t xml:space="preserve">Support and capacity building for funding bid preparation and ongoing management. </w:t>
      </w:r>
      <w:r>
        <w:t>There is a need to build capacity in Wales regarding skills during the bid preparation process, including integration of project management processes and management of external finance. Support is also needed to help projects ‘deliver’ by providing advice and resources for project managers. Common best practice resources would be helpful in this regard, since most projects have to address the same issues (e</w:t>
      </w:r>
      <w:r w:rsidR="006C66B0">
        <w:t>.</w:t>
      </w:r>
      <w:r>
        <w:t xml:space="preserve">g. communication, stakeholder analysis, promotional materials, financial control and reporting). There is evidence of substantial duplication of efforts between projects at present. Standard guidance or templates would streamline delivery in this regard. </w:t>
      </w:r>
    </w:p>
    <w:p w14:paraId="75E0F9D0" w14:textId="77777777" w:rsidR="000904CF" w:rsidRDefault="000904CF" w:rsidP="000904CF">
      <w:pPr>
        <w:pStyle w:val="Heading2"/>
      </w:pPr>
      <w:bookmarkStart w:id="249" w:name="_Toc408094000"/>
      <w:bookmarkStart w:id="250" w:name="_Toc408850996"/>
      <w:bookmarkStart w:id="251" w:name="_Toc421880672"/>
      <w:r>
        <w:t>Other sector plans, strategies</w:t>
      </w:r>
      <w:bookmarkEnd w:id="249"/>
      <w:r>
        <w:t xml:space="preserve"> and public funds: opportunities, limitations and actions</w:t>
      </w:r>
      <w:bookmarkEnd w:id="250"/>
      <w:bookmarkEnd w:id="251"/>
    </w:p>
    <w:p w14:paraId="52DCA2C9" w14:textId="1DBB0D24" w:rsidR="000904CF" w:rsidRDefault="000904CF" w:rsidP="000904CF">
      <w:pPr>
        <w:pStyle w:val="BodyText"/>
      </w:pPr>
      <w:r>
        <w:t>In addition to conventional sources of funding for Natura 2000, the nature of the network means that its management is closely linked to a number of policy priorities</w:t>
      </w:r>
      <w:r w:rsidR="00362227">
        <w:t xml:space="preserve"> and programmes</w:t>
      </w:r>
      <w:r>
        <w:t xml:space="preserve"> in other sectors. In some cases, this could point to additional funding sources for site management. In some instances these funding sources may be directly accessed, in others the funding need can be reduced by integrating Natura 2000 management needs into the plans and projects delivered by other sectors.</w:t>
      </w:r>
    </w:p>
    <w:p w14:paraId="755DED88" w14:textId="77777777" w:rsidR="000904CF" w:rsidRDefault="000904CF" w:rsidP="000904CF">
      <w:pPr>
        <w:pStyle w:val="Heading3"/>
      </w:pPr>
      <w:r>
        <w:t xml:space="preserve">Opportunities  </w:t>
      </w:r>
    </w:p>
    <w:p w14:paraId="2F6E658E" w14:textId="482D530B" w:rsidR="000904CF" w:rsidRDefault="000904CF" w:rsidP="000904CF">
      <w:pPr>
        <w:pStyle w:val="BTBullet1Last"/>
      </w:pPr>
      <w:r>
        <w:t xml:space="preserve">The EU </w:t>
      </w:r>
      <w:r w:rsidRPr="00B66717">
        <w:t xml:space="preserve">Water Framework Directive is spurring major investment across the water cycle and the difficulty of ensuring compliance with many aspects of the Directive is spurring engagement with innovative upstream approaches such as habitat restoration. Viewed from this perspective, land managers are responsible for the provision of a number </w:t>
      </w:r>
      <w:r>
        <w:t>of valuable ecosystem services and many conservation activities have gained significant investment elsewhere in the UK from the water sector. In Wales it appears that investment</w:t>
      </w:r>
      <w:r w:rsidR="00362227">
        <w:t xml:space="preserve"> in Natura 2000 management</w:t>
      </w:r>
      <w:r>
        <w:t xml:space="preserve"> has been held back by a lack of strategic WFD integration within policy drivers</w:t>
      </w:r>
      <w:r w:rsidR="00362227">
        <w:t xml:space="preserve"> and the fact that databases of WFD measures and Natura 2000 actions</w:t>
      </w:r>
      <w:r>
        <w:t xml:space="preserve"> </w:t>
      </w:r>
      <w:r w:rsidR="00362227">
        <w:t>(</w:t>
      </w:r>
      <w:r>
        <w:t>Actions Database</w:t>
      </w:r>
      <w:r w:rsidR="00362227">
        <w:t>) are not fully integrated. T</w:t>
      </w:r>
      <w:r>
        <w:t>he latter is relatively easy to address</w:t>
      </w:r>
      <w:r w:rsidR="00362227">
        <w:t>.</w:t>
      </w:r>
      <w:r w:rsidR="00FF2EA4">
        <w:t xml:space="preserve"> Notably, two relatively large funds are available to aid compliance with the objectives of the WFD – the Welsh Government and Dwr Cymru WFD Funds (each providing £550,000 of funds per year) and various small-scale conservation funds such as Dwr Cymru’s £50,000 invasive species fund. </w:t>
      </w:r>
    </w:p>
    <w:p w14:paraId="393AC8D6" w14:textId="5123FAD0" w:rsidR="000904CF" w:rsidRDefault="000904CF" w:rsidP="000904CF">
      <w:pPr>
        <w:pStyle w:val="BTBullet1Last"/>
      </w:pPr>
      <w:r w:rsidRPr="0096322C">
        <w:t>For marine and wetla</w:t>
      </w:r>
      <w:r>
        <w:t>nd Natura 2000 sites, a</w:t>
      </w:r>
      <w:r w:rsidRPr="0096322C">
        <w:t xml:space="preserve"> key management issue highlighted by stakeholders and published evidence is a lack of underlying evidence on which to</w:t>
      </w:r>
      <w:r w:rsidR="00362227">
        <w:t xml:space="preserve"> develop </w:t>
      </w:r>
      <w:r w:rsidRPr="0096322C">
        <w:t xml:space="preserve">management </w:t>
      </w:r>
      <w:r>
        <w:t>plans. There may be a strong convergence here with the need for research and innovation activities in the Irish Sea and the need to ‘take fisheries on board’ and build support for conservation management measures. Existing funds in this sector can contribute to the evidence base for managing sites whilst supporting the diversification of fisheries toward more sustainable practices. The recent introduction of the Marine Planning Portal</w:t>
      </w:r>
      <w:r>
        <w:rPr>
          <w:rStyle w:val="FootnoteReference"/>
        </w:rPr>
        <w:footnoteReference w:id="1"/>
      </w:r>
      <w:r>
        <w:t xml:space="preserve"> points to the type of evidence needs that specialist funds could support. </w:t>
      </w:r>
    </w:p>
    <w:p w14:paraId="1F3781D3" w14:textId="0DD7B812" w:rsidR="000904CF" w:rsidRDefault="000904CF" w:rsidP="000904CF">
      <w:pPr>
        <w:pStyle w:val="BTBullet1Last"/>
      </w:pPr>
      <w:r>
        <w:t>Woodland creation, and more sensitive management, is a high policy priority for the Welsh Government and funding support is expected to increase accordingly. Glastir Woodland Agreements are expected to see wider use under the new RD</w:t>
      </w:r>
      <w:r w:rsidR="003B296D">
        <w:t>P</w:t>
      </w:r>
      <w:r>
        <w:t>, with increased financial resources available. Woodland management represents a clear intersection between socio-economic and conservation interests and organisations such as the Woodland Trust have good experience of balancing these objectives. There is a good case for developing recreational and educational services around an ecosystem services approach</w:t>
      </w:r>
      <w:r w:rsidR="003B296D">
        <w:t xml:space="preserve"> </w:t>
      </w:r>
      <w:r>
        <w:t>- with many small funds linked to these activities.</w:t>
      </w:r>
    </w:p>
    <w:p w14:paraId="598FC53A" w14:textId="5DF24221" w:rsidR="003B296D" w:rsidRDefault="000904CF" w:rsidP="000904CF">
      <w:pPr>
        <w:pStyle w:val="BTBullet1Last"/>
      </w:pPr>
      <w:r>
        <w:t xml:space="preserve">Flood and coastal erosion risk management (FCERM) is a major area of public expenditure, and competition for investment is increasing in many areas as storm, erosion and flood incidences increase. A key opportunity area is for habitat restoration as part of managed realignment and flood defence measures. The National Habitat Creation Programme (NHCP) is in place to provide compensation for Natura habitat that is expected to be lost via FCERM future schemes, most notably via coastal squeeze. Habitat creation offers an opportunity to design new habitat so as to maximise its ecological value. Importantly, much of the habitat creation will be at a large scale and there is an opportunity to take a more strategic approach and seek to integrate a broader set of issues into the scheme design, both on the habitat in question and neighbouring Natura 2000 habitats. </w:t>
      </w:r>
      <w:r w:rsidR="003B296D">
        <w:t xml:space="preserve">However, it is important to caution that such schemes are also struggling to obtain non-conventional funding in practice. </w:t>
      </w:r>
    </w:p>
    <w:p w14:paraId="2F7C4B74" w14:textId="61A19B97" w:rsidR="000904CF" w:rsidRDefault="000904CF" w:rsidP="000904CF">
      <w:pPr>
        <w:pStyle w:val="BTBullet1Last"/>
      </w:pPr>
      <w:r>
        <w:t>A key priority for NRW is the use of natural processes for FCERM, linked in part to the anticipated lower ongoing maintenance costs associated with such schemes. Such solutions often require the use of larger areas covering more habitat types so potentially offer opportunities for environmental enhancement actions and taking a broader, strategic view of the opportunities.</w:t>
      </w:r>
      <w:r w:rsidR="003120EA">
        <w:t xml:space="preserve"> Related to this, which environmental enhancements are generally considered when design flood risk management plans and scheme, there remains scope for enhancing the integration of specific </w:t>
      </w:r>
      <w:r w:rsidR="00B32D2F">
        <w:t>Natura 2000 needs in such plans and scheme, particularly when viewed at a landscape scale.</w:t>
      </w:r>
      <w:r w:rsidR="003B296D">
        <w:t xml:space="preserve"> </w:t>
      </w:r>
    </w:p>
    <w:p w14:paraId="4E6765C6" w14:textId="77777777" w:rsidR="000904CF" w:rsidRDefault="000904CF" w:rsidP="000904CF">
      <w:pPr>
        <w:pStyle w:val="BTBullet1Last"/>
      </w:pPr>
      <w:r>
        <w:t>There is a statutory obligation, via the Habitats Regulation, for other sector strategies, plans, projects and schemes to avoid negative impacts to Natura 2000 sites and also a policy desire to seek environmental benefit. In many instances an ecosystem services framework can be used to demonstrate the enhanced economic benefits of building in environmental enhancements, most notably where such enhancements can be made at a low cost relative to the overall costs.</w:t>
      </w:r>
    </w:p>
    <w:p w14:paraId="6FB84574" w14:textId="77777777" w:rsidR="000904CF" w:rsidRDefault="000904CF" w:rsidP="000904CF">
      <w:pPr>
        <w:pStyle w:val="BTBullet1Last"/>
      </w:pPr>
      <w:r w:rsidRPr="00652EA8">
        <w:t>Research grants</w:t>
      </w:r>
      <w:r>
        <w:t xml:space="preserve"> are typically allocated to conservation management on a piecemeal basis but have strong potential to be expanded through earlier collaboration between NRW and universities in proposal design- this is particularly apparent in the marine environment, where the PAF describes management needs of sites as being held back by a lack of underlying evidence and monitoring.</w:t>
      </w:r>
    </w:p>
    <w:p w14:paraId="0B4D5BE5" w14:textId="77777777" w:rsidR="000904CF" w:rsidRDefault="000904CF" w:rsidP="000904CF">
      <w:pPr>
        <w:pStyle w:val="Heading3"/>
      </w:pPr>
      <w:r>
        <w:t>Barriers to implementation</w:t>
      </w:r>
    </w:p>
    <w:p w14:paraId="31CB1145" w14:textId="77777777" w:rsidR="000904CF" w:rsidRDefault="000904CF" w:rsidP="000904CF">
      <w:pPr>
        <w:pStyle w:val="BTBullet1Last"/>
      </w:pPr>
      <w:r>
        <w:t xml:space="preserve">The principal limitation is that in order to incorporate environmental enhancements expenditure on a proposed plan or scheme must still align with sector priorities (e.g. flood defence) or fund theme (e.g. research activities). This may limit the scale of action that may be feasible. </w:t>
      </w:r>
    </w:p>
    <w:p w14:paraId="56625CEE" w14:textId="77777777" w:rsidR="000904CF" w:rsidRDefault="000904CF" w:rsidP="000904CF">
      <w:pPr>
        <w:pStyle w:val="BTBullet1Last"/>
      </w:pPr>
      <w:r>
        <w:t>Where integration is sought with particular projects or schemes, there are likely to be geographical constraints – both in terms of the overlap with Natura 2000 and in terms of the relative scale compared to the management issue.  For example, WFD and FCERM may provide significant funding opportunities only in specific Natura 2000 areas.</w:t>
      </w:r>
    </w:p>
    <w:p w14:paraId="169400A3" w14:textId="27CFFD58" w:rsidR="000904CF" w:rsidRDefault="000904CF" w:rsidP="000904CF">
      <w:pPr>
        <w:pStyle w:val="BTBullet1Last"/>
      </w:pPr>
      <w:r>
        <w:t>Investments undertaken through other sector plans or strategies are often time bound, particular where they relate to infrastructure development. This places a limit on the usefulness for delivering or funding recurrent costs for ongoing management needs- for example in the water sector, where Water Framework Directive milestones and Water Industry Price Reviews are the major drivers in spurring periodical investment.</w:t>
      </w:r>
      <w:r w:rsidR="00FF2EA4">
        <w:t xml:space="preserve"> The current OFWAT Price Review system reportedly dis-incentivises environmental investments by prioritising large capital investments in the network – green and blue infrastructure solutions are not recognised as such under the current system. </w:t>
      </w:r>
    </w:p>
    <w:p w14:paraId="46E92F74" w14:textId="77777777" w:rsidR="000904CF" w:rsidRDefault="000904CF" w:rsidP="000904CF">
      <w:pPr>
        <w:pStyle w:val="BTBullet1Last"/>
      </w:pPr>
      <w:r>
        <w:t xml:space="preserve">Achieving integration requires significant levels of engagement and awareness raising with relevant parties, which demands substantial staff time without any associated funding.  </w:t>
      </w:r>
    </w:p>
    <w:p w14:paraId="7ACE3E7E" w14:textId="77777777" w:rsidR="000904CF" w:rsidRDefault="000904CF" w:rsidP="000904CF">
      <w:pPr>
        <w:pStyle w:val="Heading3"/>
      </w:pPr>
      <w:r>
        <w:t>Increasing uptake</w:t>
      </w:r>
    </w:p>
    <w:p w14:paraId="5540614E" w14:textId="77777777" w:rsidR="000904CF" w:rsidRPr="003F5E2A" w:rsidRDefault="000904CF" w:rsidP="000904CF">
      <w:pPr>
        <w:pStyle w:val="BTBullet1Last"/>
      </w:pPr>
      <w:r>
        <w:t>Increased integration benefits from early engagement in plan and strategy development in order to highlight opportunities for incorporating environmental enhancements that address Natura 2000 needs. In particular, there is a need for strategic level engagement at a landscape level to integrate sector plan, strategy, project and scheme activities with neighbouring areas.</w:t>
      </w:r>
    </w:p>
    <w:p w14:paraId="21E1DF27" w14:textId="77777777" w:rsidR="000904CF" w:rsidRDefault="000904CF" w:rsidP="000904CF">
      <w:pPr>
        <w:pStyle w:val="BTBullet1Last"/>
      </w:pPr>
      <w:r>
        <w:t xml:space="preserve">Typically consultation responses on plans, strategies, projects and schemes focus on avoidance of negative impacts in relation to Habitat Regulations, with less emphasis on the potential for positive environmental enhancement. Improving the flow of positive ideas is an opportunity for increasing the integration of Natura 2000 management needs into plans, strategies, projects and schemes. </w:t>
      </w:r>
    </w:p>
    <w:p w14:paraId="5071101A" w14:textId="173D0D32" w:rsidR="007D772D" w:rsidRDefault="002153F2" w:rsidP="007D772D">
      <w:pPr>
        <w:pStyle w:val="Heading2"/>
      </w:pPr>
      <w:bookmarkStart w:id="252" w:name="_Toc408850997"/>
      <w:bookmarkStart w:id="253" w:name="_Toc421880673"/>
      <w:r>
        <w:t>Private, Lottery and voluntary sector funds</w:t>
      </w:r>
      <w:bookmarkEnd w:id="252"/>
      <w:bookmarkEnd w:id="253"/>
    </w:p>
    <w:p w14:paraId="3677F6E0" w14:textId="42174789" w:rsidR="007D772D" w:rsidRPr="003F5E2A" w:rsidRDefault="007D772D" w:rsidP="003F5E2A">
      <w:pPr>
        <w:pStyle w:val="Heading3"/>
      </w:pPr>
      <w:r w:rsidRPr="003F5E2A">
        <w:t xml:space="preserve">Opportunities </w:t>
      </w:r>
    </w:p>
    <w:p w14:paraId="3B23F15D" w14:textId="3FFEE69F" w:rsidR="007D772D" w:rsidRDefault="007D772D" w:rsidP="007D772D">
      <w:pPr>
        <w:pStyle w:val="BTBullet1Last"/>
      </w:pPr>
      <w:r>
        <w:t xml:space="preserve">The </w:t>
      </w:r>
      <w:r w:rsidRPr="00FB17BF">
        <w:rPr>
          <w:b/>
        </w:rPr>
        <w:t xml:space="preserve">Heritage Lottery Fund </w:t>
      </w:r>
      <w:r>
        <w:t>works closely with Welsh conservation groups but relationships with NRW are less developed- collaboration via the HLF Wales Steering Group could highlight shared strategic goals, whilst wider awareness of the Heritage Grants scheme could highlight its potential for funding site-level management actions</w:t>
      </w:r>
      <w:r w:rsidR="003F5E2A">
        <w:t>.</w:t>
      </w:r>
      <w:r>
        <w:t xml:space="preserve"> </w:t>
      </w:r>
    </w:p>
    <w:p w14:paraId="4E0B8DBD" w14:textId="27BD53AC" w:rsidR="003F5E2A" w:rsidRDefault="007D772D" w:rsidP="00082DF1">
      <w:pPr>
        <w:pStyle w:val="BTBullet1Last"/>
      </w:pPr>
      <w:r w:rsidRPr="00FB17BF">
        <w:rPr>
          <w:b/>
        </w:rPr>
        <w:t>Environmental NGOs and conservation groups</w:t>
      </w:r>
      <w:r>
        <w:t xml:space="preserve"> are increasingly acting as partners on a number of conservation and landscape projects, but often lack the resources to lead larger projects such as those funded under LIFE. Investment in capacity-building programmes and dissemination of best practice could allow them to assum</w:t>
      </w:r>
      <w:r w:rsidR="003F5E2A">
        <w:t>e a stronger role in the future</w:t>
      </w:r>
      <w:r w:rsidR="003B296D">
        <w:t xml:space="preserve"> (e.g. the Anglesey and Llyn Fens LIFE project is provided as a template for financial planning and auditing of similar projects). </w:t>
      </w:r>
      <w:r w:rsidR="003F5E2A">
        <w:t>.</w:t>
      </w:r>
      <w:r w:rsidR="00A80E47">
        <w:t xml:space="preserve"> </w:t>
      </w:r>
      <w:r w:rsidR="00A80E47" w:rsidRPr="006A2979">
        <w:t>D</w:t>
      </w:r>
      <w:r w:rsidR="00A80E47">
        <w:t>iscussion with a range of stakeholders highlighted a growing skills and labour gap relating to the management of Natura 2000. This is manifested in a number of ways, from sub-optimal design of management agreements to insufficient monitoring of some species and habitats. There are key opportunities to link this to charitable and funding resources with a focus on rural skills and employment that could be developed through cooperation with funding partners. The River Restoration NVQ recently developed by NRW through collaboration with the River Trusts and Wildlife Trusts provides a template for this approach</w:t>
      </w:r>
      <w:r w:rsidR="003B296D">
        <w:t xml:space="preserve"> </w:t>
      </w:r>
      <w:r w:rsidR="00A80E47">
        <w:t>- linking education opportunities to specialist conservation skill requirements.</w:t>
      </w:r>
    </w:p>
    <w:p w14:paraId="22F8F1D6" w14:textId="77777777" w:rsidR="007D772D" w:rsidRDefault="007D772D" w:rsidP="007D772D">
      <w:pPr>
        <w:pStyle w:val="Heading3"/>
      </w:pPr>
      <w:r>
        <w:t>Barriers to implementation</w:t>
      </w:r>
    </w:p>
    <w:p w14:paraId="43625B6F" w14:textId="140A4E28" w:rsidR="007D772D" w:rsidRPr="009A7F09" w:rsidRDefault="007D772D" w:rsidP="007D772D">
      <w:pPr>
        <w:pStyle w:val="BTBullet1Last"/>
        <w:rPr>
          <w:b/>
        </w:rPr>
      </w:pPr>
      <w:r w:rsidRPr="002857CF">
        <w:rPr>
          <w:b/>
        </w:rPr>
        <w:t>Timescales for funding</w:t>
      </w:r>
      <w:r>
        <w:rPr>
          <w:b/>
        </w:rPr>
        <w:t xml:space="preserve"> applications. </w:t>
      </w:r>
      <w:r>
        <w:t>Many stakeholders highlight the incongruence of NRW funding allocations with timescales for other core domestic funds – the former are defined on an annual basis only, and typically allocated by April each year. Other funds may have later application deadlines and would typically require longer commitments from project initiators (e</w:t>
      </w:r>
      <w:r w:rsidR="00B362A3">
        <w:t>.</w:t>
      </w:r>
      <w:r>
        <w:t>g. 3-5 years).</w:t>
      </w:r>
    </w:p>
    <w:p w14:paraId="2F5A901C" w14:textId="53591CAB" w:rsidR="007D772D" w:rsidRDefault="007D772D" w:rsidP="007D772D">
      <w:pPr>
        <w:pStyle w:val="BTBullet1Last"/>
        <w:rPr>
          <w:b/>
        </w:rPr>
      </w:pPr>
      <w:r>
        <w:rPr>
          <w:b/>
        </w:rPr>
        <w:t>Lack of capacities</w:t>
      </w:r>
      <w:r>
        <w:t>. Despite strong levels of engagement between the Welsh conservation community and NRW, the capacity of these groups to address technical, managerial and financial aspects of large conservation projects is often seen as limited with regard to Natura 2000. In part this stems from a lack of knowledge transfer, and the relative scarcity of large-scale projects in Welsh Natura 2000 sites</w:t>
      </w:r>
      <w:r w:rsidR="00B362A3">
        <w:t>.</w:t>
      </w:r>
    </w:p>
    <w:p w14:paraId="40575365" w14:textId="64D5432C" w:rsidR="007D772D" w:rsidRPr="002857CF" w:rsidRDefault="007D772D" w:rsidP="007D772D">
      <w:pPr>
        <w:pStyle w:val="BTBullet1Last"/>
        <w:rPr>
          <w:b/>
        </w:rPr>
      </w:pPr>
      <w:r>
        <w:rPr>
          <w:b/>
        </w:rPr>
        <w:t>Lack of coordination</w:t>
      </w:r>
      <w:r>
        <w:t xml:space="preserve">. Landscape-level partnership projects (such as the highly successful LIFE Anglesey </w:t>
      </w:r>
      <w:r w:rsidR="003B296D">
        <w:t xml:space="preserve">and Llyn </w:t>
      </w:r>
      <w:r>
        <w:t>Fens project) are a relatively new approach to meeting the management needs of conservation sites. Success of this projects is however, contingent on effective engagement across the range of affected stakeholders and this often occurs relatively late into the project lifecycle (consultation being a relatively costly and time-consuming element of site management)</w:t>
      </w:r>
      <w:r w:rsidR="00B362A3">
        <w:t>.</w:t>
      </w:r>
      <w:r>
        <w:t xml:space="preserve"> </w:t>
      </w:r>
    </w:p>
    <w:p w14:paraId="71271FA2" w14:textId="77777777" w:rsidR="007D772D" w:rsidRDefault="007D772D" w:rsidP="007D772D">
      <w:pPr>
        <w:pStyle w:val="Heading3"/>
      </w:pPr>
      <w:r>
        <w:t xml:space="preserve">Increasing uptake </w:t>
      </w:r>
    </w:p>
    <w:p w14:paraId="04F570CF" w14:textId="2F8CC2C9" w:rsidR="007D772D" w:rsidRPr="00B42E30" w:rsidRDefault="007D772D" w:rsidP="007D772D">
      <w:pPr>
        <w:pStyle w:val="BTBullet1Last"/>
        <w:rPr>
          <w:b/>
        </w:rPr>
      </w:pPr>
      <w:r w:rsidRPr="00B42E30">
        <w:rPr>
          <w:b/>
        </w:rPr>
        <w:t>Assigning</w:t>
      </w:r>
      <w:r>
        <w:rPr>
          <w:b/>
        </w:rPr>
        <w:t xml:space="preserve"> dedicated project coordinators.</w:t>
      </w:r>
      <w:r>
        <w:t xml:space="preserve"> This has been shown to be a key success factor within the Anglesey</w:t>
      </w:r>
      <w:r w:rsidR="003B296D">
        <w:t xml:space="preserve"> and Llyn</w:t>
      </w:r>
      <w:r>
        <w:t xml:space="preserve"> LIFE project, and several years of projects funded under the Environment Wales Fund (each of which had a long-term coordinator). Assigning a coordinator ‘on the ground’ helps strengthen engagement with local stakeholders and can also strengthen engagement and identification of funding from NGO and research partner</w:t>
      </w:r>
      <w:r w:rsidR="003B296D">
        <w:t xml:space="preserve">s. In </w:t>
      </w:r>
      <w:r>
        <w:t>Anglesey, for example, monitoring of site has been ongoing after the project completion because of the early engagement of a research partner.</w:t>
      </w:r>
    </w:p>
    <w:p w14:paraId="0DEDBA4C" w14:textId="3CE611AB" w:rsidR="007D772D" w:rsidRPr="007D772D" w:rsidRDefault="007D772D" w:rsidP="007D772D">
      <w:pPr>
        <w:pStyle w:val="BTBullet1Last"/>
        <w:rPr>
          <w:b/>
        </w:rPr>
      </w:pPr>
      <w:r>
        <w:rPr>
          <w:b/>
        </w:rPr>
        <w:t xml:space="preserve">Development of a discretionary fund for partnership or match funding. </w:t>
      </w:r>
      <w:r>
        <w:t>Despite increasing pressure on the NRW budget, allocation of funds to identified projects each year may be missing myriad opportunities for partnership funding. The success of the Nature Fund has highlighted the potential of discretionary funding for developing partnerships that can secure other long-term funding arrangements. Such a fund could also be instrumental in providing ‘top-up’ match funding, similar to the WEFO Targeted Match Fund available to Operational Programmes.</w:t>
      </w:r>
    </w:p>
    <w:p w14:paraId="1C838698" w14:textId="7410A064" w:rsidR="007D772D" w:rsidRPr="007D772D" w:rsidRDefault="007D772D" w:rsidP="007D772D">
      <w:pPr>
        <w:pStyle w:val="BTBullet1Last"/>
        <w:rPr>
          <w:b/>
        </w:rPr>
      </w:pPr>
      <w:r w:rsidRPr="007D772D">
        <w:rPr>
          <w:b/>
        </w:rPr>
        <w:t xml:space="preserve">Exchange of best practice and other information. </w:t>
      </w:r>
      <w:r w:rsidRPr="00010452">
        <w:t xml:space="preserve">Despite the substantial knowledge and information resources </w:t>
      </w:r>
      <w:r>
        <w:t>held within NRW, wider dissemination of best practice as well as datasets could strengthen the effectiveness of partnership working. This could include the production of standardised project reporting frameworks. It could also entail the generation of wider, landscape-level data bringing together existing site-level data at larger scales to better understand wider environmental trends- there would be a good congruence here with research and EU funds</w:t>
      </w:r>
    </w:p>
    <w:p w14:paraId="10849254" w14:textId="3BA75D8D" w:rsidR="00265C20" w:rsidRDefault="00265C20" w:rsidP="003F5E2A">
      <w:pPr>
        <w:pStyle w:val="Heading2"/>
      </w:pPr>
      <w:bookmarkStart w:id="254" w:name="_Toc405964056"/>
      <w:bookmarkStart w:id="255" w:name="_Toc407618002"/>
      <w:bookmarkStart w:id="256" w:name="_Toc408094001"/>
      <w:bookmarkStart w:id="257" w:name="_Toc408850998"/>
      <w:bookmarkStart w:id="258" w:name="_Toc421880674"/>
      <w:bookmarkEnd w:id="246"/>
      <w:bookmarkEnd w:id="247"/>
      <w:r>
        <w:t>Alternative funding approaches</w:t>
      </w:r>
      <w:bookmarkEnd w:id="254"/>
      <w:bookmarkEnd w:id="255"/>
      <w:bookmarkEnd w:id="256"/>
      <w:r w:rsidR="00CA1444">
        <w:t>: opportunities, limitations and actions</w:t>
      </w:r>
      <w:bookmarkEnd w:id="257"/>
      <w:bookmarkEnd w:id="258"/>
    </w:p>
    <w:p w14:paraId="227F1E84" w14:textId="77777777" w:rsidR="006A509B" w:rsidRDefault="00265C20" w:rsidP="00265C20">
      <w:pPr>
        <w:pStyle w:val="BodyText"/>
      </w:pPr>
      <w:r>
        <w:t xml:space="preserve">In addition to parallel sectors, there are a range of alternative funding sources emerging which could help address some of the funding gaps for Natura 2000 management. Some of these are more innovative or emerging in nature, whilst others seek to tap charitable and third sector resources in new ways to address emerging needs for the network. </w:t>
      </w:r>
    </w:p>
    <w:p w14:paraId="48EE5796" w14:textId="0EEAA687" w:rsidR="00265C20" w:rsidRDefault="006A509B" w:rsidP="00265C20">
      <w:pPr>
        <w:pStyle w:val="BodyText"/>
      </w:pPr>
      <w:r>
        <w:t>A number of the opportunities that have been identified are market-based approaches. These approaches have the potential to raise fi</w:t>
      </w:r>
      <w:r w:rsidR="006D52BB">
        <w:t>n</w:t>
      </w:r>
      <w:r>
        <w:t>anc</w:t>
      </w:r>
      <w:r w:rsidR="006D52BB">
        <w:t>e</w:t>
      </w:r>
      <w:r>
        <w:t xml:space="preserve"> for undertaking management actions, and/or incorporate the required management as part of implementing the particular approach.</w:t>
      </w:r>
    </w:p>
    <w:p w14:paraId="1B9D54A6" w14:textId="616FF26E" w:rsidR="00265C20" w:rsidRDefault="00265C20" w:rsidP="0005425D">
      <w:pPr>
        <w:pStyle w:val="Heading3"/>
      </w:pPr>
      <w:r>
        <w:t xml:space="preserve">Opportunities </w:t>
      </w:r>
    </w:p>
    <w:p w14:paraId="7DC5348D" w14:textId="4E8A2270" w:rsidR="00265C20" w:rsidRDefault="00265C20" w:rsidP="0005425D">
      <w:pPr>
        <w:pStyle w:val="BTBullet1Last"/>
      </w:pPr>
      <w:r w:rsidRPr="00265C20">
        <w:rPr>
          <w:b/>
        </w:rPr>
        <w:t>Payments for Ecosystem Services</w:t>
      </w:r>
      <w:r>
        <w:t xml:space="preserve"> (PES) – there are a growing number of PES schemes across the UK</w:t>
      </w:r>
      <w:r w:rsidR="006D52BB">
        <w:t>.</w:t>
      </w:r>
      <w:r>
        <w:t xml:space="preserve"> </w:t>
      </w:r>
      <w:r w:rsidR="006D52BB">
        <w:t>H</w:t>
      </w:r>
      <w:r>
        <w:t>owever</w:t>
      </w:r>
      <w:r w:rsidR="006D52BB">
        <w:t>,</w:t>
      </w:r>
      <w:r>
        <w:t xml:space="preserve"> use of the approach in Wales is limited outside of publicly funded agri-environment schemes.</w:t>
      </w:r>
      <w:r w:rsidR="00BD2D57">
        <w:t xml:space="preserve"> There is a growing number of pilot projects across the UK and potentially some forthcoming in Wales and </w:t>
      </w:r>
      <w:r w:rsidR="0005425D">
        <w:t>significant emphasis being placed on the potential of PES in the broader conservation and environmental management arena which should help to drive forward opportunities for implementation. Given the high proportion of Natura land that is privately held, PES offers market incentives for land manager</w:t>
      </w:r>
      <w:r w:rsidR="006D52BB">
        <w:t>s</w:t>
      </w:r>
      <w:r w:rsidR="0005425D">
        <w:t xml:space="preserve"> and owners to engage in beneficial management on Natura 2000 sites. Whilst there is clear scope in agriculture, there is scope across a broad number of land-use types, most notably where property rights are well defined and ecosystem services can be clearly identified and changes monitored, and for development PES schemes at a landscape scale.</w:t>
      </w:r>
      <w:r w:rsidR="006A509B">
        <w:t xml:space="preserve"> PES schemes can incorporate a number of important ongoing management action</w:t>
      </w:r>
      <w:r w:rsidR="006D52BB">
        <w:t>s</w:t>
      </w:r>
      <w:r w:rsidR="006A509B">
        <w:t>.</w:t>
      </w:r>
    </w:p>
    <w:p w14:paraId="117DF3AC" w14:textId="45BC228A" w:rsidR="00265C20" w:rsidRPr="00265C20" w:rsidRDefault="00265C20" w:rsidP="0005425D">
      <w:pPr>
        <w:pStyle w:val="BTBullet1Last"/>
        <w:rPr>
          <w:b/>
        </w:rPr>
      </w:pPr>
      <w:r w:rsidRPr="00265C20">
        <w:rPr>
          <w:b/>
        </w:rPr>
        <w:t>Marketed products</w:t>
      </w:r>
      <w:r w:rsidR="0005425D">
        <w:t xml:space="preserve"> - </w:t>
      </w:r>
      <w:r w:rsidR="006A509B" w:rsidRPr="009D2DBC">
        <w:t>Goods and services certified as having minimal or positive impacts on biodiversity may command premium prices and present a range of growth opportunities</w:t>
      </w:r>
      <w:r w:rsidR="006A509B">
        <w:t>. There are a number of examples across Wales of such practices, notably in agri</w:t>
      </w:r>
      <w:r w:rsidR="006D52BB">
        <w:t>-</w:t>
      </w:r>
      <w:r w:rsidR="006A509B">
        <w:t xml:space="preserve">food markets. </w:t>
      </w:r>
      <w:r w:rsidR="00B32D2F">
        <w:t xml:space="preserve">However </w:t>
      </w:r>
      <w:r w:rsidR="006A509B">
        <w:t xml:space="preserve">they </w:t>
      </w:r>
      <w:r w:rsidR="00B32D2F">
        <w:t xml:space="preserve">potentially </w:t>
      </w:r>
      <w:r w:rsidR="006A509B">
        <w:t>have a relatively narrow focus regarding management actions, focussing on actual conservation management measures</w:t>
      </w:r>
      <w:r w:rsidR="00B32D2F">
        <w:t xml:space="preserve"> required for the product to meet the certification standards</w:t>
      </w:r>
      <w:r w:rsidR="006A509B">
        <w:t xml:space="preserve">, </w:t>
      </w:r>
      <w:r w:rsidR="00B32D2F">
        <w:t>which may not be sufficient for the Natura 2000 management needs</w:t>
      </w:r>
      <w:r w:rsidR="006A509B">
        <w:t xml:space="preserve">. </w:t>
      </w:r>
      <w:r w:rsidR="00B32D2F">
        <w:t>D</w:t>
      </w:r>
      <w:r w:rsidR="006A509B">
        <w:t>eveloping marketed products is well suited to addressing grazing issues on agricultural land, w</w:t>
      </w:r>
      <w:r w:rsidR="00573305">
        <w:t>hich is one of the major conservation issues for Natura 2000.</w:t>
      </w:r>
      <w:r w:rsidR="008001BA">
        <w:t xml:space="preserve"> There may be particular opportunities within</w:t>
      </w:r>
      <w:r w:rsidR="0039029D">
        <w:t xml:space="preserve"> marine management relating to sustainable fisheries products. Notably, many prominent supermarket chains such as Waitrose only stock</w:t>
      </w:r>
      <w:r w:rsidR="00B32D2F">
        <w:t xml:space="preserve"> independently certified seafood products, which for some species is a </w:t>
      </w:r>
      <w:r w:rsidR="0039029D">
        <w:t xml:space="preserve">Marine Stewardship Council </w:t>
      </w:r>
      <w:r w:rsidR="00B32D2F">
        <w:t>certification.</w:t>
      </w:r>
    </w:p>
    <w:p w14:paraId="31F1001C" w14:textId="5D85DAC7" w:rsidR="00265C20" w:rsidRDefault="00265C20" w:rsidP="00265C20">
      <w:pPr>
        <w:pStyle w:val="BTBullet1Last"/>
      </w:pPr>
      <w:r w:rsidRPr="00265C20">
        <w:rPr>
          <w:b/>
        </w:rPr>
        <w:t>Compensation of ecological impacts</w:t>
      </w:r>
      <w:r>
        <w:t xml:space="preserve"> from development is fast emerging as a possible source of substantial private sector funding for targeted conservation management. Compensation for </w:t>
      </w:r>
      <w:r w:rsidR="006D52BB">
        <w:t xml:space="preserve">unavoidable </w:t>
      </w:r>
      <w:r>
        <w:t xml:space="preserve">development impacts on Natura 2000 is </w:t>
      </w:r>
      <w:r w:rsidR="006D52BB">
        <w:t>required</w:t>
      </w:r>
      <w:r w:rsidR="00EE77C4">
        <w:t xml:space="preserve"> </w:t>
      </w:r>
      <w:r>
        <w:t xml:space="preserve">by Article 6.4 of the Habitats Directive, which sets clear criteria for provision of compensation measures, but for more general impacts on biodiversity Natura 2000 sites provide a focal point for investment in ecological networks at </w:t>
      </w:r>
      <w:r w:rsidR="00B65F27">
        <w:t>a landscape scale</w:t>
      </w:r>
      <w:r>
        <w:t xml:space="preserve">. A key example of this is </w:t>
      </w:r>
      <w:r w:rsidR="003B296D">
        <w:t xml:space="preserve">the </w:t>
      </w:r>
      <w:r>
        <w:t>work on integrating development levies into the Carmarthenshire Local Development Plan</w:t>
      </w:r>
      <w:r w:rsidR="003B296D">
        <w:t>. F</w:t>
      </w:r>
      <w:r>
        <w:t>unds are allocated directly to management of local SAC marshland at a</w:t>
      </w:r>
      <w:r w:rsidR="00B65F27">
        <w:t xml:space="preserve"> wider ecosystem level</w:t>
      </w:r>
      <w:r>
        <w:t xml:space="preserve">, providing additional funds for conservation management and wider benefits for biodiversity at the landscape scale. </w:t>
      </w:r>
      <w:r w:rsidR="008B010B">
        <w:t>It is suggested that this approach could be easily replicated within other local authorities, providing valuable funds for conservation.</w:t>
      </w:r>
    </w:p>
    <w:p w14:paraId="059E1275" w14:textId="77777777" w:rsidR="00265C20" w:rsidRDefault="00265C20" w:rsidP="00265C20">
      <w:pPr>
        <w:pStyle w:val="BTBullet1Last"/>
      </w:pPr>
      <w:r w:rsidRPr="00265C20">
        <w:rPr>
          <w:b/>
        </w:rPr>
        <w:t>Nutrient offsetting</w:t>
      </w:r>
      <w:r>
        <w:t xml:space="preserve"> approaches (such as the pilot recently financed under the Nature Fund in Pembrokeshire) offer a more targeted approach to protection of coastal and marine Natura 2000 sites. Whilst this pilot has been developed with a view to future support under the RDP or Water Framework Directive grants, there are other examples of the private sector engaging in similar approaches, such as First Milk’s recent investment in management agreements with landowners to offset nutrient impacts from a new production site in </w:t>
      </w:r>
      <w:r w:rsidRPr="009A7F3B">
        <w:t>Haverfordwest</w:t>
      </w:r>
      <w:r>
        <w:t xml:space="preserve">. </w:t>
      </w:r>
    </w:p>
    <w:p w14:paraId="1C36D5A4" w14:textId="654BB682" w:rsidR="00265C20" w:rsidRDefault="00265C20" w:rsidP="00265C20">
      <w:pPr>
        <w:pStyle w:val="BTBullet1Last"/>
      </w:pPr>
      <w:r w:rsidRPr="00265C20">
        <w:rPr>
          <w:b/>
        </w:rPr>
        <w:t>Visitor payback schemes</w:t>
      </w:r>
      <w:r>
        <w:t xml:space="preserve"> to secure funding for routine management elements of sites. Organisations such as the National Parks have experience of developing these schemes and can point to examples of best practice relevant to Wales. This could provide an important source of support for access and visitor information infrastructure, which often lack ongoing funds for maintenance and management. </w:t>
      </w:r>
      <w:r w:rsidR="00B65F27">
        <w:t>Monies can also be channelled into habitat or species management, or almost any conservation activity.</w:t>
      </w:r>
    </w:p>
    <w:p w14:paraId="7EAEC4D3" w14:textId="13BC4545" w:rsidR="00265C20" w:rsidRDefault="00265C20" w:rsidP="003F5E2A">
      <w:pPr>
        <w:pStyle w:val="Heading3"/>
      </w:pPr>
      <w:r>
        <w:t xml:space="preserve">Barriers </w:t>
      </w:r>
      <w:r w:rsidR="003F5E2A">
        <w:t>to implementation</w:t>
      </w:r>
    </w:p>
    <w:p w14:paraId="11C1C11A" w14:textId="77777777" w:rsidR="00265C20" w:rsidRDefault="00265C20" w:rsidP="003F5E2A">
      <w:pPr>
        <w:pStyle w:val="BodyText"/>
      </w:pPr>
      <w:r>
        <w:t>Common barriers to development and implementation of market-based approaches include:</w:t>
      </w:r>
    </w:p>
    <w:p w14:paraId="2B88C2DA" w14:textId="77777777" w:rsidR="00573305" w:rsidRDefault="00573305">
      <w:pPr>
        <w:pStyle w:val="BTBullet1Last"/>
      </w:pPr>
      <w:r>
        <w:t>Relatively small-scale / niche and undeveloped markets will limit the scale of funding or of management actions that can be expected to be realistically delivered over the short term.</w:t>
      </w:r>
    </w:p>
    <w:p w14:paraId="5119AC08" w14:textId="5E1B0A1A" w:rsidR="00265C20" w:rsidRDefault="00573305">
      <w:pPr>
        <w:pStyle w:val="BTBullet1Last"/>
      </w:pPr>
      <w:r>
        <w:t>Site characteristics, including land-use, conservation issues, and the role and nature of different actors are all critical and the scope of application is generally limited to where such characteristics are well aligned with those required by the approach.</w:t>
      </w:r>
    </w:p>
    <w:p w14:paraId="4E5F6CBF" w14:textId="4820B4C5" w:rsidR="00573305" w:rsidRDefault="00573305">
      <w:pPr>
        <w:pStyle w:val="BTBullet1Last"/>
      </w:pPr>
      <w:r>
        <w:t>Where market-based approaches are successful they hold the potential to be sustainable over the long-term with limited public sector support. However they are vulnerable to economic cycles and market forces. For a number of market-based approaches, contracts that bind the parties to particular actions are required and where these are for relatively short term periods there will be risks over the potential for ongoing management beyond each individual contract period.</w:t>
      </w:r>
    </w:p>
    <w:p w14:paraId="160BBF60" w14:textId="69F067DC" w:rsidR="00B65F27" w:rsidRDefault="00B65F27" w:rsidP="00B65F27">
      <w:pPr>
        <w:pStyle w:val="BTBullet1Last"/>
      </w:pPr>
      <w:r>
        <w:t xml:space="preserve">Issues surrounding the effectiveness of market mechanisms- many potential markets may be crowded out by existing public funding and provision of services ‘for free’, whilst for schemes such as Payments for Ecosystem Services there are inherent opportunities for individuals or groups to ‘free ride’ on the benefits paid for by others. </w:t>
      </w:r>
    </w:p>
    <w:p w14:paraId="5F988DE1" w14:textId="58E9EFB5" w:rsidR="00573305" w:rsidRDefault="00573305" w:rsidP="003F5E2A">
      <w:pPr>
        <w:pStyle w:val="BTBullet1Last"/>
      </w:pPr>
      <w:r>
        <w:t>If a critical mass cannot be generated – either relating to scheme size, market size or number of actors/participants – the transaction costs associate</w:t>
      </w:r>
      <w:r w:rsidR="006D52BB">
        <w:t>d</w:t>
      </w:r>
      <w:r>
        <w:t xml:space="preserve"> with implementation and operation of a market-based approach may be prohibitively high</w:t>
      </w:r>
      <w:r w:rsidR="003F5E2A">
        <w:t>.</w:t>
      </w:r>
      <w:r w:rsidR="006D52BB">
        <w:t xml:space="preserve">  Even in schemes with appropriate critical mass, the up-front costs of developing transactions and funding mechanisms may be a significant barrier to action.</w:t>
      </w:r>
    </w:p>
    <w:p w14:paraId="60E9817A" w14:textId="0639938B" w:rsidR="00265C20" w:rsidRDefault="00265C20" w:rsidP="003F5E2A">
      <w:pPr>
        <w:pStyle w:val="Heading3"/>
      </w:pPr>
      <w:r>
        <w:t xml:space="preserve">Increasing uptake </w:t>
      </w:r>
    </w:p>
    <w:p w14:paraId="470BBD38" w14:textId="6A521E0C" w:rsidR="001E3574" w:rsidRDefault="001E3574" w:rsidP="003F5E2A">
      <w:pPr>
        <w:pStyle w:val="BTBullet1Last"/>
      </w:pPr>
      <w:r>
        <w:t xml:space="preserve">Continued effort on ecosystem service science and understanding </w:t>
      </w:r>
      <w:r w:rsidR="002B359F">
        <w:t>will</w:t>
      </w:r>
      <w:r>
        <w:t xml:space="preserve"> improve certainty around identification and measurement, </w:t>
      </w:r>
      <w:r w:rsidR="002B359F">
        <w:t>and help to prove the concept of market based approaches;</w:t>
      </w:r>
    </w:p>
    <w:p w14:paraId="10A871C4" w14:textId="6B579364" w:rsidR="001E3574" w:rsidRDefault="001E3574" w:rsidP="003F5E2A">
      <w:pPr>
        <w:pStyle w:val="BTBullet1Last"/>
        <w:rPr>
          <w:szCs w:val="20"/>
        </w:rPr>
      </w:pPr>
      <w:r>
        <w:rPr>
          <w:szCs w:val="20"/>
        </w:rPr>
        <w:t xml:space="preserve">Development of institutions and frameworks </w:t>
      </w:r>
      <w:r w:rsidR="002B359F">
        <w:rPr>
          <w:szCs w:val="20"/>
        </w:rPr>
        <w:t>will help to</w:t>
      </w:r>
      <w:r>
        <w:rPr>
          <w:szCs w:val="20"/>
        </w:rPr>
        <w:t xml:space="preserve"> facilitate market development</w:t>
      </w:r>
      <w:r w:rsidR="002B359F">
        <w:rPr>
          <w:szCs w:val="20"/>
        </w:rPr>
        <w:t>;</w:t>
      </w:r>
      <w:r>
        <w:rPr>
          <w:szCs w:val="20"/>
        </w:rPr>
        <w:t xml:space="preserve"> </w:t>
      </w:r>
    </w:p>
    <w:p w14:paraId="29211531" w14:textId="19BE45C9" w:rsidR="001E3574" w:rsidRDefault="001E3574" w:rsidP="003F5E2A">
      <w:pPr>
        <w:pStyle w:val="BTBullet1Last"/>
      </w:pPr>
      <w:r>
        <w:t xml:space="preserve">Technical assistance </w:t>
      </w:r>
      <w:r w:rsidR="002B359F">
        <w:t>will help to</w:t>
      </w:r>
      <w:r>
        <w:t xml:space="preserve"> support identification of opportunities and proof of concept / pilot projects, legal and business services</w:t>
      </w:r>
      <w:r w:rsidR="002B359F">
        <w:t>;</w:t>
      </w:r>
    </w:p>
    <w:p w14:paraId="7919059A" w14:textId="0317A3CF" w:rsidR="00265C20" w:rsidRPr="00265C20" w:rsidRDefault="001E3574">
      <w:pPr>
        <w:pStyle w:val="BTBullet1Last"/>
      </w:pPr>
      <w:r>
        <w:t xml:space="preserve">Facilitating access to other funding sources </w:t>
      </w:r>
      <w:r w:rsidR="002B359F">
        <w:t xml:space="preserve">will </w:t>
      </w:r>
      <w:r>
        <w:t>aid start-up costs. A number of opport</w:t>
      </w:r>
      <w:r w:rsidR="003B03FE">
        <w:t>unities exist</w:t>
      </w:r>
      <w:r>
        <w:t xml:space="preserve"> to utilise EU funds for this means, notably LIFE </w:t>
      </w:r>
      <w:r w:rsidR="002B359F">
        <w:t xml:space="preserve">(including the new Natural Capital Financing Facility) </w:t>
      </w:r>
      <w:r>
        <w:t>and EAFRD (RDP)</w:t>
      </w:r>
      <w:r w:rsidR="002B359F">
        <w:t>.  Using time-limited funding may help to prove the concept and establish schemes which are sustainable in the longer term.</w:t>
      </w:r>
    </w:p>
    <w:p w14:paraId="625F5B69" w14:textId="03BBE496" w:rsidR="002B2F02" w:rsidRPr="002B2F02" w:rsidRDefault="002B2F02" w:rsidP="002B2F02">
      <w:pPr>
        <w:pStyle w:val="BodyText"/>
      </w:pPr>
      <w:r>
        <w:t xml:space="preserve"> </w:t>
      </w:r>
    </w:p>
    <w:p w14:paraId="057EAD76" w14:textId="77777777" w:rsidR="00CA5B8E" w:rsidRPr="0040788F" w:rsidRDefault="00CA5B8E" w:rsidP="001D2748">
      <w:pPr>
        <w:pStyle w:val="Heading1"/>
      </w:pPr>
      <w:bookmarkStart w:id="259" w:name="_Toc407618013"/>
      <w:bookmarkStart w:id="260" w:name="_Toc408094006"/>
      <w:bookmarkStart w:id="261" w:name="_Toc408850999"/>
      <w:bookmarkStart w:id="262" w:name="_Toc421880675"/>
      <w:bookmarkEnd w:id="220"/>
      <w:bookmarkEnd w:id="221"/>
      <w:r w:rsidRPr="0040788F">
        <w:t>Conclusions</w:t>
      </w:r>
      <w:bookmarkEnd w:id="259"/>
      <w:bookmarkEnd w:id="260"/>
      <w:bookmarkEnd w:id="261"/>
      <w:bookmarkEnd w:id="262"/>
    </w:p>
    <w:p w14:paraId="05A07CE4" w14:textId="77777777" w:rsidR="0040788F" w:rsidRDefault="0040788F" w:rsidP="0040788F">
      <w:pPr>
        <w:pStyle w:val="Heading2"/>
        <w:rPr>
          <w:szCs w:val="24"/>
        </w:rPr>
      </w:pPr>
      <w:bookmarkStart w:id="263" w:name="_Toc421880676"/>
      <w:r>
        <w:t>Diversification of funding</w:t>
      </w:r>
      <w:bookmarkEnd w:id="263"/>
    </w:p>
    <w:p w14:paraId="78E3FC22" w14:textId="77777777" w:rsidR="0040788F" w:rsidRDefault="0040788F" w:rsidP="0040788F">
      <w:pPr>
        <w:pStyle w:val="BodyText"/>
      </w:pPr>
      <w:r>
        <w:t>Wales has 20 Special Protection Areas (SPAs) and 92 Special Areas of Conservation (SACs), which together span more than 700,000 hectares, comprising 8.5% of the Welsh land area and 35% of territorial waters. The network therefore comprises a significant portion of Wales’ territory. However, as in the EU as a whole, much of the network is in unfavourable conservation status, and great efforts are needed for restoration and management activities</w:t>
      </w:r>
    </w:p>
    <w:p w14:paraId="5D4CA53A" w14:textId="77777777" w:rsidR="0040788F" w:rsidRDefault="0040788F" w:rsidP="0040788F">
      <w:pPr>
        <w:pStyle w:val="BodyText"/>
      </w:pPr>
      <w:r>
        <w:t>Such wide-spread restoration and management activity present a high demand for finance. The revised Wales Prioritised Action Framework (PAF) highlights recurrent annual costs of around £13.8m/yr and one-off costs of £3.1m for the network as a whole (Welsh Government, 2014).</w:t>
      </w:r>
    </w:p>
    <w:p w14:paraId="606B8C18" w14:textId="77777777" w:rsidR="0040788F" w:rsidRDefault="0040788F" w:rsidP="0040788F">
      <w:pPr>
        <w:pStyle w:val="BodyText"/>
      </w:pPr>
      <w:r>
        <w:t xml:space="preserve">Currently, NRW is the principal provider of funding for Natura 2000, which it provides through its operational and programme level budgets. NRW has a significant focus on biodiversity conservation and a responsibility to deliver the Natura 2000 statutory obligations for Wales on behalf of the Welsh government. Funding can be used flexibly for a variety of conservation actions, importantly including those actions often difficult to fund through other means, such as employment of staff responsible for overseeing the management of the network. </w:t>
      </w:r>
    </w:p>
    <w:p w14:paraId="18EA4F62" w14:textId="77777777" w:rsidR="0040788F" w:rsidRDefault="0040788F" w:rsidP="0040788F">
      <w:pPr>
        <w:pStyle w:val="BodyText"/>
      </w:pPr>
      <w:r>
        <w:t>However the NRW budget is expected to face ongoing cuts in future years and this will place increasing pressure on less routine aspects of Natura 2000 management. Indeed there are already considered insufficient funds to undertake many necessary management actions or even, in some cases, routine monitoring and investigation activities.</w:t>
      </w:r>
    </w:p>
    <w:p w14:paraId="6FF43432" w14:textId="77777777" w:rsidR="0040788F" w:rsidRDefault="0040788F" w:rsidP="0040788F">
      <w:pPr>
        <w:pStyle w:val="BodyText"/>
      </w:pPr>
      <w:r>
        <w:t>As such, it is of paramount importance that emphasis is placed on diversifying the Natura 2000 funding base, and making better use of those funding source with the greatest potential for delivering the necessary cash-flow over both the short and longer terms.</w:t>
      </w:r>
    </w:p>
    <w:p w14:paraId="06835AF4" w14:textId="77777777" w:rsidR="0040788F" w:rsidRDefault="0040788F" w:rsidP="0040788F">
      <w:pPr>
        <w:pStyle w:val="BodyText"/>
      </w:pPr>
      <w:r>
        <w:t xml:space="preserve">There are a broad range of funding sources available. Any given management action can be delivered and funded in multiple ways. Indeed, even the more specific mechanisms through which management is delivered can potentially utilise a diversity of funding sources. </w:t>
      </w:r>
    </w:p>
    <w:p w14:paraId="7844EE9F" w14:textId="77777777" w:rsidR="0040788F" w:rsidRDefault="0040788F" w:rsidP="0040788F">
      <w:pPr>
        <w:pStyle w:val="Heading2"/>
      </w:pPr>
      <w:bookmarkStart w:id="264" w:name="_Toc421880677"/>
      <w:r>
        <w:t>Barriers to accessing funds for Natura 2000</w:t>
      </w:r>
      <w:bookmarkEnd w:id="264"/>
    </w:p>
    <w:p w14:paraId="07833B82" w14:textId="77777777" w:rsidR="0040788F" w:rsidRDefault="0040788F" w:rsidP="0040788F">
      <w:pPr>
        <w:pStyle w:val="BodyText"/>
      </w:pPr>
      <w:r>
        <w:t xml:space="preserve">However, whilst there are broad number of relevant funding sources, there are a number of barriers that can limit the scale of funds won for Natura 2000 purposes. </w:t>
      </w:r>
    </w:p>
    <w:p w14:paraId="508E9383" w14:textId="77777777" w:rsidR="0040788F" w:rsidRDefault="0040788F" w:rsidP="0040788F">
      <w:pPr>
        <w:pStyle w:val="BodyText"/>
      </w:pPr>
      <w:r>
        <w:t>Competition (including for match-funding) is a fundamental barrier. The funding needs of Natura 2000 are just one of a number of competing needs. Even for NRW funding, even when it is focussed on biodiversity, there is competition e.g. from the SSSI network</w:t>
      </w:r>
    </w:p>
    <w:p w14:paraId="08BDE5A8" w14:textId="77777777" w:rsidR="0040788F" w:rsidRDefault="0040788F" w:rsidP="0040788F">
      <w:pPr>
        <w:pStyle w:val="BodyText"/>
      </w:pPr>
      <w:r>
        <w:t xml:space="preserve">Awareness of opportunities: Many potential applicants are unaware of the range of funding priorities and options contained within major funds, or even the existence of certain funds. </w:t>
      </w:r>
    </w:p>
    <w:p w14:paraId="78200212" w14:textId="77777777" w:rsidR="0040788F" w:rsidRDefault="0040788F" w:rsidP="0040788F">
      <w:pPr>
        <w:pStyle w:val="BodyText"/>
        <w:rPr>
          <w:b/>
        </w:rPr>
      </w:pPr>
      <w:r>
        <w:t>Skills and resource capacity is reportedly the largest barrier to uptake of EU funds in particular. Proposal development and applications are time-consuming, resource and data-dependent, and even larger organisations appear to struggle with meeting the requirements of proposals. This acts as a significant barrier to pursuing available funds.</w:t>
      </w:r>
    </w:p>
    <w:p w14:paraId="7EFC5489" w14:textId="77777777" w:rsidR="0040788F" w:rsidRDefault="0040788F" w:rsidP="0040788F">
      <w:pPr>
        <w:pStyle w:val="Heading2"/>
      </w:pPr>
      <w:bookmarkStart w:id="265" w:name="_Toc421880678"/>
      <w:r>
        <w:t>Opportunities and actions to enhance uptake</w:t>
      </w:r>
      <w:bookmarkEnd w:id="265"/>
    </w:p>
    <w:p w14:paraId="31441078" w14:textId="77777777" w:rsidR="0040788F" w:rsidRDefault="0040788F" w:rsidP="0040788F">
      <w:pPr>
        <w:pStyle w:val="BodyText"/>
      </w:pPr>
      <w:r>
        <w:t xml:space="preserve">Despite the potential barriers, of 23 individual funding sources reviewed, 15 were considered to have a low level of current usage and only five were considered to have limited scope to increase or enhance their use. </w:t>
      </w:r>
    </w:p>
    <w:p w14:paraId="1B389972" w14:textId="77777777" w:rsidR="0040788F" w:rsidRDefault="0040788F" w:rsidP="0040788F">
      <w:pPr>
        <w:pStyle w:val="BodyText"/>
      </w:pPr>
      <w:r>
        <w:t>Developing and drawing on a broader range of available funding sources, also provides an opportunity to enhance the use of NRW funds. A structured funding prioritisation framework (linked to the PAF) could help maximise the impact of NRW funds for Natura 2000 sites, channelling them to those where opportunity to capture funding from other sources is more limited (e.g. staff costs) or to where activity would be most beneficial.</w:t>
      </w:r>
    </w:p>
    <w:p w14:paraId="656379B0" w14:textId="77777777" w:rsidR="0040788F" w:rsidRDefault="0040788F" w:rsidP="0040788F">
      <w:pPr>
        <w:pStyle w:val="Heading3"/>
      </w:pPr>
      <w:r>
        <w:t>EU funds</w:t>
      </w:r>
    </w:p>
    <w:p w14:paraId="34403585" w14:textId="77777777" w:rsidR="0040788F" w:rsidRDefault="0040788F" w:rsidP="0040788F">
      <w:pPr>
        <w:pStyle w:val="BodyText"/>
      </w:pPr>
      <w:r>
        <w:t xml:space="preserve">EU funds present one of the largest opportunity in terms of the money available. Wales benefits from substantial investment from a range of EU funding sources. In 2007-2013, these amounted to £1.9bn of grants and match-funding, spurring a total investment of £3.7bn and substantial private sector activity and job creation. </w:t>
      </w:r>
    </w:p>
    <w:p w14:paraId="1E520E54" w14:textId="77777777" w:rsidR="0040788F" w:rsidRDefault="0040788F" w:rsidP="0040788F">
      <w:pPr>
        <w:pStyle w:val="BodyText"/>
      </w:pPr>
      <w:r>
        <w:t>Evaluation of EU Structural Funds in the 2007-2013 period indicates that investments in environmental projects or research and innovation activities linked to the green economy generated better returns on investment than direct investments in skills and training programmes. In spite of this, use of EU funds in areas linked to Natura 2000 management and conservation activities in general is scarce in Wales, in part because of the substantial technical and resource requirements necessary to prepare and manage projects supported by these funds.</w:t>
      </w:r>
    </w:p>
    <w:p w14:paraId="4CFC6C47" w14:textId="77777777" w:rsidR="0040788F" w:rsidRDefault="0040788F" w:rsidP="0040788F">
      <w:pPr>
        <w:pStyle w:val="BodyText"/>
      </w:pPr>
      <w:r>
        <w:t>For many of the EU funds (notably EAFRD and EMFF) there has been a notable increase in the number of Articles directly and indirectly allowing integration of Natura 2000 needs under the 2014-2020 funding period. This may aid the relative standing of Natura 2000 related funding applications and presents an opportunity to increase use of EU funds.</w:t>
      </w:r>
    </w:p>
    <w:p w14:paraId="0AD2CFBD" w14:textId="77777777" w:rsidR="0040788F" w:rsidRDefault="0040788F" w:rsidP="0040788F">
      <w:pPr>
        <w:pStyle w:val="BodyText"/>
        <w:rPr>
          <w:lang w:val="en"/>
        </w:rPr>
      </w:pPr>
      <w:r>
        <w:t xml:space="preserve">Another significant opportunity is through revisions to Glastir under the RDP (EAFRD). The scale of the funding available to area-based measures (including agri-environment schemes), together with the fact that the majority of  terrestrial Natura 2000 sites in Wales are on private farmland , suggests that the EAFRD/RDP has substantial potential to fund Natura 2000 management needs. Ongoing Natura 2000 management and monitoring funding needs for agricultural and forest landuses are estimated at £10.5m/yr within the 2013 PAF, which compares to an annualised figure of available RDP funds under area-based measures of £114m. Figures from 2012 demonstrate that actual RDP expenditure amounted to a small fraction of that forecast, although figures for 2014 showed a significant increase. </w:t>
      </w:r>
      <w:r>
        <w:rPr>
          <w:lang w:val="en"/>
        </w:rPr>
        <w:t xml:space="preserve">A number of significant revisions are proposed for Glastir under the 2014-2020 RDP, which should foster significant increases in uptake, and therefore expenditure through Glastir, and improved effectiveness of expenditure. </w:t>
      </w:r>
    </w:p>
    <w:p w14:paraId="4D0B2996" w14:textId="77777777" w:rsidR="001D26FF" w:rsidRDefault="001D26FF" w:rsidP="001D26FF">
      <w:pPr>
        <w:pStyle w:val="BodyText"/>
        <w:rPr>
          <w:lang w:val="en"/>
        </w:rPr>
      </w:pPr>
      <w:r>
        <w:rPr>
          <w:lang w:val="en"/>
        </w:rPr>
        <w:t>At a strategic programming level, how EU funds are spent in Wales is determined in Operational Programmes (OPs) (and the Rural Development Plan for the EAFRD). These set out, within the EU-generated parameters, the spending priorities for the funding period. However, OPs for the current EU funding period (2014 to 2020) place limited emphasis on Natura 2000. Opportunities in future funding programmes would be enhanced by a comprehensive picture of the conservation issues and management needs for Natura 2000 sites, along with a clear understanding of how they relate to particular aspects of each fund. This would provide an organised and evidenced approach to influencing the OP design and help to secure greater emphasis on Natura 2000, and hence open up a larger window for successful Natura 2000-related projects to receive funding.</w:t>
      </w:r>
    </w:p>
    <w:p w14:paraId="2556ECD1" w14:textId="44A9F72C" w:rsidR="0040788F" w:rsidRDefault="001D26FF" w:rsidP="0040788F">
      <w:pPr>
        <w:pStyle w:val="BodyText"/>
      </w:pPr>
      <w:r>
        <w:t>A</w:t>
      </w:r>
      <w:r w:rsidR="0040788F">
        <w:t xml:space="preserve"> number of actions which could be taken to try to promote and enhance</w:t>
      </w:r>
      <w:r>
        <w:t xml:space="preserve"> the</w:t>
      </w:r>
      <w:r w:rsidR="0040788F">
        <w:t xml:space="preserve"> success of Wales Natura 2000 linked bids to competitive funds (EU and non-EU). These include:</w:t>
      </w:r>
    </w:p>
    <w:p w14:paraId="12C7D795" w14:textId="0F97C4E8" w:rsidR="0040788F" w:rsidRDefault="0040788F" w:rsidP="0040788F">
      <w:pPr>
        <w:pStyle w:val="BTBullet1Last"/>
        <w:rPr>
          <w:b/>
        </w:rPr>
      </w:pPr>
      <w:r>
        <w:rPr>
          <w:b/>
        </w:rPr>
        <w:t xml:space="preserve">Wider dissemination of best practice. </w:t>
      </w:r>
      <w:r>
        <w:t xml:space="preserve">Evidence suggests that a lack of data and information relating to previous funding applications results in substantial duplication of effort or, more often, the decision not to proceed. For many funds (particularly LIFE and EMFF) experience of applications to Natura 2000 management is limited or non-existent in Wales. Better access to examples of best practice in Wales would be useful (such as the LIFE Anglesey Fens project, which is being used to demonstrate best practice for financial auditing and reporting of projects) and examples from elsewhere in the UK </w:t>
      </w:r>
      <w:r w:rsidR="001D26FF">
        <w:t>c</w:t>
      </w:r>
      <w:r>
        <w:t>ould also be drawn up, given the relative scarcity of case studies for some funds in Wales.</w:t>
      </w:r>
      <w:r>
        <w:rPr>
          <w:b/>
        </w:rPr>
        <w:t xml:space="preserve"> </w:t>
      </w:r>
      <w:r>
        <w:t>Wider use of the BetaEurope support service can underpin establishment of best practice.</w:t>
      </w:r>
      <w:r>
        <w:rPr>
          <w:b/>
        </w:rPr>
        <w:t xml:space="preserve"> </w:t>
      </w:r>
    </w:p>
    <w:p w14:paraId="54D3F06C" w14:textId="0AFC363D" w:rsidR="001D26FF" w:rsidRDefault="001D26FF" w:rsidP="001D26FF">
      <w:pPr>
        <w:pStyle w:val="BTBullet1Last"/>
        <w:rPr>
          <w:b/>
        </w:rPr>
      </w:pPr>
      <w:r>
        <w:rPr>
          <w:b/>
        </w:rPr>
        <w:t xml:space="preserve">Further development of discretionary funds to support funding applications. </w:t>
      </w:r>
      <w:r>
        <w:t>Development of funding applications requires substantial upfront investments in coordination, evidence gathering and partnership development, and a key issue is the alignment of NRW annual funds with timeframes for EU funds and other funding sources. This can create problems for the identification of match funding in practice. Extension of the WEFO Targeted Match Fund could support applications for Structural Funds but there is a need for support to early costs of bid development. The SCoRE Cymru Fund (which currently supports the formation of academic bid partnerships in connection with H2020 Research and Innovation Funding) could be meaningfully extended to other partners to foster wider engagement with conservation management research. Similarly, the NRW Partnership Funding facility could be used to target the development of new funding partners in connection with EU funds, beyond established relationships to new opportunities (such as skills and education or tourism). The success of the Nature Fund has highlighted the potential of discretionary funding for developing partnerships that can secure other long-term funding arrangements. Such a fund could also be instrumental in providing ‘top-up’ match funding, similar to the WEFO Targeted Match Fund available to Operational Programmes.</w:t>
      </w:r>
    </w:p>
    <w:p w14:paraId="0692AA04" w14:textId="7A77F0AF" w:rsidR="0040788F" w:rsidRDefault="0040788F" w:rsidP="008B010B">
      <w:pPr>
        <w:pStyle w:val="BTBullet1Last"/>
        <w:rPr>
          <w:b/>
        </w:rPr>
      </w:pPr>
      <w:r>
        <w:rPr>
          <w:b/>
        </w:rPr>
        <w:t>Greater strategic coordination of funding applications.</w:t>
      </w:r>
      <w:r>
        <w:t xml:space="preserve"> Given the substantial resource requirements necessary to develop many funding applications (particular</w:t>
      </w:r>
      <w:r w:rsidR="001D26FF">
        <w:t>ly</w:t>
      </w:r>
      <w:r>
        <w:t xml:space="preserve"> for EU funds), greater coordination between programmes and projects could increase the efficiency of developing applications. </w:t>
      </w:r>
      <w:r w:rsidR="001D26FF">
        <w:t>In addition, c</w:t>
      </w:r>
      <w:r>
        <w:t xml:space="preserve">o-ordinated applications at a more strategic level can be used to increase the scale of funds sought. For EU funds in particular many Natura 2000 projects are far too small to be appropriate when applying individually. This is particularly relevant for issues which may be less site-specific, such as marine fisheries where similar issues and needs may touch multiple Natura 2000 sites. Developing co-ordinated bids would require some central resources as site-level staff </w:t>
      </w:r>
      <w:r w:rsidR="001D26FF">
        <w:t>may</w:t>
      </w:r>
      <w:r>
        <w:t xml:space="preserve"> not be able to dedicate the necessary time on work for which many of the benefits will be captured elsewhere.</w:t>
      </w:r>
      <w:r w:rsidR="00EE77C4">
        <w:t xml:space="preserve"> </w:t>
      </w:r>
    </w:p>
    <w:p w14:paraId="439101AB" w14:textId="3A1BC04B" w:rsidR="0040788F" w:rsidRDefault="0040788F" w:rsidP="0040788F">
      <w:pPr>
        <w:pStyle w:val="BTBullet1Last"/>
        <w:rPr>
          <w:b/>
        </w:rPr>
      </w:pPr>
      <w:r>
        <w:rPr>
          <w:b/>
        </w:rPr>
        <w:t xml:space="preserve">Support and capacity building for funding bid preparation and ongoing management. </w:t>
      </w:r>
      <w:r>
        <w:t xml:space="preserve">There is a need to build capacity in Wales regarding skills </w:t>
      </w:r>
      <w:r w:rsidR="001D26FF">
        <w:t>for</w:t>
      </w:r>
      <w:r>
        <w:t xml:space="preserve"> bid preparation process, including integration of project management processes and management of external finance. Support is also needed to help projects ‘deliver’ by providing advice and resources for project managers. Common best practice resources would be helpful in this regard, since most projects have to address the same issues (e.g. communication, stakeholder analysis, promotional materials, financial control and reporting). There is evidence of substantial duplication of efforts between projects at present. Standard guidance or templates would streamline delivery in this regard. </w:t>
      </w:r>
    </w:p>
    <w:p w14:paraId="2CF9C906" w14:textId="77777777" w:rsidR="0040788F" w:rsidRDefault="0040788F" w:rsidP="0040788F">
      <w:pPr>
        <w:pStyle w:val="Heading3"/>
      </w:pPr>
      <w:r>
        <w:t>Integration with other sectors</w:t>
      </w:r>
    </w:p>
    <w:p w14:paraId="05A1C519" w14:textId="77777777" w:rsidR="0040788F" w:rsidRDefault="0040788F" w:rsidP="0040788F">
      <w:pPr>
        <w:pStyle w:val="BodyText"/>
      </w:pPr>
      <w:r>
        <w:t>In addition to conventional sources of funding for Natura 2000, the nature of the network means that its management is closely linked to a number of policy priorities and programmes in other sectors. In some cases, this could point to additional funding sources for site management. In some instances these funding sources may be directly accessed, in others the funding need can be reduced by integrating Natura 2000 management needs into the plans and projects delivered by other sectors.</w:t>
      </w:r>
    </w:p>
    <w:p w14:paraId="2A13025C" w14:textId="77777777" w:rsidR="0040788F" w:rsidRDefault="0040788F" w:rsidP="0040788F">
      <w:pPr>
        <w:pStyle w:val="BodyText"/>
      </w:pPr>
      <w:r>
        <w:t>In particular, opportunities relating to the Water Framework Directive are likely to increase in the coming years as the objectives of second-round River Basin Management Plans come into force. This is likely to result in increased expenditure overall, and investment in natural solutions is increasingly viewed as a cost-effective means to meet management objectives. Funds for ecological restoration of catchments, such as the Natural Resources Wales and Dwr Cymru WFD funds, could be a valuable resource for providing investment in freshwater and wetland N2K sites. They could also provide useful funds for terrestrial sites, addressing issues such as nutrient leeching through collaboration with farmers. Similar opportunities existing in other sectors, such as FCERM, notably through the developing National Habitat Creation Programme.</w:t>
      </w:r>
    </w:p>
    <w:p w14:paraId="364E58B1" w14:textId="77777777" w:rsidR="0040788F" w:rsidRDefault="0040788F" w:rsidP="0040788F">
      <w:pPr>
        <w:pStyle w:val="BodyText"/>
      </w:pPr>
      <w:r>
        <w:t xml:space="preserve">There are a number of limitations to the potential for integration. Fundamentally it is constrained by the need for sector expenditure to be focussed on sector objectives. That is, environmental enhancement expenditure linked to a proposed plan or scheme must still align with that sector’s priorities (e.g. flood defence) or fund theme (e.g. research activities). This may limit the scale of action that may be feasible. In many instances an ecosystem services framework can be used to overcome this limitation by demonstrating the enhanced economic benefits of building in environmental enhancements – either directly to the policy area or more broadly to the sum of total benefits of a policy action or project. </w:t>
      </w:r>
    </w:p>
    <w:p w14:paraId="76AD4CE6" w14:textId="77777777" w:rsidR="0040788F" w:rsidRDefault="0040788F" w:rsidP="0040788F">
      <w:pPr>
        <w:pStyle w:val="BodyText"/>
      </w:pPr>
      <w:r>
        <w:t>It should also be recognised that where integration is sought with particular projects or schemes, there are likely to be geographical constraints – both in terms of the overlap with Natura 2000 and in terms of the relative scale compared to the management issue.  For example, WFD and FCERM may provide significant funding opportunities only in specific Natura 2000 areas and for particular conservation issues.</w:t>
      </w:r>
    </w:p>
    <w:p w14:paraId="716C0225" w14:textId="77777777" w:rsidR="0040788F" w:rsidRDefault="0040788F" w:rsidP="0040788F">
      <w:pPr>
        <w:pStyle w:val="BodyText"/>
      </w:pPr>
      <w:r>
        <w:t>Fundamentally, achieving integration requires significant levels of engagement and awareness raising with relevant parties, which demands substantial staff time without any associated funding. Increased integration benefits from early engagement in plan and strategy development in order to highlight opportunities for incorporating environmental enhancements that address Natura 2000 needs. In particular, there is a need for strategic level engagement at a landscape level to integrate sector plan, strategy, project and scheme activities with neighbouring areas.</w:t>
      </w:r>
    </w:p>
    <w:p w14:paraId="579B498A" w14:textId="42A4E0C7" w:rsidR="0040788F" w:rsidRDefault="0040788F" w:rsidP="0040788F">
      <w:pPr>
        <w:pStyle w:val="BodyText"/>
      </w:pPr>
      <w:r>
        <w:t xml:space="preserve">However achieving improved integration </w:t>
      </w:r>
      <w:r w:rsidR="001D26FF">
        <w:t>need not</w:t>
      </w:r>
      <w:r>
        <w:t xml:space="preserve"> require pro-active engagement, but can be reactive in response to consultations. Typically consultation responses on plans, strategies, projects and schemes focus on avoidance of negative impacts in relation to Habitat Regulations, with less emphasis on the potential for positive environmental enhancement. Improving the flow of positive ideas is an opportunity for increasing the integration of Natura 2000 management needs into plans, strategies, projects and schemes. </w:t>
      </w:r>
      <w:r w:rsidR="001D26FF">
        <w:t>This could involve</w:t>
      </w:r>
      <w:r>
        <w:t xml:space="preserve"> identifying complementary or coherent activities or nature-based solutions to replace typical grey-infrastructure solutions.  </w:t>
      </w:r>
    </w:p>
    <w:p w14:paraId="7B6115F6" w14:textId="77777777" w:rsidR="0040788F" w:rsidRDefault="0040788F" w:rsidP="0040788F">
      <w:pPr>
        <w:pStyle w:val="Heading3"/>
        <w:rPr>
          <w:szCs w:val="26"/>
        </w:rPr>
      </w:pPr>
      <w:r>
        <w:t>Alternative funding approaches: opportunities, limitations and actions</w:t>
      </w:r>
    </w:p>
    <w:p w14:paraId="4F473B6B" w14:textId="77777777" w:rsidR="005E7143" w:rsidRDefault="005E7143" w:rsidP="005E7143">
      <w:pPr>
        <w:pStyle w:val="BodyText"/>
      </w:pPr>
      <w:r>
        <w:t xml:space="preserve">A range of alternative funding sources could help to address some of the funding gaps for Natura 2000 management. Some of these are more innovative or emerging in nature, whilst others seek to tap charitable and third sector resources in new ways to address emerging needs for the network. A number of the opportunities that have been identified are market-based approaches, such as PES and marketed products. These approaches have the potential to raise finance for undertaking management actions, and/or incorporate the required management as part of implementing the particular approach. </w:t>
      </w:r>
    </w:p>
    <w:p w14:paraId="7ABF541B" w14:textId="77777777" w:rsidR="005E7143" w:rsidRDefault="005E7143" w:rsidP="005E7143">
      <w:pPr>
        <w:pStyle w:val="BodyText"/>
      </w:pPr>
      <w:r>
        <w:t>Where market-based approaches are successful they hold the potential to be sustainable over the long-term with limited public sector support. However to-date they typically operate on relatively small scales and in underdeveloped markets and over the short term are likely to make only a minor contribution to addressing funding needs. Further, they can be constrained by specific site characteristic requirements or by high transactions costs which may limit the ability to deliver economically viable approaches.</w:t>
      </w:r>
    </w:p>
    <w:p w14:paraId="190A80A7" w14:textId="77777777" w:rsidR="005E7143" w:rsidRDefault="005E7143" w:rsidP="005E7143">
      <w:pPr>
        <w:pStyle w:val="BodyText"/>
      </w:pPr>
      <w:r>
        <w:t>Continued investment in the theory and practical applications of many alternative funding approaches is required in order to develop the understanding, institutions and frameworks for their successful application and development. In this sense, unlocking the potential of alternative approaches is necessary and will require investment, and hence funding of its own.</w:t>
      </w:r>
    </w:p>
    <w:p w14:paraId="5089F888" w14:textId="42F64F6C" w:rsidR="00280668" w:rsidRPr="005E7143" w:rsidRDefault="005E7143" w:rsidP="005E7143">
      <w:pPr>
        <w:pStyle w:val="BodyText"/>
        <w:rPr>
          <w:highlight w:val="yellow"/>
        </w:rPr>
      </w:pPr>
      <w:r>
        <w:t>There are funding facilities available for such purposes, notably LIFE (including the new Natural Capital Financing Facility) and EAFRD (RDP). Using time-limited funding may help to prove the concept and establish schemes which are sustainable in the longer term</w:t>
      </w:r>
      <w:r w:rsidR="0040788F" w:rsidRPr="0040788F">
        <w:t>.</w:t>
      </w:r>
      <w:r w:rsidR="00280668" w:rsidRPr="0040788F">
        <w:t xml:space="preserve"> </w:t>
      </w:r>
    </w:p>
    <w:p w14:paraId="0298A8C8" w14:textId="77777777" w:rsidR="00174333" w:rsidRPr="00174333" w:rsidRDefault="00174333" w:rsidP="00174333">
      <w:pPr>
        <w:pStyle w:val="BTBullet1"/>
        <w:numPr>
          <w:ilvl w:val="0"/>
          <w:numId w:val="0"/>
        </w:numPr>
        <w:ind w:left="851"/>
      </w:pPr>
    </w:p>
    <w:p w14:paraId="629EDC77" w14:textId="77777777" w:rsidR="005452A8" w:rsidRPr="005452A8" w:rsidRDefault="009D7497" w:rsidP="005452A8">
      <w:pPr>
        <w:pStyle w:val="Divider"/>
      </w:pPr>
      <w:bookmarkStart w:id="266" w:name="AnnexAll"/>
      <w:r w:rsidRPr="007B47FB">
        <w:t>ANNEXES</w:t>
      </w:r>
    </w:p>
    <w:p w14:paraId="02510D8C" w14:textId="51FB9931" w:rsidR="00F728AC" w:rsidRDefault="00F728AC" w:rsidP="00FC0612">
      <w:pPr>
        <w:pStyle w:val="AnnexHeading"/>
      </w:pPr>
      <w:bookmarkStart w:id="267" w:name="_Toc407618017"/>
      <w:bookmarkStart w:id="268" w:name="_Toc408094010"/>
      <w:bookmarkStart w:id="269" w:name="_Toc408851003"/>
      <w:bookmarkStart w:id="270" w:name="Annex1Text"/>
      <w:bookmarkStart w:id="271" w:name="_Toc421880679"/>
      <w:r>
        <w:t>Funding Source Bibliography</w:t>
      </w:r>
      <w:bookmarkEnd w:id="267"/>
      <w:bookmarkEnd w:id="268"/>
      <w:bookmarkEnd w:id="269"/>
      <w:bookmarkEnd w:id="271"/>
    </w:p>
    <w:p w14:paraId="1108070F" w14:textId="71F12519" w:rsidR="006863D4" w:rsidRPr="006863D4" w:rsidRDefault="006863D4" w:rsidP="006863D4">
      <w:r>
        <w:t xml:space="preserve">It is intended that this bibliography will provide a useful starting point for prospective funding applicants for Natura 2000 related projects. As such, the focus is on sources of information relating to funding rather than individual funds. It is intended that this will improve the conciseness and accuracy of the document- ensuring it remains relevant as funding streams change over time. </w:t>
      </w:r>
    </w:p>
    <w:p w14:paraId="159D99FE" w14:textId="77777777" w:rsidR="000005F4" w:rsidRDefault="000005F4" w:rsidP="000005F4">
      <w:pPr>
        <w:pStyle w:val="AnnexH2"/>
      </w:pPr>
      <w:r>
        <w:t>European Funding Sources</w:t>
      </w:r>
    </w:p>
    <w:p w14:paraId="6CA60BF8" w14:textId="02CDCFD1" w:rsidR="006863D4" w:rsidRPr="006863D4" w:rsidRDefault="006863D4" w:rsidP="006863D4">
      <w:pPr>
        <w:pStyle w:val="AnnexH3"/>
      </w:pPr>
      <w:r w:rsidRPr="006863D4">
        <w:t xml:space="preserve">Welsh European Funding Office </w:t>
      </w:r>
      <w:r w:rsidR="00280668">
        <w:t>(WEFO)</w:t>
      </w:r>
    </w:p>
    <w:p w14:paraId="39262181" w14:textId="77777777" w:rsidR="006863D4" w:rsidRPr="006863D4" w:rsidRDefault="006863D4" w:rsidP="006863D4">
      <w:pPr>
        <w:rPr>
          <w:b/>
        </w:rPr>
      </w:pPr>
      <w:r w:rsidRPr="006863D4">
        <w:rPr>
          <w:b/>
        </w:rPr>
        <w:t xml:space="preserve">1. Author/organisation responsible: </w:t>
      </w:r>
    </w:p>
    <w:p w14:paraId="06E027CF" w14:textId="77777777" w:rsidR="006863D4" w:rsidRPr="006863D4" w:rsidRDefault="006863D4" w:rsidP="006863D4">
      <w:r w:rsidRPr="006863D4">
        <w:t xml:space="preserve">Welsh Assembly Government </w:t>
      </w:r>
    </w:p>
    <w:p w14:paraId="6063F0C9" w14:textId="77777777" w:rsidR="006863D4" w:rsidRPr="006863D4" w:rsidRDefault="006863D4" w:rsidP="006863D4">
      <w:pPr>
        <w:rPr>
          <w:b/>
        </w:rPr>
      </w:pPr>
      <w:r w:rsidRPr="006863D4">
        <w:rPr>
          <w:b/>
        </w:rPr>
        <w:t xml:space="preserve">2. URL: </w:t>
      </w:r>
    </w:p>
    <w:p w14:paraId="75193EE2" w14:textId="77777777" w:rsidR="006863D4" w:rsidRPr="006863D4" w:rsidRDefault="001655CC" w:rsidP="006863D4">
      <w:hyperlink r:id="rId56" w:history="1">
        <w:r w:rsidR="006863D4" w:rsidRPr="006863D4">
          <w:rPr>
            <w:color w:val="0000FF" w:themeColor="hyperlink"/>
            <w:u w:val="single"/>
          </w:rPr>
          <w:t>http://wefo.wales.gov.uk/?skip=1&amp;lang=en</w:t>
        </w:r>
      </w:hyperlink>
      <w:r w:rsidR="006863D4" w:rsidRPr="006863D4">
        <w:t xml:space="preserve">  </w:t>
      </w:r>
    </w:p>
    <w:p w14:paraId="648E6B92" w14:textId="77777777" w:rsidR="006863D4" w:rsidRPr="006863D4" w:rsidRDefault="006863D4" w:rsidP="006863D4">
      <w:pPr>
        <w:rPr>
          <w:b/>
        </w:rPr>
      </w:pPr>
      <w:r w:rsidRPr="006863D4">
        <w:rPr>
          <w:b/>
        </w:rPr>
        <w:t xml:space="preserve">3. Summary of information provided, including numbers and types of funding sources covered, geography and level of information provided: </w:t>
      </w:r>
    </w:p>
    <w:p w14:paraId="46C1A977" w14:textId="77777777" w:rsidR="006863D4" w:rsidRPr="006863D4" w:rsidRDefault="006863D4" w:rsidP="006863D4">
      <w:r w:rsidRPr="006863D4">
        <w:t xml:space="preserve">The WEFO is part of the Welsh Government and manages the delivery of EU Structural Funds in Wales. Its website acts as a central repository of information relating to national and EU project financing in the most recent programming period (2007-2013). However, guidance for the current period (2014-2020) is yet to be published online. A range of evaluations of application and funding successes are provided, and the site also provides links to support services for bid development, including an advice helpline and links to dedicated Specialist European Teams (SETs) within the Welsh Government and other bodies. </w:t>
      </w:r>
    </w:p>
    <w:p w14:paraId="0E8F0384" w14:textId="77777777" w:rsidR="006863D4" w:rsidRPr="006863D4" w:rsidRDefault="006863D4" w:rsidP="006863D4">
      <w:pPr>
        <w:rPr>
          <w:b/>
        </w:rPr>
      </w:pPr>
      <w:r w:rsidRPr="006863D4">
        <w:rPr>
          <w:b/>
        </w:rPr>
        <w:t xml:space="preserve">4. Date and frequency of update: </w:t>
      </w:r>
    </w:p>
    <w:p w14:paraId="1F8684CB" w14:textId="77777777" w:rsidR="006863D4" w:rsidRPr="006863D4" w:rsidRDefault="006863D4" w:rsidP="006863D4">
      <w:r w:rsidRPr="006863D4">
        <w:t>Ongoing</w:t>
      </w:r>
    </w:p>
    <w:p w14:paraId="06A12F2D" w14:textId="77777777" w:rsidR="006863D4" w:rsidRPr="006863D4" w:rsidRDefault="006863D4" w:rsidP="006863D4">
      <w:pPr>
        <w:rPr>
          <w:b/>
        </w:rPr>
      </w:pPr>
      <w:r w:rsidRPr="006863D4">
        <w:rPr>
          <w:b/>
        </w:rPr>
        <w:t xml:space="preserve">5. Commentary on usefulness and applicability of information to Natura 2000 funding </w:t>
      </w:r>
    </w:p>
    <w:p w14:paraId="709B7323" w14:textId="77777777" w:rsidR="006863D4" w:rsidRPr="006863D4" w:rsidRDefault="006863D4" w:rsidP="006863D4">
      <w:r w:rsidRPr="006863D4">
        <w:t>WEFO is a valuable resource for information on the current use of EU funds, and should be considered a primary source for guidance material relating to applications for EU Structural Funds. However, as with these funds, the major focus of the WEFO is on impacts for economic development and employment growth rather than nature conservation objectives- this may limit the scope of Natura 2000 activities that WEFO can be of relevance to.</w:t>
      </w:r>
    </w:p>
    <w:p w14:paraId="169D02D9" w14:textId="77777777" w:rsidR="006863D4" w:rsidRPr="006863D4" w:rsidRDefault="006863D4" w:rsidP="006863D4">
      <w:r w:rsidRPr="006863D4">
        <w:t xml:space="preserve">The WEFO also administers funding resources such as the Targeted Match Fund, last resort central match-funding for the European Structural Fund Programme, which could have particular application in the context of large scale (capital financing) of Natura 2000. </w:t>
      </w:r>
    </w:p>
    <w:p w14:paraId="2082FF7F" w14:textId="77777777" w:rsidR="006863D4" w:rsidRPr="006863D4" w:rsidRDefault="006863D4" w:rsidP="006863D4">
      <w:pPr>
        <w:pStyle w:val="AnnexH3"/>
      </w:pPr>
      <w:r w:rsidRPr="006863D4">
        <w:t xml:space="preserve">Europa website </w:t>
      </w:r>
    </w:p>
    <w:p w14:paraId="5C907B9C" w14:textId="77777777" w:rsidR="006863D4" w:rsidRPr="006863D4" w:rsidRDefault="006863D4" w:rsidP="006863D4">
      <w:pPr>
        <w:rPr>
          <w:b/>
        </w:rPr>
      </w:pPr>
      <w:r w:rsidRPr="006863D4">
        <w:rPr>
          <w:b/>
        </w:rPr>
        <w:t xml:space="preserve">1. Author/organisation responsible: </w:t>
      </w:r>
    </w:p>
    <w:p w14:paraId="2DE2ECA9" w14:textId="77777777" w:rsidR="006863D4" w:rsidRPr="006863D4" w:rsidRDefault="006863D4" w:rsidP="006863D4">
      <w:r w:rsidRPr="006863D4">
        <w:t xml:space="preserve">European Union </w:t>
      </w:r>
    </w:p>
    <w:p w14:paraId="759DD2D4" w14:textId="77777777" w:rsidR="006863D4" w:rsidRPr="006863D4" w:rsidRDefault="006863D4" w:rsidP="006863D4">
      <w:pPr>
        <w:rPr>
          <w:b/>
        </w:rPr>
      </w:pPr>
      <w:r w:rsidRPr="006863D4">
        <w:rPr>
          <w:b/>
        </w:rPr>
        <w:t xml:space="preserve">2. URL: </w:t>
      </w:r>
    </w:p>
    <w:p w14:paraId="42ADFB23" w14:textId="77777777" w:rsidR="006863D4" w:rsidRPr="006863D4" w:rsidRDefault="001655CC" w:rsidP="006863D4">
      <w:hyperlink r:id="rId57" w:history="1">
        <w:r w:rsidR="006863D4" w:rsidRPr="006863D4">
          <w:rPr>
            <w:color w:val="0000FF" w:themeColor="hyperlink"/>
            <w:u w:val="single"/>
          </w:rPr>
          <w:t>www.wefo.wales.gov.uk</w:t>
        </w:r>
      </w:hyperlink>
      <w:r w:rsidR="006863D4" w:rsidRPr="006863D4">
        <w:t xml:space="preserve"> </w:t>
      </w:r>
    </w:p>
    <w:p w14:paraId="27884BC0" w14:textId="77777777" w:rsidR="006863D4" w:rsidRPr="006863D4" w:rsidRDefault="006863D4" w:rsidP="006863D4">
      <w:pPr>
        <w:rPr>
          <w:b/>
        </w:rPr>
      </w:pPr>
      <w:r w:rsidRPr="006863D4">
        <w:rPr>
          <w:b/>
        </w:rPr>
        <w:t xml:space="preserve">3. Summary of information provided, including numbers and types of funding sources covered, geography and level of information provided: </w:t>
      </w:r>
    </w:p>
    <w:p w14:paraId="32CEDD04" w14:textId="77777777" w:rsidR="006863D4" w:rsidRPr="006863D4" w:rsidRDefault="006863D4" w:rsidP="006863D4">
      <w:r w:rsidRPr="006863D4">
        <w:t xml:space="preserve">The Europa website is the central source of information relating to Natura 2000. One of its key resources is the ‘Financing Natura 2000’ webpage. This page collates a range of research activities relating to Natura 2000, including evidence of the economic benefits of the network in relation to specific economic sectors (eg. tourism) and a range of Member State case studies of assessing the costs and benefits of the network. </w:t>
      </w:r>
    </w:p>
    <w:p w14:paraId="4501BB3E" w14:textId="77777777" w:rsidR="006863D4" w:rsidRPr="006863D4" w:rsidRDefault="006863D4" w:rsidP="006863D4">
      <w:r w:rsidRPr="006863D4">
        <w:t>It is intended that this evidence of substantive benefits relating to the network can be used to develop additional financing opportunities. One of the key resources on the Europa site in this regard is the Financing Natura 2000 Guidance Handbook (Kettunen et al, 2014).</w:t>
      </w:r>
    </w:p>
    <w:p w14:paraId="6E791CBA" w14:textId="718FE015" w:rsidR="006863D4" w:rsidRPr="006863D4" w:rsidRDefault="006863D4" w:rsidP="006863D4">
      <w:r w:rsidRPr="006863D4">
        <w:t xml:space="preserve">The Financing Natura 2000 Guidance Handbook outlines specific areas of congruence between research and innovation funding under Horizon 2020 (the EU’s </w:t>
      </w:r>
      <w:r w:rsidR="00280668">
        <w:rPr>
          <w:rFonts w:cs="Arial"/>
        </w:rPr>
        <w:t>€</w:t>
      </w:r>
      <w:r w:rsidRPr="006863D4">
        <w:t>80bn research and innovation grant framework for the 2014-2020 programming period) and various measures for Natura 2000. The Horizon 2020 pages of the Europa website include information on access to funding that have relevance to Natura 2000 funding, including a dedicated ‘participant portal’ advertising the two-year work programmes to be supported by H2020. The call search tool is updated regularly with new ‘calls for proposals’ within the two-year work programmes.</w:t>
      </w:r>
    </w:p>
    <w:p w14:paraId="374FF84B" w14:textId="37946AC8" w:rsidR="006863D4" w:rsidRPr="006863D4" w:rsidRDefault="006863D4" w:rsidP="006863D4">
      <w:r w:rsidRPr="006863D4">
        <w:t xml:space="preserve">One particular development relating to </w:t>
      </w:r>
      <w:r w:rsidR="00280668">
        <w:t>Horizon 2020</w:t>
      </w:r>
      <w:r w:rsidR="00280668" w:rsidRPr="006863D4">
        <w:t xml:space="preserve"> </w:t>
      </w:r>
      <w:r w:rsidRPr="006863D4">
        <w:t xml:space="preserve">is the introduction of a specific facility to provide </w:t>
      </w:r>
      <w:r w:rsidR="00280668">
        <w:rPr>
          <w:rFonts w:cs="Arial"/>
        </w:rPr>
        <w:t>€</w:t>
      </w:r>
      <w:r w:rsidRPr="006863D4">
        <w:t xml:space="preserve">2.3bn of support to </w:t>
      </w:r>
      <w:r w:rsidR="00280668">
        <w:t>small-to-medium enterprises (</w:t>
      </w:r>
      <w:r w:rsidRPr="006863D4">
        <w:t>SMEs</w:t>
      </w:r>
      <w:r w:rsidR="00280668">
        <w:t>)</w:t>
      </w:r>
      <w:r w:rsidRPr="006863D4">
        <w:t>: the Programme for the Competitiveness of Enterprises and SMEs (COSME). The majority of grants allocated under this facility are small-scale grants.</w:t>
      </w:r>
    </w:p>
    <w:p w14:paraId="11F51E4E" w14:textId="77777777" w:rsidR="006863D4" w:rsidRPr="006863D4" w:rsidRDefault="006863D4" w:rsidP="006863D4">
      <w:pPr>
        <w:rPr>
          <w:b/>
        </w:rPr>
      </w:pPr>
      <w:r w:rsidRPr="006863D4">
        <w:rPr>
          <w:b/>
        </w:rPr>
        <w:t xml:space="preserve">4. Date and frequency of update: </w:t>
      </w:r>
    </w:p>
    <w:p w14:paraId="03984DA3" w14:textId="77777777" w:rsidR="006863D4" w:rsidRPr="006863D4" w:rsidRDefault="006863D4" w:rsidP="006863D4">
      <w:r w:rsidRPr="006863D4">
        <w:t>Ongoing</w:t>
      </w:r>
    </w:p>
    <w:p w14:paraId="04E71BA5" w14:textId="77777777" w:rsidR="006863D4" w:rsidRPr="006863D4" w:rsidRDefault="006863D4" w:rsidP="006863D4">
      <w:pPr>
        <w:rPr>
          <w:b/>
        </w:rPr>
      </w:pPr>
      <w:r w:rsidRPr="006863D4">
        <w:rPr>
          <w:b/>
        </w:rPr>
        <w:t xml:space="preserve">5. Commentary on usefulness and applicability of information to Natura 2000 funding </w:t>
      </w:r>
    </w:p>
    <w:p w14:paraId="311C299D" w14:textId="53D15CE3" w:rsidR="006863D4" w:rsidRPr="006863D4" w:rsidRDefault="006863D4" w:rsidP="006863D4">
      <w:r w:rsidRPr="006863D4">
        <w:t xml:space="preserve">Given the central role of EU funds in supporting the existing Natura 2000 network, the Europa website and associated information resources can be considered a core resource for financial planning of Natura 2000 in Wales. Drawing on evidence from published studies and best practice examples published on the Europa site can provide a means to optimise the use of existing funds for Natura 2000 such as the LIFE budget, EAFRD, and other </w:t>
      </w:r>
      <w:r w:rsidR="00280668">
        <w:t>Structural Funds</w:t>
      </w:r>
      <w:r w:rsidRPr="006863D4">
        <w:t xml:space="preserve">. </w:t>
      </w:r>
    </w:p>
    <w:p w14:paraId="20752702" w14:textId="77777777" w:rsidR="006863D4" w:rsidRPr="006863D4" w:rsidRDefault="006863D4" w:rsidP="006863D4">
      <w:r w:rsidRPr="006863D4">
        <w:t>However, the Europa website is also a valuable source of information relating to innovative financing of Natura 2000. The Horizon 2020 portal is one particularly relevant to the development and testing of new management approaches and/or evaluation of the past Natura 2000 management regime.</w:t>
      </w:r>
    </w:p>
    <w:p w14:paraId="49662954" w14:textId="77777777" w:rsidR="006863D4" w:rsidRPr="006863D4" w:rsidRDefault="006863D4" w:rsidP="006863D4">
      <w:r w:rsidRPr="006863D4">
        <w:t xml:space="preserve">Regular updates to the Europa website will provide a valuable resource for information on changes to co-financing arrangements under Regional and Structural Funds that could impact on funding availability for Natura 2000. </w:t>
      </w:r>
    </w:p>
    <w:p w14:paraId="6F4C5ECB" w14:textId="77777777" w:rsidR="006863D4" w:rsidRPr="006863D4" w:rsidRDefault="006863D4" w:rsidP="006863D4">
      <w:pPr>
        <w:pStyle w:val="AnnexH3"/>
      </w:pPr>
      <w:r w:rsidRPr="006863D4">
        <w:t xml:space="preserve">European Funding Directory for Wales </w:t>
      </w:r>
    </w:p>
    <w:p w14:paraId="5FDD856F" w14:textId="77777777" w:rsidR="006863D4" w:rsidRPr="006863D4" w:rsidRDefault="006863D4" w:rsidP="006863D4">
      <w:pPr>
        <w:rPr>
          <w:b/>
        </w:rPr>
      </w:pPr>
      <w:r w:rsidRPr="006863D4">
        <w:rPr>
          <w:b/>
        </w:rPr>
        <w:t xml:space="preserve">1. Author/organisation responsible: </w:t>
      </w:r>
    </w:p>
    <w:p w14:paraId="5054DE8C" w14:textId="77777777" w:rsidR="006863D4" w:rsidRPr="006863D4" w:rsidRDefault="006863D4" w:rsidP="006863D4">
      <w:r w:rsidRPr="006863D4">
        <w:t xml:space="preserve">Derek Vaughan MEP </w:t>
      </w:r>
    </w:p>
    <w:p w14:paraId="62EA77ED" w14:textId="77777777" w:rsidR="006863D4" w:rsidRPr="006863D4" w:rsidRDefault="006863D4" w:rsidP="006863D4">
      <w:pPr>
        <w:rPr>
          <w:b/>
        </w:rPr>
      </w:pPr>
      <w:r w:rsidRPr="006863D4">
        <w:rPr>
          <w:b/>
        </w:rPr>
        <w:t xml:space="preserve">2. URL: </w:t>
      </w:r>
    </w:p>
    <w:p w14:paraId="58079B7C" w14:textId="77777777" w:rsidR="006863D4" w:rsidRPr="006863D4" w:rsidRDefault="001655CC" w:rsidP="006863D4">
      <w:hyperlink r:id="rId58" w:history="1">
        <w:r w:rsidR="006863D4" w:rsidRPr="006863D4">
          <w:rPr>
            <w:color w:val="0000FF" w:themeColor="hyperlink"/>
            <w:u w:val="single"/>
          </w:rPr>
          <w:t>http://www.unllais.co.uk/documents/EU%20Funding%20Directory%20for%20Wales.pdf</w:t>
        </w:r>
      </w:hyperlink>
      <w:r w:rsidR="006863D4" w:rsidRPr="006863D4">
        <w:t xml:space="preserve"> </w:t>
      </w:r>
    </w:p>
    <w:p w14:paraId="36E4BC77" w14:textId="77777777" w:rsidR="006863D4" w:rsidRPr="006863D4" w:rsidRDefault="006863D4" w:rsidP="006863D4">
      <w:pPr>
        <w:rPr>
          <w:b/>
        </w:rPr>
      </w:pPr>
      <w:r w:rsidRPr="006863D4">
        <w:rPr>
          <w:b/>
        </w:rPr>
        <w:t xml:space="preserve">3. Summary of information provided, including numbers and types of funding sources covered, geography and level of information provided: </w:t>
      </w:r>
    </w:p>
    <w:p w14:paraId="001EE199" w14:textId="77777777" w:rsidR="006863D4" w:rsidRPr="006863D4" w:rsidRDefault="006863D4" w:rsidP="006863D4">
      <w:r w:rsidRPr="006863D4">
        <w:t xml:space="preserve">Welsh MEP Derek Vaughan published this overview of EU funding resources relevant to Wales in early 2011. The directory outlines the major Structural Funds available in Wales under the 2007-2013 budget cycle, and describes how the scale and focus of these funds differ by region. Although the allocation of these funds has since changed under the new budget cycle, the directory provides a useful primer in where certain EU funds can be obtained within Wales. </w:t>
      </w:r>
    </w:p>
    <w:p w14:paraId="3BC15F2F" w14:textId="77777777" w:rsidR="006863D4" w:rsidRPr="006863D4" w:rsidRDefault="006863D4" w:rsidP="006863D4">
      <w:r w:rsidRPr="006863D4">
        <w:t xml:space="preserve">In addition to Regional Funds, the directory also includes background information on eligibility for financing or co-financing in thematic areas, including environment (LIFE, Entrepreneurship and Innovation) fisheries (European Fisheries Fund for Wales) and agriculture (Rural Development Programme for Wales). </w:t>
      </w:r>
    </w:p>
    <w:p w14:paraId="046D5530" w14:textId="77777777" w:rsidR="006863D4" w:rsidRPr="006863D4" w:rsidRDefault="006863D4" w:rsidP="006863D4">
      <w:pPr>
        <w:rPr>
          <w:b/>
        </w:rPr>
      </w:pPr>
      <w:r w:rsidRPr="006863D4">
        <w:rPr>
          <w:b/>
        </w:rPr>
        <w:t xml:space="preserve">4. Date and frequency of update: </w:t>
      </w:r>
    </w:p>
    <w:p w14:paraId="7169BC65" w14:textId="77777777" w:rsidR="006863D4" w:rsidRPr="006863D4" w:rsidRDefault="006863D4" w:rsidP="006863D4">
      <w:r w:rsidRPr="006863D4">
        <w:t xml:space="preserve">Last updated April 2011 </w:t>
      </w:r>
    </w:p>
    <w:p w14:paraId="006D641C" w14:textId="77777777" w:rsidR="006863D4" w:rsidRPr="006863D4" w:rsidRDefault="006863D4" w:rsidP="006863D4">
      <w:pPr>
        <w:rPr>
          <w:b/>
        </w:rPr>
      </w:pPr>
      <w:r w:rsidRPr="006863D4">
        <w:rPr>
          <w:b/>
        </w:rPr>
        <w:t xml:space="preserve">5. Commentary on usefulness and applicability of information to Natura 2000 funding </w:t>
      </w:r>
    </w:p>
    <w:p w14:paraId="7FA62B8F" w14:textId="77777777" w:rsidR="006863D4" w:rsidRPr="006863D4" w:rsidRDefault="006863D4" w:rsidP="006863D4">
      <w:r w:rsidRPr="006863D4">
        <w:t xml:space="preserve">The age of this directory limits its applicability to Natura 2000 management in the current budget cycle (2014-2020). Nonetheless, the description of funding resources by theme and geographical area as well as eligibility criteria provides a useful introduction to the funding application process. By detailing funds such as the Entrepreneurship and Innovation Programme in the context of environment financing, in addition to more conventional funds such as LIFE, the document may encourage and support potential applicants to think more creatively about the type and structure of the funding resources they pursue from the EU. </w:t>
      </w:r>
    </w:p>
    <w:p w14:paraId="24E1FF4B" w14:textId="77777777" w:rsidR="006863D4" w:rsidRPr="006863D4" w:rsidRDefault="006863D4" w:rsidP="006863D4">
      <w:pPr>
        <w:pStyle w:val="AnnexH2"/>
      </w:pPr>
      <w:bookmarkStart w:id="272" w:name="_Toc400102403"/>
      <w:r w:rsidRPr="006863D4">
        <w:t>Public Funding Sources</w:t>
      </w:r>
      <w:bookmarkEnd w:id="272"/>
      <w:r w:rsidRPr="006863D4">
        <w:t xml:space="preserve"> </w:t>
      </w:r>
    </w:p>
    <w:p w14:paraId="0D0BA64F" w14:textId="77777777" w:rsidR="006863D4" w:rsidRPr="006863D4" w:rsidRDefault="006863D4" w:rsidP="006863D4">
      <w:pPr>
        <w:pStyle w:val="AnnexH3"/>
      </w:pPr>
      <w:r w:rsidRPr="006863D4">
        <w:t xml:space="preserve">Natural Resources Wales Funding Update </w:t>
      </w:r>
    </w:p>
    <w:p w14:paraId="12F7D1CF" w14:textId="77777777" w:rsidR="006863D4" w:rsidRPr="006863D4" w:rsidRDefault="006863D4" w:rsidP="006863D4">
      <w:pPr>
        <w:rPr>
          <w:b/>
        </w:rPr>
      </w:pPr>
      <w:r w:rsidRPr="006863D4">
        <w:rPr>
          <w:b/>
        </w:rPr>
        <w:t xml:space="preserve">1. Author/organisation responsible: </w:t>
      </w:r>
    </w:p>
    <w:p w14:paraId="4838B303" w14:textId="77777777" w:rsidR="006863D4" w:rsidRPr="006863D4" w:rsidRDefault="006863D4" w:rsidP="006863D4">
      <w:r w:rsidRPr="006863D4">
        <w:t xml:space="preserve">Natural Resources Wales </w:t>
      </w:r>
    </w:p>
    <w:p w14:paraId="42385880" w14:textId="77777777" w:rsidR="006863D4" w:rsidRPr="006863D4" w:rsidRDefault="006863D4" w:rsidP="006863D4">
      <w:pPr>
        <w:rPr>
          <w:b/>
        </w:rPr>
      </w:pPr>
      <w:r w:rsidRPr="006863D4">
        <w:rPr>
          <w:b/>
        </w:rPr>
        <w:t xml:space="preserve">2. URL: </w:t>
      </w:r>
    </w:p>
    <w:p w14:paraId="06A7FB3F" w14:textId="77777777" w:rsidR="006863D4" w:rsidRPr="006863D4" w:rsidRDefault="001655CC" w:rsidP="006863D4">
      <w:hyperlink r:id="rId59" w:history="1">
        <w:r w:rsidR="006863D4" w:rsidRPr="006863D4">
          <w:rPr>
            <w:color w:val="0000FF" w:themeColor="hyperlink"/>
            <w:u w:val="single"/>
          </w:rPr>
          <w:t>www.naturalresourceswales.gov.uk</w:t>
        </w:r>
      </w:hyperlink>
      <w:r w:rsidR="006863D4" w:rsidRPr="006863D4">
        <w:t xml:space="preserve">  </w:t>
      </w:r>
    </w:p>
    <w:p w14:paraId="755E6412" w14:textId="77777777" w:rsidR="006863D4" w:rsidRPr="006863D4" w:rsidRDefault="006863D4" w:rsidP="006863D4">
      <w:pPr>
        <w:rPr>
          <w:b/>
        </w:rPr>
      </w:pPr>
      <w:r w:rsidRPr="006863D4">
        <w:rPr>
          <w:b/>
        </w:rPr>
        <w:t xml:space="preserve">3. Summary of information provided, including numbers and types of funding source covered, geography and level of information provided: </w:t>
      </w:r>
    </w:p>
    <w:p w14:paraId="4131EB9E" w14:textId="3BFDED5A" w:rsidR="006863D4" w:rsidRPr="006863D4" w:rsidRDefault="006863D4" w:rsidP="006863D4">
      <w:r w:rsidRPr="006863D4">
        <w:t>The Funding Update newsletter provides a general overview of funding news relevant to conservation in Wales, including new events, publications and environmental opportunities, as well as details on specific grants and funding competitions across Wales. These funding sources are categorised by their area of focus (for example, countryside management, access to the environment, coastal management, geological heritage, sustainable development, etc.). These funding opportunities are typically relatively small-scale (£1000-£25,000) although larger sources of funding are also highlighted</w:t>
      </w:r>
      <w:r w:rsidR="00280668">
        <w:t xml:space="preserve"> </w:t>
      </w:r>
      <w:r w:rsidRPr="006863D4">
        <w:t xml:space="preserve">- such as the Joseph Rowntree Foundation. </w:t>
      </w:r>
    </w:p>
    <w:p w14:paraId="3328E796" w14:textId="77777777" w:rsidR="006863D4" w:rsidRPr="006863D4" w:rsidRDefault="006863D4" w:rsidP="006863D4">
      <w:pPr>
        <w:rPr>
          <w:b/>
        </w:rPr>
      </w:pPr>
      <w:r w:rsidRPr="006863D4">
        <w:rPr>
          <w:b/>
        </w:rPr>
        <w:t xml:space="preserve">4. Date and frequency of update: </w:t>
      </w:r>
    </w:p>
    <w:p w14:paraId="43494181" w14:textId="77777777" w:rsidR="006863D4" w:rsidRPr="006863D4" w:rsidRDefault="006863D4" w:rsidP="006863D4">
      <w:r w:rsidRPr="006863D4">
        <w:t>Monthly.</w:t>
      </w:r>
    </w:p>
    <w:p w14:paraId="6C62CDCC" w14:textId="77777777" w:rsidR="006863D4" w:rsidRPr="006863D4" w:rsidRDefault="006863D4" w:rsidP="006863D4">
      <w:pPr>
        <w:rPr>
          <w:b/>
        </w:rPr>
      </w:pPr>
      <w:r w:rsidRPr="006863D4">
        <w:rPr>
          <w:b/>
        </w:rPr>
        <w:t xml:space="preserve">5. Commentary on usefulness and applicability of information to Natura 2000 funding </w:t>
      </w:r>
    </w:p>
    <w:p w14:paraId="257E0671" w14:textId="77777777" w:rsidR="006863D4" w:rsidRPr="006863D4" w:rsidRDefault="006863D4" w:rsidP="006863D4">
      <w:r w:rsidRPr="006863D4">
        <w:t>The monthly update has a strong relevance to securing funding for ongoing management and supplementary financing of Natura 2000 sites. The funding news provided with each update provides a useful overview of the current funding context and specific opportunities that could be linked to existing sites (for example, new incentives for biomass production). Structuring the funding opportunities thematically allows bidding activities to be targeted towards the most relevant sources of support, but it also highlights the links between these priorities and may help responsible authorities to consider new or additional management activities on existing sites.</w:t>
      </w:r>
    </w:p>
    <w:p w14:paraId="6EC9F64A" w14:textId="77777777" w:rsidR="006863D4" w:rsidRPr="006863D4" w:rsidRDefault="006863D4" w:rsidP="006863D4">
      <w:pPr>
        <w:pStyle w:val="AnnexH3"/>
      </w:pPr>
      <w:r w:rsidRPr="006863D4">
        <w:t>ENTRUST Funders Directory</w:t>
      </w:r>
    </w:p>
    <w:p w14:paraId="54FA5B89" w14:textId="77777777" w:rsidR="006863D4" w:rsidRPr="006863D4" w:rsidRDefault="006863D4" w:rsidP="006863D4">
      <w:pPr>
        <w:rPr>
          <w:b/>
        </w:rPr>
      </w:pPr>
      <w:r w:rsidRPr="006863D4">
        <w:rPr>
          <w:b/>
        </w:rPr>
        <w:t xml:space="preserve">1. Author/organisation responsible: </w:t>
      </w:r>
    </w:p>
    <w:p w14:paraId="23966AEB" w14:textId="77777777" w:rsidR="006863D4" w:rsidRPr="006863D4" w:rsidRDefault="006863D4" w:rsidP="006863D4">
      <w:r w:rsidRPr="006863D4">
        <w:t xml:space="preserve">Environmental Trust Regulatory Body </w:t>
      </w:r>
    </w:p>
    <w:p w14:paraId="5C906C2C" w14:textId="77777777" w:rsidR="006863D4" w:rsidRPr="006863D4" w:rsidRDefault="006863D4" w:rsidP="006863D4">
      <w:pPr>
        <w:rPr>
          <w:b/>
        </w:rPr>
      </w:pPr>
      <w:r w:rsidRPr="006863D4">
        <w:rPr>
          <w:b/>
        </w:rPr>
        <w:t xml:space="preserve">2. URL: </w:t>
      </w:r>
    </w:p>
    <w:p w14:paraId="2B92B3AB" w14:textId="77777777" w:rsidR="006863D4" w:rsidRPr="006863D4" w:rsidRDefault="001655CC" w:rsidP="006863D4">
      <w:hyperlink r:id="rId60" w:history="1">
        <w:r w:rsidR="006863D4" w:rsidRPr="006863D4">
          <w:rPr>
            <w:color w:val="0000FF" w:themeColor="hyperlink"/>
            <w:u w:val="single"/>
          </w:rPr>
          <w:t>http://www.entrust.org.uk/landfill-community-fund/finding-funding/environmental-bodies</w:t>
        </w:r>
      </w:hyperlink>
      <w:r w:rsidR="006863D4" w:rsidRPr="006863D4">
        <w:t xml:space="preserve"> </w:t>
      </w:r>
    </w:p>
    <w:p w14:paraId="36037F3D" w14:textId="77777777" w:rsidR="006863D4" w:rsidRPr="006863D4" w:rsidRDefault="006863D4" w:rsidP="006863D4">
      <w:pPr>
        <w:rPr>
          <w:b/>
        </w:rPr>
      </w:pPr>
      <w:r w:rsidRPr="006863D4">
        <w:rPr>
          <w:b/>
        </w:rPr>
        <w:t xml:space="preserve">3. Summary of information provided, including numbers and types of funding source covered, geography and level of information provided: </w:t>
      </w:r>
    </w:p>
    <w:p w14:paraId="3F351204" w14:textId="77777777" w:rsidR="006863D4" w:rsidRPr="006863D4" w:rsidRDefault="006863D4" w:rsidP="006863D4">
      <w:r w:rsidRPr="006863D4">
        <w:t>ENTRUST is the regulator of the Landfill Communities Fund (LCF), an innovative tax credit scheme which enables Landfill Operators (LOs) to contribute money to enrolled Environmental Bodies (EBs) to carry out projects that meet environmental objects contained in The Landfill Tax Regulations 1996 (Regulations).</w:t>
      </w:r>
    </w:p>
    <w:p w14:paraId="7200E889" w14:textId="4B291216" w:rsidR="006863D4" w:rsidRPr="006863D4" w:rsidRDefault="006863D4" w:rsidP="006863D4">
      <w:r w:rsidRPr="006863D4">
        <w:t>ENTRUST maintains a database of registered Environmental Bodies across the UK, including Wales, in its funders directory. ENTRUST have developed a new database called ENTRUST Online (EOL). It enables Environmental Bodies to access, update and file the regulatory obligations and submissions of landfill operators.</w:t>
      </w:r>
    </w:p>
    <w:p w14:paraId="27E5BBBE" w14:textId="77777777" w:rsidR="006863D4" w:rsidRPr="006863D4" w:rsidRDefault="006863D4" w:rsidP="006863D4">
      <w:r w:rsidRPr="006863D4">
        <w:t xml:space="preserve">Schemes that distribute Landfill Communities Funds in Wales include: </w:t>
      </w:r>
    </w:p>
    <w:p w14:paraId="3360381F" w14:textId="77777777" w:rsidR="006863D4" w:rsidRPr="006863D4" w:rsidRDefault="006863D4" w:rsidP="006863D4">
      <w:pPr>
        <w:pStyle w:val="Bullet1Last"/>
      </w:pPr>
      <w:r w:rsidRPr="006863D4">
        <w:t>Biffawards, which supports projects across the UK which enhance communities and biodiversity.</w:t>
      </w:r>
    </w:p>
    <w:p w14:paraId="0D55DDC6" w14:textId="44921BFF" w:rsidR="006863D4" w:rsidRPr="006863D4" w:rsidRDefault="006863D4" w:rsidP="006863D4">
      <w:pPr>
        <w:pStyle w:val="Bullet1Last"/>
      </w:pPr>
      <w:r w:rsidRPr="006863D4">
        <w:t>CWM Community and Environmental Fund, an environmental fund for community and environmental projects located within Carmarthenshire</w:t>
      </w:r>
      <w:r w:rsidR="001D15FE">
        <w:t>. Grants are</w:t>
      </w:r>
      <w:r w:rsidRPr="006863D4">
        <w:t xml:space="preserve"> between £5,000 and £50,000.</w:t>
      </w:r>
    </w:p>
    <w:p w14:paraId="3229A69C" w14:textId="77777777" w:rsidR="006863D4" w:rsidRPr="006863D4" w:rsidRDefault="006863D4" w:rsidP="006863D4">
      <w:pPr>
        <w:pStyle w:val="Bullet1Last"/>
      </w:pPr>
      <w:r w:rsidRPr="006863D4">
        <w:t>Veolia Environmental Trust, a community and environmental projects near Veolia operated facilities and has funded some research projects.</w:t>
      </w:r>
    </w:p>
    <w:p w14:paraId="02E97290" w14:textId="77777777" w:rsidR="006863D4" w:rsidRPr="006863D4" w:rsidRDefault="006863D4" w:rsidP="006863D4">
      <w:pPr>
        <w:pStyle w:val="Bullet1Last"/>
      </w:pPr>
      <w:r w:rsidRPr="006863D4">
        <w:t>WREN Biodiversity Action Fund, which funds research, survey and monitoring work where there is a clear intent that this work will lead to actual conservation improvements in 7 Welsh counties (within a 10 mile radius of licensed landfill sites.</w:t>
      </w:r>
    </w:p>
    <w:p w14:paraId="50DCA127" w14:textId="77777777" w:rsidR="006863D4" w:rsidRPr="006863D4" w:rsidRDefault="006863D4" w:rsidP="006863D4">
      <w:pPr>
        <w:rPr>
          <w:b/>
        </w:rPr>
      </w:pPr>
      <w:r w:rsidRPr="006863D4">
        <w:rPr>
          <w:b/>
        </w:rPr>
        <w:t xml:space="preserve">4. Date and frequency of update: </w:t>
      </w:r>
    </w:p>
    <w:p w14:paraId="3B1F40C5" w14:textId="77777777" w:rsidR="006863D4" w:rsidRPr="006863D4" w:rsidRDefault="006863D4" w:rsidP="006863D4">
      <w:r w:rsidRPr="006863D4">
        <w:t xml:space="preserve">Ongoing </w:t>
      </w:r>
    </w:p>
    <w:p w14:paraId="390489C0" w14:textId="77777777" w:rsidR="006863D4" w:rsidRPr="006863D4" w:rsidRDefault="006863D4" w:rsidP="006863D4">
      <w:pPr>
        <w:rPr>
          <w:b/>
        </w:rPr>
      </w:pPr>
      <w:r w:rsidRPr="006863D4">
        <w:rPr>
          <w:b/>
        </w:rPr>
        <w:t xml:space="preserve">5. Commentary on usefulness and applicability of information to Natura 2000 funding </w:t>
      </w:r>
    </w:p>
    <w:p w14:paraId="7E256FD3" w14:textId="77777777" w:rsidR="006863D4" w:rsidRPr="006863D4" w:rsidRDefault="006863D4" w:rsidP="006863D4">
      <w:r w:rsidRPr="006863D4">
        <w:t xml:space="preserve">The ENTRUST directory of funders has potentially substantial application to funding of Natura 2000. The Landfill Communities Fund has been highlighted in previous studies (eg. Kettunen, et al, 2011) as having potential for further development as an innovative financing source for Natura 2000, although one restriction relating to the LCF is that funds can only be spent on capital projects- rather than monitoring or other ongoing expenses. Nonetheless, many of the Environmental Trusts within the directory are engaged in a range of activities relating to nature conservation. </w:t>
      </w:r>
    </w:p>
    <w:p w14:paraId="7D3FF320" w14:textId="3448E1E0" w:rsidR="006863D4" w:rsidRPr="006863D4" w:rsidRDefault="006863D4" w:rsidP="006863D4">
      <w:pPr>
        <w:pStyle w:val="AnnexH3"/>
      </w:pPr>
      <w:r w:rsidRPr="006863D4">
        <w:t xml:space="preserve">Welsh Environment Research Hub </w:t>
      </w:r>
      <w:r w:rsidR="001D15FE">
        <w:t xml:space="preserve">(WERH) </w:t>
      </w:r>
    </w:p>
    <w:p w14:paraId="195F0E09" w14:textId="77777777" w:rsidR="006863D4" w:rsidRPr="006863D4" w:rsidRDefault="006863D4" w:rsidP="006863D4">
      <w:pPr>
        <w:rPr>
          <w:b/>
        </w:rPr>
      </w:pPr>
      <w:r w:rsidRPr="006863D4">
        <w:rPr>
          <w:b/>
        </w:rPr>
        <w:t xml:space="preserve">1. Author/organisation responsible: </w:t>
      </w:r>
    </w:p>
    <w:p w14:paraId="6EAA2909" w14:textId="77777777" w:rsidR="006863D4" w:rsidRPr="006863D4" w:rsidRDefault="006863D4" w:rsidP="006863D4">
      <w:r w:rsidRPr="006863D4">
        <w:t xml:space="preserve">Bangor University </w:t>
      </w:r>
    </w:p>
    <w:p w14:paraId="10F54033" w14:textId="77777777" w:rsidR="006863D4" w:rsidRPr="006863D4" w:rsidRDefault="006863D4" w:rsidP="006863D4">
      <w:pPr>
        <w:rPr>
          <w:b/>
        </w:rPr>
      </w:pPr>
      <w:r w:rsidRPr="006863D4">
        <w:rPr>
          <w:b/>
        </w:rPr>
        <w:t xml:space="preserve">2. URL: </w:t>
      </w:r>
    </w:p>
    <w:p w14:paraId="2BAC96CE" w14:textId="77777777" w:rsidR="006863D4" w:rsidRPr="006863D4" w:rsidRDefault="001655CC" w:rsidP="006863D4">
      <w:hyperlink r:id="rId61" w:history="1">
        <w:r w:rsidR="006863D4" w:rsidRPr="006863D4">
          <w:rPr>
            <w:color w:val="0000FF" w:themeColor="hyperlink"/>
            <w:u w:val="single"/>
          </w:rPr>
          <w:t>http://www.werh.org/Funding/OtherFundingSources.php.en</w:t>
        </w:r>
      </w:hyperlink>
      <w:r w:rsidR="006863D4" w:rsidRPr="006863D4">
        <w:t xml:space="preserve"> </w:t>
      </w:r>
    </w:p>
    <w:p w14:paraId="1722321B" w14:textId="77777777" w:rsidR="006863D4" w:rsidRPr="006863D4" w:rsidRDefault="006863D4" w:rsidP="006863D4">
      <w:pPr>
        <w:rPr>
          <w:b/>
        </w:rPr>
      </w:pPr>
      <w:r w:rsidRPr="006863D4">
        <w:rPr>
          <w:b/>
        </w:rPr>
        <w:t xml:space="preserve">3. Summary of information provided, including numbers and types of funding sources covered, geography and level of information provided: </w:t>
      </w:r>
    </w:p>
    <w:p w14:paraId="15E90469" w14:textId="77777777" w:rsidR="006863D4" w:rsidRPr="006863D4" w:rsidRDefault="006863D4" w:rsidP="006863D4">
      <w:r w:rsidRPr="006863D4">
        <w:t xml:space="preserve">The Wales Environment Research Hub helps to co-ordinate environmental research in Wales to strengthen the evidence base for the Welsh Government. The Hub promotes collaboration between research providers in universities and research institutes, and users of research - primarily government and its agencies.   </w:t>
      </w:r>
    </w:p>
    <w:p w14:paraId="275AF861" w14:textId="77777777" w:rsidR="006863D4" w:rsidRPr="006863D4" w:rsidRDefault="006863D4" w:rsidP="006863D4">
      <w:r w:rsidRPr="006863D4">
        <w:t xml:space="preserve">The Hub maintains a directory of over 50 funding sources on its website relating to a range of environmental activities including capital grants, monitoring and maintenance work, education and research. Funds vary in size from small-scale personal grants (£500), large-scale grants of up to £50,000, and national, European and research grants ranging from several hundred thousand to multi-million pound investments. Funding sources are structured thematically and geographically, and include a diverse range of public and private bodies, charitable organisations and application support services. </w:t>
      </w:r>
    </w:p>
    <w:p w14:paraId="67F7589C" w14:textId="77777777" w:rsidR="006863D4" w:rsidRPr="006863D4" w:rsidRDefault="006863D4" w:rsidP="006863D4">
      <w:pPr>
        <w:rPr>
          <w:b/>
        </w:rPr>
      </w:pPr>
      <w:r w:rsidRPr="006863D4">
        <w:rPr>
          <w:b/>
        </w:rPr>
        <w:t xml:space="preserve">4. Date and frequency of update: </w:t>
      </w:r>
    </w:p>
    <w:p w14:paraId="170F3B6E" w14:textId="77777777" w:rsidR="006863D4" w:rsidRPr="006863D4" w:rsidRDefault="006863D4" w:rsidP="006863D4">
      <w:r w:rsidRPr="006863D4">
        <w:t>Ongoing</w:t>
      </w:r>
    </w:p>
    <w:p w14:paraId="3E67ADDF" w14:textId="77777777" w:rsidR="006863D4" w:rsidRPr="006863D4" w:rsidRDefault="006863D4" w:rsidP="006863D4">
      <w:pPr>
        <w:rPr>
          <w:b/>
        </w:rPr>
      </w:pPr>
      <w:r w:rsidRPr="006863D4">
        <w:rPr>
          <w:b/>
        </w:rPr>
        <w:t xml:space="preserve">5. Commentary on usefulness and applicability of information to Natura 2000 funding </w:t>
      </w:r>
    </w:p>
    <w:p w14:paraId="2A8625B8" w14:textId="77777777" w:rsidR="006863D4" w:rsidRPr="006863D4" w:rsidRDefault="006863D4" w:rsidP="006863D4">
      <w:r w:rsidRPr="006863D4">
        <w:t xml:space="preserve">The WERH is updated regularly and provides a comprehensive source of information relevant to Natura 2000 at a range of geographical scales- from local (Welsh) sources to national and European scales. In particular, these funding sources can support a range of activities relating to Natura 2000- including monitoring and evidence-gathering activities- that are less supported elsewhere. </w:t>
      </w:r>
    </w:p>
    <w:p w14:paraId="7761D849" w14:textId="77777777" w:rsidR="006863D4" w:rsidRPr="006863D4" w:rsidRDefault="006863D4" w:rsidP="006863D4">
      <w:r w:rsidRPr="006863D4">
        <w:t>A heavy focus on research grants and opportunities to support research activities is particularly relevant in the context of planning and monitoring of Natura 2000 areas, and may present good opportunities for small-scale monitoring and evidence-gathering activities that could support larger funding applications. This includes small-scale grants (£300-£500) as well as larger research grants to support ongoing research projects, typically in the region of £15,000.</w:t>
      </w:r>
    </w:p>
    <w:p w14:paraId="7FB35D8E" w14:textId="01A7C650" w:rsidR="006863D4" w:rsidRPr="006863D4" w:rsidRDefault="001D15FE" w:rsidP="006863D4">
      <w:pPr>
        <w:pStyle w:val="AnnexH3"/>
      </w:pPr>
      <w:r>
        <w:t>Welsh Government</w:t>
      </w:r>
      <w:r w:rsidR="006863D4" w:rsidRPr="006863D4">
        <w:t xml:space="preserve"> Research Service- Funding and Information: Environmental, Countryside and Climate Change Projects</w:t>
      </w:r>
    </w:p>
    <w:p w14:paraId="1F19064D" w14:textId="77777777" w:rsidR="006863D4" w:rsidRPr="006863D4" w:rsidRDefault="006863D4" w:rsidP="006863D4">
      <w:pPr>
        <w:rPr>
          <w:b/>
        </w:rPr>
      </w:pPr>
      <w:r w:rsidRPr="006863D4">
        <w:rPr>
          <w:b/>
        </w:rPr>
        <w:t xml:space="preserve">1. Author/organisation responsible: </w:t>
      </w:r>
    </w:p>
    <w:p w14:paraId="1E13793D" w14:textId="1C6FA941" w:rsidR="006863D4" w:rsidRPr="006863D4" w:rsidRDefault="001D15FE" w:rsidP="006863D4">
      <w:r>
        <w:t>Welsh Government</w:t>
      </w:r>
    </w:p>
    <w:p w14:paraId="6C1ED4A7" w14:textId="77777777" w:rsidR="006863D4" w:rsidRPr="006863D4" w:rsidRDefault="006863D4" w:rsidP="006863D4">
      <w:pPr>
        <w:rPr>
          <w:b/>
        </w:rPr>
      </w:pPr>
      <w:r w:rsidRPr="006863D4">
        <w:rPr>
          <w:b/>
        </w:rPr>
        <w:t xml:space="preserve">2. URL: </w:t>
      </w:r>
    </w:p>
    <w:p w14:paraId="75D0ED0C" w14:textId="77777777" w:rsidR="006863D4" w:rsidRPr="006863D4" w:rsidRDefault="001655CC" w:rsidP="006863D4">
      <w:hyperlink r:id="rId62" w:history="1">
        <w:r w:rsidR="006863D4" w:rsidRPr="006863D4">
          <w:rPr>
            <w:color w:val="0000FF" w:themeColor="hyperlink"/>
            <w:u w:val="single"/>
          </w:rPr>
          <w:t>http://www.assemblywales.org/Research%20Documents/Funding%20and%20Information%20Environmental,%20countryside%20and%20climate%20change%20projects%20-%20Constituent%20factsheets-20122013-246824/faq13-001-English.pdf</w:t>
        </w:r>
      </w:hyperlink>
    </w:p>
    <w:p w14:paraId="6B22D23A" w14:textId="77777777" w:rsidR="006863D4" w:rsidRPr="006863D4" w:rsidRDefault="006863D4" w:rsidP="006863D4">
      <w:pPr>
        <w:rPr>
          <w:b/>
        </w:rPr>
      </w:pPr>
      <w:r w:rsidRPr="006863D4">
        <w:rPr>
          <w:b/>
        </w:rPr>
        <w:t xml:space="preserve">3. Summary of information provided, including numbers and types of funding sources covered, geography and level of information provided: </w:t>
      </w:r>
    </w:p>
    <w:p w14:paraId="31E7F86D" w14:textId="02BCF351" w:rsidR="006863D4" w:rsidRPr="006863D4" w:rsidRDefault="006863D4" w:rsidP="006863D4">
      <w:r w:rsidRPr="006863D4">
        <w:t xml:space="preserve">The </w:t>
      </w:r>
      <w:r w:rsidR="001D15FE">
        <w:t>Welsh Government</w:t>
      </w:r>
      <w:r w:rsidRPr="006863D4">
        <w:t xml:space="preserve"> regularly updates a factsheet relating to research funding opportunities in the area of environmental, countryside and climate change projects. These factsheets provide an overview of current public, private and charitable funding sources available in Wales to support environmental projects.</w:t>
      </w:r>
    </w:p>
    <w:p w14:paraId="2B324318" w14:textId="77777777" w:rsidR="006863D4" w:rsidRPr="006863D4" w:rsidRDefault="006863D4" w:rsidP="006863D4">
      <w:pPr>
        <w:rPr>
          <w:b/>
        </w:rPr>
      </w:pPr>
      <w:r w:rsidRPr="006863D4">
        <w:rPr>
          <w:b/>
        </w:rPr>
        <w:t xml:space="preserve">4. Date and frequency of update: </w:t>
      </w:r>
    </w:p>
    <w:p w14:paraId="4244ACDC" w14:textId="77777777" w:rsidR="006863D4" w:rsidRPr="006863D4" w:rsidRDefault="006863D4" w:rsidP="006863D4">
      <w:r w:rsidRPr="006863D4">
        <w:t>Ongoing</w:t>
      </w:r>
    </w:p>
    <w:p w14:paraId="5FA85627" w14:textId="77777777" w:rsidR="006863D4" w:rsidRPr="006863D4" w:rsidRDefault="006863D4" w:rsidP="006863D4">
      <w:pPr>
        <w:rPr>
          <w:b/>
        </w:rPr>
      </w:pPr>
      <w:r w:rsidRPr="006863D4">
        <w:rPr>
          <w:b/>
        </w:rPr>
        <w:t xml:space="preserve">5. Commentary on usefulness and applicability of information to Natura 2000 funding </w:t>
      </w:r>
    </w:p>
    <w:p w14:paraId="57FDF507" w14:textId="77777777" w:rsidR="006863D4" w:rsidRPr="006863D4" w:rsidRDefault="006863D4" w:rsidP="006863D4">
      <w:r w:rsidRPr="006863D4">
        <w:t xml:space="preserve">This factsheet is a valuable starting point for information on funding resources for Natura 2000 in Wales, providing background, eligibility criteria and contacts for a range of funding. </w:t>
      </w:r>
    </w:p>
    <w:p w14:paraId="44ADE5BC" w14:textId="77777777" w:rsidR="006863D4" w:rsidRPr="006863D4" w:rsidRDefault="006863D4" w:rsidP="006863D4">
      <w:pPr>
        <w:pStyle w:val="AnnexH3"/>
      </w:pPr>
      <w:r w:rsidRPr="006863D4">
        <w:t xml:space="preserve">Environment Wales </w:t>
      </w:r>
    </w:p>
    <w:p w14:paraId="5E532F1E" w14:textId="77777777" w:rsidR="006863D4" w:rsidRPr="006863D4" w:rsidRDefault="006863D4" w:rsidP="006863D4">
      <w:pPr>
        <w:rPr>
          <w:b/>
        </w:rPr>
      </w:pPr>
      <w:r w:rsidRPr="006863D4">
        <w:rPr>
          <w:b/>
        </w:rPr>
        <w:t xml:space="preserve">1. Author/organisation responsible: </w:t>
      </w:r>
    </w:p>
    <w:p w14:paraId="3843793A" w14:textId="77777777" w:rsidR="006863D4" w:rsidRPr="006863D4" w:rsidRDefault="006863D4" w:rsidP="006863D4">
      <w:r w:rsidRPr="006863D4">
        <w:t xml:space="preserve">Range of civil society partners (including Keep Wales Tidy, The National Trust, Wildlife Trusts Wales, WCVA, Groundwork in Wales, Cynnal Cymru-Sustain Wales and The Woodland Trust). </w:t>
      </w:r>
    </w:p>
    <w:p w14:paraId="0F8E6C0E" w14:textId="77777777" w:rsidR="006863D4" w:rsidRPr="006863D4" w:rsidRDefault="006863D4" w:rsidP="006863D4">
      <w:pPr>
        <w:rPr>
          <w:b/>
        </w:rPr>
      </w:pPr>
      <w:r w:rsidRPr="006863D4">
        <w:rPr>
          <w:b/>
        </w:rPr>
        <w:t xml:space="preserve">2. URL: </w:t>
      </w:r>
    </w:p>
    <w:p w14:paraId="65D42196" w14:textId="77777777" w:rsidR="006863D4" w:rsidRPr="006863D4" w:rsidRDefault="001655CC" w:rsidP="006863D4">
      <w:hyperlink r:id="rId63" w:history="1">
        <w:r w:rsidR="006863D4" w:rsidRPr="006863D4">
          <w:rPr>
            <w:color w:val="0000FF" w:themeColor="hyperlink"/>
            <w:u w:val="single"/>
          </w:rPr>
          <w:t>http://www.environment-wales.org/</w:t>
        </w:r>
      </w:hyperlink>
      <w:r w:rsidR="006863D4" w:rsidRPr="006863D4">
        <w:t xml:space="preserve"> </w:t>
      </w:r>
    </w:p>
    <w:p w14:paraId="161962CB" w14:textId="77777777" w:rsidR="006863D4" w:rsidRPr="006863D4" w:rsidRDefault="006863D4" w:rsidP="006863D4">
      <w:pPr>
        <w:rPr>
          <w:b/>
        </w:rPr>
      </w:pPr>
      <w:r w:rsidRPr="006863D4">
        <w:rPr>
          <w:b/>
        </w:rPr>
        <w:t xml:space="preserve">3. Summary of information provided, including numbers and types of funding sources covered, geography and level of information provided: </w:t>
      </w:r>
    </w:p>
    <w:p w14:paraId="66EFBD6A" w14:textId="77777777" w:rsidR="006863D4" w:rsidRPr="006863D4" w:rsidRDefault="006863D4" w:rsidP="006863D4">
      <w:r w:rsidRPr="006863D4">
        <w:t>Environment Wales works to provide advice and support to the development and funding of specific project activities relating to conservation in Wales.</w:t>
      </w:r>
    </w:p>
    <w:p w14:paraId="16428A24" w14:textId="77777777" w:rsidR="006863D4" w:rsidRPr="006863D4" w:rsidRDefault="006863D4" w:rsidP="006863D4">
      <w:r w:rsidRPr="006863D4">
        <w:t xml:space="preserve">The Development Officer Team works to provide community and voluntary groups with advice and support. Each project supported by Environment Wales is allocated a dedicated Development Officer who remains a constant point of contact. Environment Wales also provides funding through 5 different grant streams, directing funding towards projects rather than organisations or groups- applications for funding are considered on a monthly basis. Business development support and grants can be provided to  </w:t>
      </w:r>
    </w:p>
    <w:p w14:paraId="11BA3982" w14:textId="77777777" w:rsidR="006863D4" w:rsidRPr="006863D4" w:rsidRDefault="006863D4" w:rsidP="006863D4">
      <w:pPr>
        <w:pStyle w:val="Bullet1Last"/>
      </w:pPr>
      <w:r w:rsidRPr="006863D4">
        <w:t>Environmental improvement;</w:t>
      </w:r>
    </w:p>
    <w:p w14:paraId="303CED12" w14:textId="77777777" w:rsidR="006863D4" w:rsidRPr="006863D4" w:rsidRDefault="006863D4" w:rsidP="006863D4">
      <w:pPr>
        <w:pStyle w:val="Bullet1Last"/>
      </w:pPr>
      <w:r w:rsidRPr="006863D4">
        <w:t xml:space="preserve">Environmental education and awareness, </w:t>
      </w:r>
    </w:p>
    <w:p w14:paraId="2C5F91E6" w14:textId="77777777" w:rsidR="006863D4" w:rsidRPr="006863D4" w:rsidRDefault="006863D4" w:rsidP="006863D4">
      <w:pPr>
        <w:pStyle w:val="Bullet1Last"/>
      </w:pPr>
      <w:r w:rsidRPr="006863D4">
        <w:t xml:space="preserve">Environmental enterprise, </w:t>
      </w:r>
    </w:p>
    <w:p w14:paraId="696CED88" w14:textId="77777777" w:rsidR="006863D4" w:rsidRPr="006863D4" w:rsidRDefault="006863D4" w:rsidP="006863D4">
      <w:pPr>
        <w:pStyle w:val="Bullet1Last"/>
      </w:pPr>
      <w:r w:rsidRPr="006863D4">
        <w:t xml:space="preserve">Environmental training and volunteering.  </w:t>
      </w:r>
    </w:p>
    <w:p w14:paraId="12E17777" w14:textId="77777777" w:rsidR="006863D4" w:rsidRPr="006863D4" w:rsidRDefault="006863D4" w:rsidP="006863D4">
      <w:r w:rsidRPr="006863D4">
        <w:t xml:space="preserve">Environment Wales regularly produces an information pack on funding opportunities relating to environmental projects- including its own grant provisions. Grants range in size, from £600 one-off payments to £12,000 annual awards, and are contingent on ‘match funding’, where EW meets up to 75% of a project’s costs with the remainder coming from other sources or ‘in-kind’ voluntary work. Because EW is financed by the Welsh Government, other organisations providing funds, such as NRW, Tourist Board, and some WCVA grants are included within the 75% threshold. </w:t>
      </w:r>
    </w:p>
    <w:p w14:paraId="6EB0C9C6" w14:textId="77777777" w:rsidR="006863D4" w:rsidRPr="006863D4" w:rsidRDefault="006863D4" w:rsidP="006863D4">
      <w:r w:rsidRPr="006863D4">
        <w:t xml:space="preserve">The Environment Wales Management Grant Scheme provides up to 6 years of funding for project-based personnel posts. Monitoring reports indicate that this funding is highly effective in building capacity in voluntary sector organisations and creating sustainable jobs. However, the fund is oversubscribed with applications outnumbering grants approximately fourfold each year (WEL, 2014). The deadline for Management Grant applications is usually October each year. </w:t>
      </w:r>
    </w:p>
    <w:p w14:paraId="0F399DF4" w14:textId="77777777" w:rsidR="006863D4" w:rsidRPr="006863D4" w:rsidRDefault="006863D4" w:rsidP="006863D4">
      <w:r w:rsidRPr="006863D4">
        <w:t xml:space="preserve">The Training Grant Scheme, meanwhile, is a £600,000 annual fund that covers training costs for volunteers and staff relevant to project activity, but is also oversubscribed as this covers the full spectrum of environmental community voluntary activity. The scale of individual Training Grants (£600) is also felt to be insufficient. </w:t>
      </w:r>
    </w:p>
    <w:p w14:paraId="306D5835" w14:textId="77777777" w:rsidR="006863D4" w:rsidRPr="006863D4" w:rsidRDefault="006863D4" w:rsidP="006863D4">
      <w:pPr>
        <w:rPr>
          <w:b/>
        </w:rPr>
      </w:pPr>
      <w:r w:rsidRPr="006863D4">
        <w:rPr>
          <w:b/>
        </w:rPr>
        <w:t xml:space="preserve">4. Date and frequency of update: </w:t>
      </w:r>
    </w:p>
    <w:p w14:paraId="6DDDB66D" w14:textId="77777777" w:rsidR="006863D4" w:rsidRPr="006863D4" w:rsidRDefault="006863D4" w:rsidP="006863D4">
      <w:r w:rsidRPr="006863D4">
        <w:t xml:space="preserve">Monthly </w:t>
      </w:r>
    </w:p>
    <w:p w14:paraId="6DAC773F" w14:textId="77777777" w:rsidR="006863D4" w:rsidRPr="006863D4" w:rsidRDefault="006863D4" w:rsidP="006863D4">
      <w:pPr>
        <w:rPr>
          <w:b/>
        </w:rPr>
      </w:pPr>
      <w:r w:rsidRPr="006863D4">
        <w:rPr>
          <w:b/>
        </w:rPr>
        <w:t xml:space="preserve">5. Commentary on usefulness and applicability of information to Natura 2000 funding </w:t>
      </w:r>
    </w:p>
    <w:p w14:paraId="0C678B46" w14:textId="0D5730CB" w:rsidR="006863D4" w:rsidRPr="006863D4" w:rsidRDefault="006863D4" w:rsidP="006863D4">
      <w:r w:rsidRPr="006863D4">
        <w:t xml:space="preserve">The range of grants administered directly by </w:t>
      </w:r>
      <w:r w:rsidR="00B45B8C">
        <w:t>Environment Wales</w:t>
      </w:r>
      <w:r w:rsidRPr="006863D4">
        <w:t xml:space="preserve"> have a key relevance to specific management measures under Natura 2000. </w:t>
      </w:r>
    </w:p>
    <w:p w14:paraId="7B56B8BE" w14:textId="77777777" w:rsidR="006863D4" w:rsidRPr="006863D4" w:rsidRDefault="006863D4" w:rsidP="006863D4">
      <w:r w:rsidRPr="006863D4">
        <w:t xml:space="preserve">Pre-project grants of up to £6000 are available to undertake feasibility studies, business plans ecological surveys and community appraisal of plans. This could be a valuable resource to address some of the additional costs of establishing innovative and new management mechanisms for Natura 2000, removing the additional financial risk of these measures and minimising the burden on existing public expenditure. </w:t>
      </w:r>
    </w:p>
    <w:p w14:paraId="48FA59B1" w14:textId="77777777" w:rsidR="006863D4" w:rsidRPr="006863D4" w:rsidRDefault="006863D4" w:rsidP="006863D4">
      <w:r w:rsidRPr="006863D4">
        <w:t>Similarly, Training Support grants provide small-scale funds (up to £600) that could be used to support public engagement activities and citizen involvement in the maintenance and monitoring of management measures on existing Natura 2000 sites. These activities could also be supported over longer periods through EW Management Grants (£1000-£12,000 pa).</w:t>
      </w:r>
    </w:p>
    <w:p w14:paraId="474FC121" w14:textId="77777777" w:rsidR="006863D4" w:rsidRPr="006863D4" w:rsidRDefault="006863D4" w:rsidP="006863D4">
      <w:r w:rsidRPr="006863D4">
        <w:t xml:space="preserve">It is important to note that priority for these funding sources is given to projects involving some degree of partnership delivery, innovation or public engagement, as well as impacts on local productivity or incomes. In this regard, there would appear to be a strong link with some of the socio-economic benefits of Natura 2000, and EW grants could be a valuable source </w:t>
      </w:r>
    </w:p>
    <w:p w14:paraId="59B0E30E" w14:textId="4D3E9DE0" w:rsidR="006863D4" w:rsidRPr="006863D4" w:rsidRDefault="001D15FE" w:rsidP="006863D4">
      <w:pPr>
        <w:pStyle w:val="AnnexH3"/>
      </w:pPr>
      <w:r>
        <w:t xml:space="preserve">Welsh Government Glastir Woodland Creation and Woodland Management Schemes </w:t>
      </w:r>
    </w:p>
    <w:p w14:paraId="720388A5" w14:textId="77777777" w:rsidR="006863D4" w:rsidRPr="006863D4" w:rsidRDefault="006863D4" w:rsidP="006863D4">
      <w:pPr>
        <w:rPr>
          <w:b/>
        </w:rPr>
      </w:pPr>
      <w:r w:rsidRPr="006863D4">
        <w:rPr>
          <w:b/>
        </w:rPr>
        <w:t xml:space="preserve">1. Author/organisation responsible: </w:t>
      </w:r>
    </w:p>
    <w:p w14:paraId="0C9E05C0" w14:textId="77777777" w:rsidR="006863D4" w:rsidRPr="006863D4" w:rsidRDefault="006863D4" w:rsidP="006863D4">
      <w:r w:rsidRPr="006863D4">
        <w:t xml:space="preserve">Welsh Government/Natural Resources Wales </w:t>
      </w:r>
    </w:p>
    <w:p w14:paraId="254F4821" w14:textId="77777777" w:rsidR="006863D4" w:rsidRPr="006863D4" w:rsidRDefault="006863D4" w:rsidP="006863D4">
      <w:pPr>
        <w:rPr>
          <w:b/>
        </w:rPr>
      </w:pPr>
      <w:r w:rsidRPr="006863D4">
        <w:rPr>
          <w:b/>
        </w:rPr>
        <w:t xml:space="preserve">2. URL: </w:t>
      </w:r>
    </w:p>
    <w:p w14:paraId="6D8EE85C" w14:textId="77777777" w:rsidR="006863D4" w:rsidRPr="006863D4" w:rsidRDefault="001655CC" w:rsidP="006863D4">
      <w:hyperlink r:id="rId64" w:history="1">
        <w:r w:rsidR="006863D4" w:rsidRPr="006863D4">
          <w:rPr>
            <w:color w:val="0000FF" w:themeColor="hyperlink"/>
            <w:u w:val="single"/>
          </w:rPr>
          <w:t>http://www.forestry.gov.uk/glastirwoodland</w:t>
        </w:r>
      </w:hyperlink>
      <w:r w:rsidR="006863D4" w:rsidRPr="006863D4">
        <w:t xml:space="preserve"> </w:t>
      </w:r>
    </w:p>
    <w:p w14:paraId="1E75117A" w14:textId="77777777" w:rsidR="006863D4" w:rsidRPr="006863D4" w:rsidRDefault="006863D4" w:rsidP="006863D4">
      <w:pPr>
        <w:rPr>
          <w:b/>
        </w:rPr>
      </w:pPr>
      <w:r w:rsidRPr="006863D4">
        <w:rPr>
          <w:b/>
        </w:rPr>
        <w:t xml:space="preserve">3. Summary of information provided, including numbers and types of funding sources covered, geography and level of information provided: </w:t>
      </w:r>
    </w:p>
    <w:p w14:paraId="0C2C3922" w14:textId="763B7C01" w:rsidR="006863D4" w:rsidRPr="006863D4" w:rsidRDefault="006863D4" w:rsidP="006863D4">
      <w:r w:rsidRPr="006863D4">
        <w:t>Although the functions of the Forestry Commission Wales have since been superseded by Natural Resources Wales, the Welsh Government maintains information on the forest grant schemes at the time of writing. These are now administered by the Welsh Government under the Glastir Woodland Creation and Woodland Management Schemes. All landowners in Wales with more than 0.25ha are eligible to apply for these schemes. For woodland creation, this entails an establishment grant (ranging from £3500-£50</w:t>
      </w:r>
      <w:r w:rsidR="001D15FE">
        <w:t>0</w:t>
      </w:r>
      <w:r w:rsidRPr="006863D4">
        <w:t xml:space="preserve">0/ha) a fencing grant and compensation for income foregone. The Glastir Woodland Management Grant can support a wide range of activities including habitat restoration, silvicultural improvements and the management of invasive species.  Woodland infrastructure like tracks and paths can also be funded. </w:t>
      </w:r>
    </w:p>
    <w:p w14:paraId="17988F97" w14:textId="77777777" w:rsidR="006863D4" w:rsidRPr="006863D4" w:rsidRDefault="006863D4" w:rsidP="006863D4">
      <w:pPr>
        <w:rPr>
          <w:b/>
        </w:rPr>
      </w:pPr>
      <w:r w:rsidRPr="006863D4">
        <w:rPr>
          <w:b/>
        </w:rPr>
        <w:t xml:space="preserve">4. Date and frequency of update: </w:t>
      </w:r>
    </w:p>
    <w:p w14:paraId="52C95D36" w14:textId="77777777" w:rsidR="006863D4" w:rsidRPr="006863D4" w:rsidRDefault="006863D4" w:rsidP="006863D4">
      <w:r w:rsidRPr="006863D4">
        <w:t>Ongoing</w:t>
      </w:r>
    </w:p>
    <w:p w14:paraId="1209B3CA" w14:textId="77777777" w:rsidR="006863D4" w:rsidRPr="006863D4" w:rsidRDefault="006863D4" w:rsidP="006863D4">
      <w:pPr>
        <w:rPr>
          <w:b/>
        </w:rPr>
      </w:pPr>
      <w:r w:rsidRPr="006863D4">
        <w:rPr>
          <w:b/>
        </w:rPr>
        <w:t xml:space="preserve">5. Commentary on usefulness and applicability of information to Natura 2000 funding </w:t>
      </w:r>
    </w:p>
    <w:p w14:paraId="194317B0" w14:textId="0267E640" w:rsidR="006863D4" w:rsidRPr="006863D4" w:rsidRDefault="006863D4" w:rsidP="006863D4">
      <w:r w:rsidRPr="006863D4">
        <w:t xml:space="preserve">Woodland creation and maintenance can play a significant role in the maintenance of biodiversity (including the maintenance of woodland species) providing habitat and increasing the resilience of ecosystems to climatic events. Within the Natura 2000 network, native woodland has a pivotal role to play in supporting valued species and habitats and the </w:t>
      </w:r>
      <w:r w:rsidR="001D15FE">
        <w:t>NRW</w:t>
      </w:r>
      <w:r w:rsidR="001D15FE" w:rsidRPr="006863D4">
        <w:t xml:space="preserve"> </w:t>
      </w:r>
      <w:r w:rsidRPr="006863D4">
        <w:t>website provides a useful overview of the range of incentives available to finance the creation and ongoing maintenance of woodland in Wales.</w:t>
      </w:r>
    </w:p>
    <w:p w14:paraId="3DF08378" w14:textId="77777777" w:rsidR="006863D4" w:rsidRPr="006863D4" w:rsidRDefault="006863D4" w:rsidP="006863D4">
      <w:pPr>
        <w:pStyle w:val="AnnexH2"/>
      </w:pPr>
      <w:bookmarkStart w:id="273" w:name="_Toc400102404"/>
      <w:r w:rsidRPr="006863D4">
        <w:t>Private Funding Sources</w:t>
      </w:r>
      <w:bookmarkEnd w:id="273"/>
      <w:r w:rsidRPr="006863D4">
        <w:t xml:space="preserve"> </w:t>
      </w:r>
    </w:p>
    <w:p w14:paraId="4EF065D7" w14:textId="77777777" w:rsidR="006863D4" w:rsidRPr="006863D4" w:rsidRDefault="006863D4" w:rsidP="006863D4">
      <w:pPr>
        <w:pStyle w:val="AnnexH3"/>
      </w:pPr>
      <w:r w:rsidRPr="006863D4">
        <w:t>GrantScape</w:t>
      </w:r>
    </w:p>
    <w:p w14:paraId="777FBB60" w14:textId="77777777" w:rsidR="006863D4" w:rsidRPr="006863D4" w:rsidRDefault="006863D4" w:rsidP="006863D4">
      <w:pPr>
        <w:rPr>
          <w:b/>
        </w:rPr>
      </w:pPr>
      <w:r w:rsidRPr="006863D4">
        <w:rPr>
          <w:b/>
        </w:rPr>
        <w:t xml:space="preserve">1. Author/organisation responsible: </w:t>
      </w:r>
    </w:p>
    <w:p w14:paraId="7A443CA5" w14:textId="77777777" w:rsidR="006863D4" w:rsidRPr="006863D4" w:rsidRDefault="006863D4" w:rsidP="006863D4">
      <w:r w:rsidRPr="006863D4">
        <w:t xml:space="preserve">GrantScape </w:t>
      </w:r>
    </w:p>
    <w:p w14:paraId="26D78000" w14:textId="77777777" w:rsidR="006863D4" w:rsidRPr="006863D4" w:rsidRDefault="006863D4" w:rsidP="006863D4">
      <w:pPr>
        <w:rPr>
          <w:b/>
        </w:rPr>
      </w:pPr>
      <w:r w:rsidRPr="006863D4">
        <w:rPr>
          <w:b/>
        </w:rPr>
        <w:t xml:space="preserve">2. URL: </w:t>
      </w:r>
    </w:p>
    <w:p w14:paraId="345655CB" w14:textId="77777777" w:rsidR="006863D4" w:rsidRPr="006863D4" w:rsidRDefault="001655CC" w:rsidP="006863D4">
      <w:hyperlink r:id="rId65" w:history="1">
        <w:r w:rsidR="006863D4" w:rsidRPr="006863D4">
          <w:rPr>
            <w:color w:val="0000FF" w:themeColor="hyperlink"/>
            <w:u w:val="single"/>
          </w:rPr>
          <w:t>http://www.grantscape.org.uk/find-a-grant/</w:t>
        </w:r>
      </w:hyperlink>
    </w:p>
    <w:p w14:paraId="6F2625C2" w14:textId="77777777" w:rsidR="006863D4" w:rsidRPr="006863D4" w:rsidRDefault="006863D4" w:rsidP="006863D4">
      <w:pPr>
        <w:rPr>
          <w:b/>
        </w:rPr>
      </w:pPr>
      <w:r w:rsidRPr="006863D4">
        <w:rPr>
          <w:b/>
        </w:rPr>
        <w:t xml:space="preserve">3. Summary of information provided, including numbers and types of funding sources covered, geography and level of information provided: </w:t>
      </w:r>
    </w:p>
    <w:p w14:paraId="25837B97" w14:textId="77777777" w:rsidR="006863D4" w:rsidRPr="006863D4" w:rsidRDefault="006863D4" w:rsidP="006863D4">
      <w:r w:rsidRPr="006863D4">
        <w:t xml:space="preserve">GrantScape is a charity which specialises in grant management and is one of the UK’s major grant-makers, having developed a range of customer-focused community fund management services for organisations and individuals. The focus of GrantScape’s activities is on projects that aim to strengthen local communities and protection of the natural environment. </w:t>
      </w:r>
    </w:p>
    <w:p w14:paraId="402909ED" w14:textId="0A43B81B" w:rsidR="006863D4" w:rsidRPr="006863D4" w:rsidRDefault="006863D4" w:rsidP="006863D4">
      <w:r w:rsidRPr="006863D4">
        <w:t>GrantScape maintains a grant finder search engine, which provides up-to-date links to funding sources across the UK. Currently, the only active link of relevance to nature protection in Wales is in Carmarthenshire- the CWM Community and Environmental Fund, which provides grants of £5000-£50,000 from the Landfill Communities Fund</w:t>
      </w:r>
    </w:p>
    <w:p w14:paraId="016E9A2D" w14:textId="77777777" w:rsidR="006863D4" w:rsidRPr="006863D4" w:rsidRDefault="006863D4" w:rsidP="006863D4">
      <w:pPr>
        <w:rPr>
          <w:b/>
        </w:rPr>
      </w:pPr>
      <w:r w:rsidRPr="006863D4">
        <w:rPr>
          <w:b/>
        </w:rPr>
        <w:t xml:space="preserve">4. Date and frequency of update: </w:t>
      </w:r>
    </w:p>
    <w:p w14:paraId="0B1D51FE" w14:textId="77777777" w:rsidR="006863D4" w:rsidRPr="006863D4" w:rsidRDefault="006863D4" w:rsidP="006863D4">
      <w:r w:rsidRPr="006863D4">
        <w:t>Ongoing</w:t>
      </w:r>
    </w:p>
    <w:p w14:paraId="7EDF461A" w14:textId="77777777" w:rsidR="006863D4" w:rsidRPr="006863D4" w:rsidRDefault="006863D4" w:rsidP="006863D4">
      <w:pPr>
        <w:rPr>
          <w:b/>
        </w:rPr>
      </w:pPr>
      <w:r w:rsidRPr="006863D4">
        <w:rPr>
          <w:b/>
        </w:rPr>
        <w:t xml:space="preserve">5. Commentary on usefulness and applicability of information to Natura 2000 funding </w:t>
      </w:r>
    </w:p>
    <w:p w14:paraId="56914E10" w14:textId="77777777" w:rsidR="006863D4" w:rsidRPr="006863D4" w:rsidRDefault="006863D4" w:rsidP="006863D4">
      <w:r w:rsidRPr="006863D4">
        <w:t xml:space="preserve">At present, GrantScape has only limited relevance to Natura 2000 funding in Wales through the CWM Community and Environmental Fund in Carmarthenshire. However, this could change in the future and notably GrantScape manages other grants in Wales, such as those relating to renewable energy on Anglesey. A focus on community cohesion and nature protection could be linked to certain aspects of Natura 2000 management, for example, management planning, stakeholder engagement and educational activities. </w:t>
      </w:r>
    </w:p>
    <w:p w14:paraId="1F6CB2BA" w14:textId="77777777" w:rsidR="006863D4" w:rsidRPr="006863D4" w:rsidRDefault="006863D4" w:rsidP="006863D4">
      <w:pPr>
        <w:pStyle w:val="AnnexH3"/>
      </w:pPr>
      <w:r w:rsidRPr="006863D4">
        <w:t xml:space="preserve">Biffa Award </w:t>
      </w:r>
    </w:p>
    <w:p w14:paraId="2811472A" w14:textId="77777777" w:rsidR="006863D4" w:rsidRPr="006863D4" w:rsidRDefault="006863D4" w:rsidP="006863D4">
      <w:pPr>
        <w:rPr>
          <w:b/>
        </w:rPr>
      </w:pPr>
      <w:r w:rsidRPr="006863D4">
        <w:rPr>
          <w:b/>
        </w:rPr>
        <w:t xml:space="preserve">1. Author/organisation responsible: </w:t>
      </w:r>
    </w:p>
    <w:p w14:paraId="39E3D593" w14:textId="77777777" w:rsidR="006863D4" w:rsidRPr="006863D4" w:rsidRDefault="006863D4" w:rsidP="006863D4">
      <w:r w:rsidRPr="006863D4">
        <w:t>Royal Society of Wildlife Trusts</w:t>
      </w:r>
    </w:p>
    <w:p w14:paraId="74852E88" w14:textId="77777777" w:rsidR="006863D4" w:rsidRPr="006863D4" w:rsidRDefault="006863D4" w:rsidP="006863D4">
      <w:pPr>
        <w:rPr>
          <w:b/>
        </w:rPr>
      </w:pPr>
      <w:r w:rsidRPr="006863D4">
        <w:rPr>
          <w:b/>
        </w:rPr>
        <w:t xml:space="preserve">2. URL: </w:t>
      </w:r>
    </w:p>
    <w:p w14:paraId="34571836" w14:textId="77777777" w:rsidR="006863D4" w:rsidRPr="006863D4" w:rsidRDefault="001655CC" w:rsidP="006863D4">
      <w:hyperlink r:id="rId66" w:history="1">
        <w:r w:rsidR="006863D4" w:rsidRPr="006863D4">
          <w:rPr>
            <w:color w:val="0000FF" w:themeColor="hyperlink"/>
            <w:u w:val="single"/>
          </w:rPr>
          <w:t>http://www.biffa-award.org</w:t>
        </w:r>
      </w:hyperlink>
      <w:r w:rsidR="006863D4" w:rsidRPr="006863D4">
        <w:t xml:space="preserve"> </w:t>
      </w:r>
    </w:p>
    <w:p w14:paraId="0C488C63" w14:textId="77777777" w:rsidR="006863D4" w:rsidRPr="006863D4" w:rsidRDefault="006863D4" w:rsidP="006863D4">
      <w:pPr>
        <w:rPr>
          <w:b/>
        </w:rPr>
      </w:pPr>
      <w:r w:rsidRPr="006863D4">
        <w:rPr>
          <w:b/>
        </w:rPr>
        <w:t xml:space="preserve">3. Summary of information provided, including numbers and types of funding sources covered, geography and level of information provided: </w:t>
      </w:r>
    </w:p>
    <w:p w14:paraId="348F7D29" w14:textId="62FA89F2" w:rsidR="006863D4" w:rsidRPr="006863D4" w:rsidRDefault="006863D4" w:rsidP="00B45B8C">
      <w:r w:rsidRPr="006863D4">
        <w:t>Biffa Award provides support for UK projects that provide or improve community spaces for outdoor recreation, and for site-based projects that protect and enhance biodiversity. Over £145m has been allocated to environmental projects since 1997</w:t>
      </w:r>
      <w:r w:rsidR="001D15FE">
        <w:t xml:space="preserve">. </w:t>
      </w:r>
      <w:r w:rsidRPr="006863D4">
        <w:t xml:space="preserve">Funding is provided under the following schemes: </w:t>
      </w:r>
    </w:p>
    <w:p w14:paraId="7FC16435" w14:textId="77777777" w:rsidR="006863D4" w:rsidRPr="006863D4" w:rsidRDefault="006863D4" w:rsidP="006863D4">
      <w:pPr>
        <w:pStyle w:val="Bullet1Last"/>
      </w:pPr>
      <w:r w:rsidRPr="006863D4">
        <w:t>Small grants of between £250 and £10,000</w:t>
      </w:r>
    </w:p>
    <w:p w14:paraId="392E4F0C" w14:textId="77777777" w:rsidR="006863D4" w:rsidRPr="006863D4" w:rsidRDefault="006863D4" w:rsidP="006863D4">
      <w:pPr>
        <w:pStyle w:val="Bullet1Last"/>
      </w:pPr>
      <w:r w:rsidRPr="006863D4">
        <w:t>Main grants of between £10,000 and £50,000</w:t>
      </w:r>
    </w:p>
    <w:p w14:paraId="409B5AB2" w14:textId="77777777" w:rsidR="006863D4" w:rsidRPr="006863D4" w:rsidRDefault="006863D4" w:rsidP="006863D4">
      <w:pPr>
        <w:pStyle w:val="Bullet1Last"/>
      </w:pPr>
      <w:r w:rsidRPr="006863D4">
        <w:t xml:space="preserve">Flagship projects between £100,000 and £500,000 </w:t>
      </w:r>
    </w:p>
    <w:p w14:paraId="6A3582BA" w14:textId="3189BC0B" w:rsidR="006863D4" w:rsidRPr="006863D4" w:rsidRDefault="006863D4" w:rsidP="006863D4">
      <w:r w:rsidRPr="006863D4">
        <w:t xml:space="preserve">Funding for the Award comes from landfill credits donated by Biffa Group Ltd, and the Award is administered by the Royal </w:t>
      </w:r>
      <w:r w:rsidR="001D15FE">
        <w:t>Society</w:t>
      </w:r>
      <w:r w:rsidR="001D15FE" w:rsidRPr="006863D4">
        <w:t xml:space="preserve"> </w:t>
      </w:r>
      <w:r w:rsidRPr="006863D4">
        <w:t xml:space="preserve">of Wildlife Trusts. The listing of grants and projects could provide a useful starting point for identifying project partners for the development of grant applications for Natura 2000. </w:t>
      </w:r>
    </w:p>
    <w:p w14:paraId="21E515A7" w14:textId="77777777" w:rsidR="006863D4" w:rsidRPr="006863D4" w:rsidRDefault="006863D4" w:rsidP="006863D4">
      <w:pPr>
        <w:rPr>
          <w:b/>
        </w:rPr>
      </w:pPr>
      <w:r w:rsidRPr="006863D4">
        <w:rPr>
          <w:b/>
        </w:rPr>
        <w:t xml:space="preserve">4. Date and frequency of update: </w:t>
      </w:r>
    </w:p>
    <w:p w14:paraId="6C7C79B6" w14:textId="77777777" w:rsidR="006863D4" w:rsidRPr="006863D4" w:rsidRDefault="006863D4" w:rsidP="006863D4">
      <w:r w:rsidRPr="006863D4">
        <w:t>Ongoing</w:t>
      </w:r>
    </w:p>
    <w:p w14:paraId="7E563758" w14:textId="77777777" w:rsidR="006863D4" w:rsidRPr="006863D4" w:rsidRDefault="006863D4" w:rsidP="006863D4">
      <w:pPr>
        <w:rPr>
          <w:b/>
        </w:rPr>
      </w:pPr>
      <w:r w:rsidRPr="006863D4">
        <w:rPr>
          <w:b/>
        </w:rPr>
        <w:t xml:space="preserve">5. Commentary on usefulness and applicability of information to Natura 2000 funding </w:t>
      </w:r>
    </w:p>
    <w:p w14:paraId="4C963177" w14:textId="77777777" w:rsidR="006863D4" w:rsidRPr="006863D4" w:rsidRDefault="006863D4" w:rsidP="006863D4">
      <w:r w:rsidRPr="006863D4">
        <w:t xml:space="preserve">The focus on biodiversity protection as a funding theme, coupled with the substantial amounts of funding available under the Biffa Award, suggests that this has particular potential to be developed as a source of Natura 2000 financing. The scale of main grants is particularly suitable to undertake maintenance and monitoring works or for personnel recruitment, whilst the administration of the award by the Wildlife Trusts provides a natural partner for project delivery and further fundraising. </w:t>
      </w:r>
    </w:p>
    <w:p w14:paraId="38F47DDE" w14:textId="77777777" w:rsidR="006863D4" w:rsidRPr="006863D4" w:rsidRDefault="006863D4" w:rsidP="006863D4">
      <w:pPr>
        <w:pStyle w:val="AnnexH3"/>
      </w:pPr>
      <w:r w:rsidRPr="006863D4">
        <w:t xml:space="preserve">Welsh Water/Dwr Cymru </w:t>
      </w:r>
    </w:p>
    <w:p w14:paraId="168D8D1C" w14:textId="77777777" w:rsidR="006863D4" w:rsidRPr="006863D4" w:rsidRDefault="006863D4" w:rsidP="006863D4">
      <w:pPr>
        <w:rPr>
          <w:b/>
        </w:rPr>
      </w:pPr>
      <w:r w:rsidRPr="006863D4">
        <w:rPr>
          <w:b/>
        </w:rPr>
        <w:t xml:space="preserve">1. Author/organisation responsible: </w:t>
      </w:r>
    </w:p>
    <w:p w14:paraId="4F6B2E62" w14:textId="77777777" w:rsidR="006863D4" w:rsidRPr="006863D4" w:rsidRDefault="006863D4" w:rsidP="006863D4">
      <w:r w:rsidRPr="006863D4">
        <w:t xml:space="preserve">Welsh Water </w:t>
      </w:r>
    </w:p>
    <w:p w14:paraId="5DDF3CD1" w14:textId="77777777" w:rsidR="006863D4" w:rsidRPr="006863D4" w:rsidRDefault="006863D4" w:rsidP="006863D4">
      <w:pPr>
        <w:rPr>
          <w:b/>
        </w:rPr>
      </w:pPr>
      <w:r w:rsidRPr="006863D4">
        <w:rPr>
          <w:b/>
        </w:rPr>
        <w:t xml:space="preserve">2. URL: </w:t>
      </w:r>
    </w:p>
    <w:p w14:paraId="582D083F" w14:textId="77777777" w:rsidR="006863D4" w:rsidRPr="006863D4" w:rsidRDefault="001655CC" w:rsidP="006863D4">
      <w:hyperlink r:id="rId67" w:history="1">
        <w:r w:rsidR="006863D4" w:rsidRPr="006863D4">
          <w:rPr>
            <w:color w:val="0000FF" w:themeColor="hyperlink"/>
            <w:u w:val="single"/>
          </w:rPr>
          <w:t>http://www.dwrcymru.co.uk/en/Environment/Water-Framework-Directive-Projects.aspx</w:t>
        </w:r>
      </w:hyperlink>
      <w:r w:rsidR="006863D4" w:rsidRPr="006863D4">
        <w:t xml:space="preserve"> </w:t>
      </w:r>
    </w:p>
    <w:p w14:paraId="52A24F6C" w14:textId="77777777" w:rsidR="006863D4" w:rsidRPr="006863D4" w:rsidRDefault="006863D4" w:rsidP="006863D4">
      <w:pPr>
        <w:rPr>
          <w:b/>
        </w:rPr>
      </w:pPr>
      <w:r w:rsidRPr="006863D4">
        <w:rPr>
          <w:b/>
        </w:rPr>
        <w:t xml:space="preserve">3. Summary of information provided, including numbers and types of funding sources covered, geography and level of information provided: </w:t>
      </w:r>
    </w:p>
    <w:p w14:paraId="37CDC9B6" w14:textId="77777777" w:rsidR="006863D4" w:rsidRPr="006863D4" w:rsidRDefault="006863D4" w:rsidP="006863D4">
      <w:r w:rsidRPr="006863D4">
        <w:t xml:space="preserve">One of the key funding resources on the Welsh Water website is the Water Framework Directive funding scheme, which was launched in 2012 with around £400,000 of funding, and extended by a further £150,000 the following year. The focus of the fund is supporting the activities of non-profit organisations for projects that will deliver improvements to Welsh rivers, lakes and waterways. </w:t>
      </w:r>
    </w:p>
    <w:p w14:paraId="6CC01F09" w14:textId="77777777" w:rsidR="006863D4" w:rsidRPr="006863D4" w:rsidRDefault="006863D4" w:rsidP="006863D4">
      <w:r w:rsidRPr="006863D4">
        <w:t>Projects supported have been mostly focused on realising improvements to the aquatic environment through reducing phosphate and nitrate runoff from various agricultural practices, although a range of other activities including environmental education, awareness and species protection projects have been supported.</w:t>
      </w:r>
    </w:p>
    <w:p w14:paraId="217386E5" w14:textId="77777777" w:rsidR="006863D4" w:rsidRPr="006863D4" w:rsidRDefault="006863D4" w:rsidP="006863D4">
      <w:r w:rsidRPr="006863D4">
        <w:t xml:space="preserve">The Welsh Water website provides general background on the requirements of implementing the Water Framework Directive in Wales, as well as some of the specific agri-environmental opportunities this represents. As such, this provides a useful starting point for pursuing information relating to catchment-based conservation works funding. </w:t>
      </w:r>
    </w:p>
    <w:p w14:paraId="680AC4F3" w14:textId="77777777" w:rsidR="006863D4" w:rsidRPr="006863D4" w:rsidRDefault="006863D4" w:rsidP="006863D4">
      <w:pPr>
        <w:rPr>
          <w:b/>
        </w:rPr>
      </w:pPr>
      <w:r w:rsidRPr="006863D4">
        <w:rPr>
          <w:b/>
        </w:rPr>
        <w:t xml:space="preserve">4. Date and frequency of update: </w:t>
      </w:r>
    </w:p>
    <w:p w14:paraId="00327C3E" w14:textId="77777777" w:rsidR="006863D4" w:rsidRPr="006863D4" w:rsidRDefault="006863D4" w:rsidP="006863D4">
      <w:r w:rsidRPr="006863D4">
        <w:t>Ongoing</w:t>
      </w:r>
    </w:p>
    <w:p w14:paraId="2BD50175" w14:textId="77777777" w:rsidR="006863D4" w:rsidRPr="006863D4" w:rsidRDefault="006863D4" w:rsidP="006863D4">
      <w:pPr>
        <w:rPr>
          <w:b/>
        </w:rPr>
      </w:pPr>
      <w:r w:rsidRPr="006863D4">
        <w:rPr>
          <w:b/>
        </w:rPr>
        <w:t xml:space="preserve">5. Commentary on usefulness and applicability of information to Natura 2000 funding </w:t>
      </w:r>
    </w:p>
    <w:p w14:paraId="25A5C26B" w14:textId="77777777" w:rsidR="006863D4" w:rsidRPr="006863D4" w:rsidRDefault="006863D4" w:rsidP="006863D4">
      <w:r w:rsidRPr="006863D4">
        <w:t xml:space="preserve">There are growing examples across the UK of water utilities financing agri-environment and other measures to realise improvements to the aquatic environment in a cost-effective manner. This has a range of potential applications to Natura 2000- from supporting management of water bodies within N2000 sites to supporting agri-environmental measures and behaviour that also reduce impacts on biodiversity. As such, such payments and grant schemes may have strong potential to support ongoing maintenance work on Natura 2000 sites. In addition, the coming round of River Basin Management Plans are expected to involve a substantial increase in citizen engagement and there may be a good congruence with educational and volunteering opportunities within Natura 2000. Notably, a range of environmental education and awareness-raising initiatives have been supported by Welsh Water’s WFD fund, in addition to direct management activities. </w:t>
      </w:r>
    </w:p>
    <w:p w14:paraId="63204DB9" w14:textId="77777777" w:rsidR="006863D4" w:rsidRPr="006863D4" w:rsidRDefault="006863D4" w:rsidP="006863D4">
      <w:pPr>
        <w:pStyle w:val="AnnexH3"/>
      </w:pPr>
      <w:r w:rsidRPr="006863D4">
        <w:t xml:space="preserve">The Naturesave Trust </w:t>
      </w:r>
    </w:p>
    <w:p w14:paraId="69529DA7" w14:textId="77777777" w:rsidR="006863D4" w:rsidRPr="006863D4" w:rsidRDefault="006863D4" w:rsidP="006863D4">
      <w:pPr>
        <w:rPr>
          <w:b/>
        </w:rPr>
      </w:pPr>
      <w:r w:rsidRPr="006863D4">
        <w:rPr>
          <w:b/>
        </w:rPr>
        <w:t xml:space="preserve">1. Author/organisation responsible: </w:t>
      </w:r>
    </w:p>
    <w:p w14:paraId="2176FBA4" w14:textId="77777777" w:rsidR="006863D4" w:rsidRPr="006863D4" w:rsidRDefault="006863D4" w:rsidP="006863D4">
      <w:r w:rsidRPr="006863D4">
        <w:t xml:space="preserve">Naturesave Insurance </w:t>
      </w:r>
    </w:p>
    <w:p w14:paraId="6CA09299" w14:textId="77777777" w:rsidR="006863D4" w:rsidRPr="006863D4" w:rsidRDefault="006863D4" w:rsidP="006863D4">
      <w:pPr>
        <w:rPr>
          <w:b/>
        </w:rPr>
      </w:pPr>
      <w:r w:rsidRPr="006863D4">
        <w:rPr>
          <w:b/>
        </w:rPr>
        <w:t xml:space="preserve">2. URL: </w:t>
      </w:r>
    </w:p>
    <w:p w14:paraId="6724F77C" w14:textId="77777777" w:rsidR="006863D4" w:rsidRPr="006863D4" w:rsidRDefault="001655CC" w:rsidP="006863D4">
      <w:hyperlink r:id="rId68" w:history="1">
        <w:r w:rsidR="006863D4" w:rsidRPr="006863D4">
          <w:rPr>
            <w:color w:val="0000FF" w:themeColor="hyperlink"/>
            <w:u w:val="single"/>
          </w:rPr>
          <w:t>http://www.naturesave.co.uk/the-naturesave-trust/about-the-trust/</w:t>
        </w:r>
      </w:hyperlink>
      <w:r w:rsidR="006863D4" w:rsidRPr="006863D4">
        <w:t xml:space="preserve"> </w:t>
      </w:r>
    </w:p>
    <w:p w14:paraId="10372C49" w14:textId="77777777" w:rsidR="006863D4" w:rsidRPr="006863D4" w:rsidRDefault="006863D4" w:rsidP="006863D4">
      <w:pPr>
        <w:rPr>
          <w:b/>
        </w:rPr>
      </w:pPr>
      <w:r w:rsidRPr="006863D4">
        <w:rPr>
          <w:b/>
        </w:rPr>
        <w:t xml:space="preserve">3. Summary of information provided, including numbers and types of funding sources covered, geography and level of information provided: </w:t>
      </w:r>
    </w:p>
    <w:p w14:paraId="2FAAB700" w14:textId="77777777" w:rsidR="006863D4" w:rsidRPr="006863D4" w:rsidRDefault="006863D4" w:rsidP="006863D4">
      <w:r w:rsidRPr="006863D4">
        <w:t xml:space="preserve">The Trust supports environmental and conservationist groups in the UK. Grants are available to fund projects that deal with specific environmental and/or conservationist problems, and that encourage the greater commercial adoption of sustainable development. The trust is financed using a 10% levy on insurance policies issued by Naturesave. </w:t>
      </w:r>
    </w:p>
    <w:p w14:paraId="433B439B" w14:textId="77777777" w:rsidR="006863D4" w:rsidRPr="006863D4" w:rsidRDefault="006863D4" w:rsidP="006863D4">
      <w:r w:rsidRPr="006863D4">
        <w:t>Projects funded across the UK have included a range of landscape maintenance and habitat creation projects, woodland conservation and species protection programmes with the Wildlife Trusts. There is a strong focus on conservation work that is linked to community engagement.</w:t>
      </w:r>
    </w:p>
    <w:p w14:paraId="539D6B85" w14:textId="297363F7" w:rsidR="006863D4" w:rsidRPr="006863D4" w:rsidRDefault="006863D4" w:rsidP="006863D4">
      <w:pPr>
        <w:rPr>
          <w:b/>
        </w:rPr>
      </w:pPr>
      <w:r w:rsidRPr="006863D4">
        <w:rPr>
          <w:b/>
        </w:rPr>
        <w:t xml:space="preserve">4. Date and frequency of update: </w:t>
      </w:r>
    </w:p>
    <w:p w14:paraId="5932C1D4" w14:textId="77777777" w:rsidR="006863D4" w:rsidRPr="006863D4" w:rsidRDefault="006863D4" w:rsidP="006863D4">
      <w:r w:rsidRPr="006863D4">
        <w:t>Ongoing</w:t>
      </w:r>
    </w:p>
    <w:p w14:paraId="0B42CD2B" w14:textId="77777777" w:rsidR="006863D4" w:rsidRPr="006863D4" w:rsidRDefault="006863D4" w:rsidP="006863D4">
      <w:pPr>
        <w:rPr>
          <w:b/>
        </w:rPr>
      </w:pPr>
      <w:r w:rsidRPr="006863D4">
        <w:rPr>
          <w:b/>
        </w:rPr>
        <w:t xml:space="preserve">5. Commentary on usefulness and applicability of information to Natura 2000 funding </w:t>
      </w:r>
    </w:p>
    <w:p w14:paraId="1CC5945C" w14:textId="77777777" w:rsidR="006863D4" w:rsidRPr="006863D4" w:rsidRDefault="006863D4" w:rsidP="006863D4">
      <w:r w:rsidRPr="006863D4">
        <w:t>The Naturesave Trust appears to be a valuable source of funding for a diversity of conservation groups and projects across the UK, and could be a useful source of support for conservation and monitoring actions targeted at specific species within N2000 sites, or for diversification of recreational and educational activities at existing sites to encourage wider public engagement with the network.</w:t>
      </w:r>
    </w:p>
    <w:p w14:paraId="62D94790" w14:textId="77777777" w:rsidR="006863D4" w:rsidRPr="006863D4" w:rsidRDefault="006863D4" w:rsidP="006863D4">
      <w:pPr>
        <w:pStyle w:val="AnnexH3"/>
      </w:pPr>
      <w:r w:rsidRPr="006863D4">
        <w:t xml:space="preserve">Environmental Funders Network </w:t>
      </w:r>
    </w:p>
    <w:p w14:paraId="449B5DB7" w14:textId="77777777" w:rsidR="006863D4" w:rsidRPr="006863D4" w:rsidRDefault="006863D4" w:rsidP="006863D4">
      <w:pPr>
        <w:rPr>
          <w:b/>
        </w:rPr>
      </w:pPr>
      <w:r w:rsidRPr="006863D4">
        <w:rPr>
          <w:b/>
        </w:rPr>
        <w:t xml:space="preserve">1. Author/organisation responsible: </w:t>
      </w:r>
    </w:p>
    <w:p w14:paraId="17671FBB" w14:textId="77777777" w:rsidR="006863D4" w:rsidRPr="006863D4" w:rsidRDefault="006863D4" w:rsidP="006863D4">
      <w:r w:rsidRPr="006863D4">
        <w:t xml:space="preserve">Environmental Funders Network </w:t>
      </w:r>
    </w:p>
    <w:p w14:paraId="6A391223" w14:textId="77777777" w:rsidR="006863D4" w:rsidRPr="006863D4" w:rsidRDefault="006863D4" w:rsidP="006863D4">
      <w:pPr>
        <w:rPr>
          <w:b/>
        </w:rPr>
      </w:pPr>
      <w:r w:rsidRPr="006863D4">
        <w:rPr>
          <w:b/>
        </w:rPr>
        <w:t xml:space="preserve">2. URL: </w:t>
      </w:r>
    </w:p>
    <w:p w14:paraId="2A79B450" w14:textId="77777777" w:rsidR="006863D4" w:rsidRPr="006863D4" w:rsidRDefault="001655CC" w:rsidP="006863D4">
      <w:hyperlink r:id="rId69" w:history="1">
        <w:r w:rsidR="006863D4" w:rsidRPr="006863D4">
          <w:rPr>
            <w:color w:val="0000FF" w:themeColor="hyperlink"/>
            <w:u w:val="single"/>
          </w:rPr>
          <w:t>http://wefo.wales.gov.uk/?skip=1&amp;lang=en</w:t>
        </w:r>
      </w:hyperlink>
      <w:r w:rsidR="006863D4" w:rsidRPr="006863D4">
        <w:t xml:space="preserve">  </w:t>
      </w:r>
    </w:p>
    <w:p w14:paraId="1A07349C" w14:textId="77777777" w:rsidR="006863D4" w:rsidRPr="006863D4" w:rsidRDefault="006863D4" w:rsidP="006863D4">
      <w:pPr>
        <w:rPr>
          <w:b/>
        </w:rPr>
      </w:pPr>
      <w:r w:rsidRPr="006863D4">
        <w:rPr>
          <w:b/>
        </w:rPr>
        <w:t xml:space="preserve">3. Summary of information provided, including numbers and types of funding sources covered, geography and level of information provided: </w:t>
      </w:r>
    </w:p>
    <w:p w14:paraId="217A0C75" w14:textId="77777777" w:rsidR="006863D4" w:rsidRPr="006863D4" w:rsidRDefault="006863D4" w:rsidP="006863D4">
      <w:r w:rsidRPr="006863D4">
        <w:t xml:space="preserve">The Environmental Funders Network (EFN) is an informal network of trusts, foundations and individuals making grants on environmental and conservation issues. In addition to publishing regular studies and reports focusing on the structure and allocation of environmental donations and grants to conservation projects, the EFN also maintains a member’s database of (currently) 76 trusts and foundations actively involved in financing conservation issues relating to habitat or species protection. The majority of these organisations reportedly focus exclusively on conservation issues. The geographical focus of these projects is predominantly UK-based- although there are a handful of sources with key relevance to conservation in Wales.  </w:t>
      </w:r>
    </w:p>
    <w:p w14:paraId="623C986D" w14:textId="77777777" w:rsidR="006863D4" w:rsidRPr="006863D4" w:rsidRDefault="006863D4" w:rsidP="006863D4">
      <w:r w:rsidRPr="006863D4">
        <w:t xml:space="preserve">The EFN provides substantial information on wider trends in the volume and structure of charitable giving across the UK- pointing to growth areas for applicants and other decision-makers to capitalise on. Its publication ‘Where the Green Grants Went’ provides a useful primer on patterns of conservation funding across the UK- including Wales. </w:t>
      </w:r>
    </w:p>
    <w:p w14:paraId="49B08914" w14:textId="77777777" w:rsidR="006863D4" w:rsidRPr="006863D4" w:rsidRDefault="006863D4" w:rsidP="006863D4">
      <w:pPr>
        <w:rPr>
          <w:b/>
        </w:rPr>
      </w:pPr>
      <w:r w:rsidRPr="006863D4">
        <w:rPr>
          <w:b/>
        </w:rPr>
        <w:t xml:space="preserve">4. Date and frequency of update: </w:t>
      </w:r>
    </w:p>
    <w:p w14:paraId="1487AB4C" w14:textId="77777777" w:rsidR="006863D4" w:rsidRPr="006863D4" w:rsidRDefault="006863D4" w:rsidP="006863D4">
      <w:r w:rsidRPr="006863D4">
        <w:t>Ongoing</w:t>
      </w:r>
    </w:p>
    <w:p w14:paraId="33C32CB8" w14:textId="77777777" w:rsidR="006863D4" w:rsidRPr="006863D4" w:rsidRDefault="006863D4" w:rsidP="006863D4">
      <w:pPr>
        <w:rPr>
          <w:b/>
        </w:rPr>
      </w:pPr>
      <w:r w:rsidRPr="006863D4">
        <w:rPr>
          <w:b/>
        </w:rPr>
        <w:t xml:space="preserve">5. Commentary on usefulness and applicability of information to Natura 2000 funding </w:t>
      </w:r>
    </w:p>
    <w:p w14:paraId="61976BD4" w14:textId="77777777" w:rsidR="006863D4" w:rsidRPr="006863D4" w:rsidRDefault="006863D4" w:rsidP="006863D4">
      <w:r w:rsidRPr="006863D4">
        <w:t xml:space="preserve">The EFN has some relevance to Natura 2000 financing- particularly for those seeking smaller funding awards from charitable trusts. In particular, the regular analysis of funding sources published on the EFN webpages will allow would-be funding applicants to keep abreast of emerging opportunities for public and private funds and to develop opportunities for partnership delivery of conservation projects with organisations in the culture and heritage sectors. </w:t>
      </w:r>
    </w:p>
    <w:p w14:paraId="09108DD1" w14:textId="77777777" w:rsidR="006863D4" w:rsidRPr="006863D4" w:rsidRDefault="006863D4" w:rsidP="006863D4">
      <w:pPr>
        <w:pStyle w:val="AnnexH3"/>
      </w:pPr>
      <w:r w:rsidRPr="006863D4">
        <w:t xml:space="preserve">Big Lottery Fund – Funding Finder </w:t>
      </w:r>
    </w:p>
    <w:p w14:paraId="5B1D50AF" w14:textId="77777777" w:rsidR="006863D4" w:rsidRPr="006863D4" w:rsidRDefault="006863D4" w:rsidP="006863D4">
      <w:pPr>
        <w:rPr>
          <w:b/>
        </w:rPr>
      </w:pPr>
      <w:r w:rsidRPr="006863D4">
        <w:rPr>
          <w:b/>
        </w:rPr>
        <w:t xml:space="preserve">1. Author/organisation responsible: </w:t>
      </w:r>
    </w:p>
    <w:p w14:paraId="0EAD278A" w14:textId="77777777" w:rsidR="006863D4" w:rsidRPr="006863D4" w:rsidRDefault="006863D4" w:rsidP="006863D4">
      <w:r w:rsidRPr="006863D4">
        <w:t xml:space="preserve">Big Lottery Fund/The National Lottery </w:t>
      </w:r>
    </w:p>
    <w:p w14:paraId="23D28412" w14:textId="77777777" w:rsidR="006863D4" w:rsidRPr="006863D4" w:rsidRDefault="006863D4" w:rsidP="006863D4">
      <w:pPr>
        <w:rPr>
          <w:b/>
        </w:rPr>
      </w:pPr>
      <w:r w:rsidRPr="006863D4">
        <w:rPr>
          <w:b/>
        </w:rPr>
        <w:t xml:space="preserve">2. URL: </w:t>
      </w:r>
    </w:p>
    <w:p w14:paraId="5E215D16" w14:textId="77777777" w:rsidR="006863D4" w:rsidRPr="006863D4" w:rsidRDefault="001655CC" w:rsidP="006863D4">
      <w:hyperlink r:id="rId70" w:history="1">
        <w:r w:rsidR="006863D4" w:rsidRPr="006863D4">
          <w:rPr>
            <w:color w:val="0000FF" w:themeColor="hyperlink"/>
            <w:u w:val="single"/>
          </w:rPr>
          <w:t>http://wefo.wales.gov.uk/?skip=1&amp;lang=en</w:t>
        </w:r>
      </w:hyperlink>
      <w:r w:rsidR="006863D4" w:rsidRPr="006863D4">
        <w:t xml:space="preserve">  </w:t>
      </w:r>
    </w:p>
    <w:p w14:paraId="40FCF7D3" w14:textId="77777777" w:rsidR="006863D4" w:rsidRPr="006863D4" w:rsidRDefault="006863D4" w:rsidP="006863D4">
      <w:pPr>
        <w:rPr>
          <w:b/>
        </w:rPr>
      </w:pPr>
      <w:r w:rsidRPr="006863D4">
        <w:rPr>
          <w:b/>
        </w:rPr>
        <w:t xml:space="preserve">3. Summary of information provided, including numbers and types of funding sources covered, geography and level of information provided: </w:t>
      </w:r>
    </w:p>
    <w:p w14:paraId="43BC2388" w14:textId="0BFFBA01" w:rsidR="006863D4" w:rsidRPr="006863D4" w:rsidRDefault="006863D4" w:rsidP="006863D4">
      <w:r w:rsidRPr="006863D4">
        <w:t>The Big Lottery Fund</w:t>
      </w:r>
      <w:r w:rsidR="001D15FE">
        <w:t xml:space="preserve"> (BIG)</w:t>
      </w:r>
      <w:r w:rsidRPr="006863D4">
        <w:t xml:space="preserve"> provides support to a range of conservation initiatives across Wales, including a £600,000 Climate Change Programme, which has provided support to projects such as the Community Land Advisory Service, which seeks to enhance community and environmental resilience in the face of climate change- this will result in the initiation of 75 new projects across Wales. </w:t>
      </w:r>
    </w:p>
    <w:p w14:paraId="23ABF5FE" w14:textId="77777777" w:rsidR="006863D4" w:rsidRPr="006863D4" w:rsidRDefault="006863D4" w:rsidP="006863D4">
      <w:r w:rsidRPr="006863D4">
        <w:t xml:space="preserve">The ‘Our Environment, Our Future’ programme is a £30m BIG supported programme that aims to invest in 25-35 projects across the UK, providing young people with access to skills and training linked to environmental improvement and the green economy. </w:t>
      </w:r>
    </w:p>
    <w:p w14:paraId="1708E618" w14:textId="77777777" w:rsidR="006863D4" w:rsidRPr="006863D4" w:rsidRDefault="006863D4" w:rsidP="006863D4">
      <w:r w:rsidRPr="006863D4">
        <w:t>Similarly, BIG’s recently-completed Mentro Allan programme ran across Wales and focused on engaging sedentary adults in priority groups to engage in physical activity in the natural environment.</w:t>
      </w:r>
    </w:p>
    <w:p w14:paraId="4B6FF1DF" w14:textId="2DC799A7" w:rsidR="006863D4" w:rsidRPr="006863D4" w:rsidRDefault="006863D4" w:rsidP="006863D4">
      <w:r w:rsidRPr="006863D4">
        <w:t xml:space="preserve">BIG maintains a Funding Search Engine, which currently provides links to </w:t>
      </w:r>
      <w:r w:rsidR="001D15FE">
        <w:t>six</w:t>
      </w:r>
      <w:r w:rsidR="001D15FE" w:rsidRPr="006863D4">
        <w:t xml:space="preserve"> </w:t>
      </w:r>
      <w:r w:rsidRPr="006863D4">
        <w:t xml:space="preserve">funding programmes in Wales, most of which have a social inclusion focus. The most relevant of these is the Awards for All Wales programme, which provides small grant awards of £500-£5000 to non-profit organisations engaged in projects such as environmental improvement. </w:t>
      </w:r>
    </w:p>
    <w:p w14:paraId="209ED8F9" w14:textId="77777777" w:rsidR="006863D4" w:rsidRPr="006863D4" w:rsidRDefault="006863D4" w:rsidP="006863D4">
      <w:pPr>
        <w:rPr>
          <w:b/>
        </w:rPr>
      </w:pPr>
      <w:r w:rsidRPr="006863D4">
        <w:rPr>
          <w:b/>
        </w:rPr>
        <w:t xml:space="preserve">4. Date and frequency of update: </w:t>
      </w:r>
    </w:p>
    <w:p w14:paraId="08F67D96" w14:textId="77777777" w:rsidR="006863D4" w:rsidRPr="006863D4" w:rsidRDefault="006863D4" w:rsidP="006863D4">
      <w:r w:rsidRPr="006863D4">
        <w:t>Ongoing</w:t>
      </w:r>
    </w:p>
    <w:p w14:paraId="733C8EA6" w14:textId="77777777" w:rsidR="006863D4" w:rsidRPr="006863D4" w:rsidRDefault="006863D4" w:rsidP="006863D4">
      <w:pPr>
        <w:rPr>
          <w:b/>
        </w:rPr>
      </w:pPr>
      <w:r w:rsidRPr="006863D4">
        <w:rPr>
          <w:b/>
        </w:rPr>
        <w:t xml:space="preserve">5. Commentary on usefulness and applicability of information to Natura 2000 funding </w:t>
      </w:r>
    </w:p>
    <w:p w14:paraId="7539681E" w14:textId="77777777" w:rsidR="006863D4" w:rsidRPr="006863D4" w:rsidRDefault="006863D4" w:rsidP="006863D4">
      <w:r w:rsidRPr="006863D4">
        <w:t xml:space="preserve">In comparison to other Lottery Funds, the BIG has perhaps less relevance to direct financing of Natura 2000 than the Heritage Lottery Fund (see below) which explicitly addresses maintenance of the natural environment. However, the fund’s focus on community projects and social engagement could provide opportunities to develop volunteering works and other niche activities around existing Natura 2000 sites. </w:t>
      </w:r>
    </w:p>
    <w:p w14:paraId="365C43CE" w14:textId="77777777" w:rsidR="006863D4" w:rsidRPr="006863D4" w:rsidRDefault="006863D4" w:rsidP="006863D4">
      <w:pPr>
        <w:pStyle w:val="AnnexH3"/>
      </w:pPr>
      <w:r w:rsidRPr="006863D4">
        <w:t xml:space="preserve">Heritage Lottery Fund </w:t>
      </w:r>
    </w:p>
    <w:p w14:paraId="0CA207E3" w14:textId="77777777" w:rsidR="006863D4" w:rsidRPr="006863D4" w:rsidRDefault="006863D4" w:rsidP="006863D4">
      <w:pPr>
        <w:rPr>
          <w:b/>
        </w:rPr>
      </w:pPr>
      <w:r w:rsidRPr="006863D4">
        <w:rPr>
          <w:b/>
        </w:rPr>
        <w:t xml:space="preserve">1. Author/organisation responsible: </w:t>
      </w:r>
    </w:p>
    <w:p w14:paraId="3F153EF8" w14:textId="77777777" w:rsidR="006863D4" w:rsidRPr="006863D4" w:rsidRDefault="006863D4" w:rsidP="006863D4">
      <w:r w:rsidRPr="006863D4">
        <w:t xml:space="preserve">Heritage Lottery Fund/The National Lottery </w:t>
      </w:r>
    </w:p>
    <w:p w14:paraId="2D1D9014" w14:textId="77777777" w:rsidR="006863D4" w:rsidRPr="006863D4" w:rsidRDefault="006863D4" w:rsidP="006863D4">
      <w:pPr>
        <w:rPr>
          <w:b/>
        </w:rPr>
      </w:pPr>
      <w:r w:rsidRPr="006863D4">
        <w:rPr>
          <w:b/>
        </w:rPr>
        <w:t xml:space="preserve">2. URL: </w:t>
      </w:r>
    </w:p>
    <w:p w14:paraId="622D1CE4" w14:textId="77777777" w:rsidR="006863D4" w:rsidRPr="006863D4" w:rsidRDefault="001655CC" w:rsidP="006863D4">
      <w:hyperlink r:id="rId71" w:anchor=".VBrKFxZpszo" w:history="1">
        <w:r w:rsidR="006863D4" w:rsidRPr="006863D4">
          <w:rPr>
            <w:color w:val="0000FF" w:themeColor="hyperlink"/>
            <w:u w:val="single"/>
          </w:rPr>
          <w:t>http://www.hlf.org.uk/HowToApply/programmes/Pages/programmes.aspx#.VBrKFxZpszo</w:t>
        </w:r>
      </w:hyperlink>
      <w:r w:rsidR="006863D4" w:rsidRPr="006863D4">
        <w:t xml:space="preserve"> </w:t>
      </w:r>
    </w:p>
    <w:p w14:paraId="77BA378F" w14:textId="77777777" w:rsidR="006863D4" w:rsidRPr="006863D4" w:rsidRDefault="006863D4" w:rsidP="006863D4">
      <w:pPr>
        <w:rPr>
          <w:b/>
        </w:rPr>
      </w:pPr>
      <w:r w:rsidRPr="006863D4">
        <w:rPr>
          <w:b/>
        </w:rPr>
        <w:t xml:space="preserve">3. Summary of information provided, including numbers and types of funding sources covered, geography and level of information provided: </w:t>
      </w:r>
    </w:p>
    <w:p w14:paraId="3DF255E5" w14:textId="77777777" w:rsidR="006863D4" w:rsidRPr="006863D4" w:rsidRDefault="006863D4" w:rsidP="006863D4">
      <w:r w:rsidRPr="006863D4">
        <w:t xml:space="preserve">The Heritage Lottery Fund administers a range of grant programmes between £3000 and over £5m. The focus of many of these programmes is on the built environment, although there are a number of programmes, such as Landscape Partnerships and Skills for the Future, that have an explicit focus on maintenance of the natural environment. The RSPB, for example, currently provides 27 traineeships relating to ecological monitoring and recording under the Skills for the Future Fund. </w:t>
      </w:r>
    </w:p>
    <w:p w14:paraId="14D6103B" w14:textId="77777777" w:rsidR="006863D4" w:rsidRPr="006863D4" w:rsidRDefault="006863D4" w:rsidP="006863D4">
      <w:pPr>
        <w:rPr>
          <w:b/>
        </w:rPr>
      </w:pPr>
      <w:r w:rsidRPr="006863D4">
        <w:rPr>
          <w:b/>
        </w:rPr>
        <w:t xml:space="preserve">4. Date and frequency of update: </w:t>
      </w:r>
    </w:p>
    <w:p w14:paraId="73395955" w14:textId="77777777" w:rsidR="006863D4" w:rsidRPr="006863D4" w:rsidRDefault="006863D4" w:rsidP="006863D4">
      <w:r w:rsidRPr="006863D4">
        <w:t>Ongoing</w:t>
      </w:r>
    </w:p>
    <w:p w14:paraId="7A251107" w14:textId="77777777" w:rsidR="006863D4" w:rsidRPr="006863D4" w:rsidRDefault="006863D4" w:rsidP="006863D4">
      <w:pPr>
        <w:rPr>
          <w:b/>
        </w:rPr>
      </w:pPr>
      <w:r w:rsidRPr="006863D4">
        <w:rPr>
          <w:b/>
        </w:rPr>
        <w:t xml:space="preserve">5. Commentary on usefulness and applicability of information to Natura 2000 funding </w:t>
      </w:r>
    </w:p>
    <w:p w14:paraId="7B0B432F" w14:textId="77777777" w:rsidR="006863D4" w:rsidRPr="006863D4" w:rsidRDefault="006863D4" w:rsidP="006863D4">
      <w:r w:rsidRPr="006863D4">
        <w:t xml:space="preserve">One of the key nature initiatives supported by the Heritage Lottery Fund is ‘Landscape Partnerships’-a grant programme which is normally delivered by a partnership made up of regional, national and local organisations with an interest in the area, community groups and members of the community. The programme is based round a portfolio of smaller projects, which together provide long-term social, economic and environmental benefits for rural area. As such, there is a key potential to build on the wider socio-economic benefits derived from Natura 2000 sites by local communities (Gantioler, et al, 2010). </w:t>
      </w:r>
    </w:p>
    <w:p w14:paraId="7A1D55D6" w14:textId="77777777" w:rsidR="006863D4" w:rsidRPr="006863D4" w:rsidRDefault="006863D4" w:rsidP="006863D4">
      <w:r w:rsidRPr="006863D4">
        <w:t xml:space="preserve">Similarly, Skills for the Future and similar heritage training grants could provide a valuable support to skills and capacities necessary to ensure the maintenance of datasets and monitoring activities relevant to Natura 2000 sites. </w:t>
      </w:r>
    </w:p>
    <w:p w14:paraId="5272E502" w14:textId="77777777" w:rsidR="006863D4" w:rsidRPr="006863D4" w:rsidRDefault="006863D4" w:rsidP="006863D4">
      <w:pPr>
        <w:pStyle w:val="AnnexH3"/>
      </w:pPr>
      <w:r w:rsidRPr="006863D4">
        <w:t xml:space="preserve">Arcadia Environmental Fund Directory </w:t>
      </w:r>
    </w:p>
    <w:p w14:paraId="1CC857B8" w14:textId="77777777" w:rsidR="006863D4" w:rsidRPr="006863D4" w:rsidRDefault="006863D4" w:rsidP="006863D4">
      <w:pPr>
        <w:rPr>
          <w:b/>
        </w:rPr>
      </w:pPr>
      <w:r w:rsidRPr="006863D4">
        <w:rPr>
          <w:b/>
        </w:rPr>
        <w:t xml:space="preserve">1. Author/organisation responsible: </w:t>
      </w:r>
    </w:p>
    <w:p w14:paraId="4CD9E717" w14:textId="0274ABD6" w:rsidR="006863D4" w:rsidRPr="006863D4" w:rsidRDefault="006863D4" w:rsidP="006863D4">
      <w:r w:rsidRPr="006863D4">
        <w:t>Arcadia Environmental Fund</w:t>
      </w:r>
      <w:r w:rsidR="001D15FE">
        <w:t xml:space="preserve"> (AEF)</w:t>
      </w:r>
      <w:r w:rsidRPr="006863D4">
        <w:t xml:space="preserve"> is a charitable fund, supporting charities and scholarly institutions that preserve cultural heritage and the environment. Arcadia also give grants that promote open access to research and academic information relating to these themes.  </w:t>
      </w:r>
    </w:p>
    <w:p w14:paraId="5E832E80" w14:textId="77777777" w:rsidR="006863D4" w:rsidRPr="006863D4" w:rsidRDefault="006863D4" w:rsidP="006863D4">
      <w:pPr>
        <w:rPr>
          <w:b/>
        </w:rPr>
      </w:pPr>
      <w:r w:rsidRPr="006863D4">
        <w:rPr>
          <w:b/>
        </w:rPr>
        <w:t xml:space="preserve">2. URL: </w:t>
      </w:r>
    </w:p>
    <w:p w14:paraId="699BD9D6" w14:textId="77777777" w:rsidR="006863D4" w:rsidRPr="006863D4" w:rsidRDefault="001655CC" w:rsidP="006863D4">
      <w:hyperlink r:id="rId72" w:history="1">
        <w:r w:rsidR="006863D4" w:rsidRPr="006863D4">
          <w:rPr>
            <w:color w:val="0000FF" w:themeColor="hyperlink"/>
            <w:u w:val="single"/>
          </w:rPr>
          <w:t>http://www.arcadiafund.org.uk/grants/grant-directory.aspx</w:t>
        </w:r>
      </w:hyperlink>
      <w:r w:rsidR="006863D4" w:rsidRPr="006863D4">
        <w:t xml:space="preserve"> </w:t>
      </w:r>
    </w:p>
    <w:p w14:paraId="1B00D1D1" w14:textId="77777777" w:rsidR="006863D4" w:rsidRPr="006863D4" w:rsidRDefault="006863D4" w:rsidP="006863D4">
      <w:pPr>
        <w:rPr>
          <w:b/>
        </w:rPr>
      </w:pPr>
      <w:r w:rsidRPr="006863D4">
        <w:rPr>
          <w:b/>
        </w:rPr>
        <w:t xml:space="preserve">3. Summary of information provided, including numbers and types of funding sources covered, geography and level of information provided: </w:t>
      </w:r>
    </w:p>
    <w:p w14:paraId="097E080F" w14:textId="77777777" w:rsidR="006863D4" w:rsidRPr="006863D4" w:rsidRDefault="006863D4" w:rsidP="006863D4">
      <w:r w:rsidRPr="006863D4">
        <w:t xml:space="preserve">The Arcadia Fund is both a direct source of financing for preservation of cultural heritage and the environment, and a directory of similar grant and loan financing sources for conservation projects elsewhere. One key element of the Fund Directory is a link to research grants awarded by UK research institutes and universities- which could present opportunities for funding specialist environmental research and monitoring. </w:t>
      </w:r>
    </w:p>
    <w:p w14:paraId="4307E5B7" w14:textId="77777777" w:rsidR="006863D4" w:rsidRPr="006863D4" w:rsidRDefault="006863D4" w:rsidP="006863D4">
      <w:pPr>
        <w:rPr>
          <w:b/>
        </w:rPr>
      </w:pPr>
      <w:r w:rsidRPr="006863D4">
        <w:rPr>
          <w:b/>
        </w:rPr>
        <w:t xml:space="preserve">4. Date and frequency of update: </w:t>
      </w:r>
    </w:p>
    <w:p w14:paraId="21047526" w14:textId="77777777" w:rsidR="006863D4" w:rsidRPr="006863D4" w:rsidRDefault="006863D4" w:rsidP="006863D4">
      <w:r w:rsidRPr="006863D4">
        <w:t>Ongoing</w:t>
      </w:r>
    </w:p>
    <w:p w14:paraId="430EFA36" w14:textId="77777777" w:rsidR="006863D4" w:rsidRPr="006863D4" w:rsidRDefault="006863D4" w:rsidP="006863D4">
      <w:pPr>
        <w:rPr>
          <w:b/>
        </w:rPr>
      </w:pPr>
      <w:r w:rsidRPr="006863D4">
        <w:rPr>
          <w:b/>
        </w:rPr>
        <w:t xml:space="preserve">5. Commentary on usefulness and applicability of information to Natura 2000 funding </w:t>
      </w:r>
    </w:p>
    <w:p w14:paraId="30A1C76E" w14:textId="77777777" w:rsidR="006863D4" w:rsidRPr="006863D4" w:rsidRDefault="006863D4" w:rsidP="006863D4">
      <w:r w:rsidRPr="006863D4">
        <w:t xml:space="preserve">Although there are no specific examples of AEF or associated funds being applied in Wales, the focus of the fund on cultural heritage and the natural environment appears to have a strong relevance to Natura 2000 management in Wales, in line with a trend towards ‘cross-cutting’ themes in allocation of grants (for example, blending heritage grants with environmental measures). As a starting point for information on academic and research institute support, the AEF Directory could have a good relevance to supporting ongoing data collection and monitoring activities. </w:t>
      </w:r>
    </w:p>
    <w:p w14:paraId="496C8A52" w14:textId="77777777" w:rsidR="006863D4" w:rsidRPr="006863D4" w:rsidRDefault="006863D4" w:rsidP="006863D4">
      <w:pPr>
        <w:pStyle w:val="AnnexH3"/>
      </w:pPr>
      <w:r w:rsidRPr="006863D4">
        <w:t xml:space="preserve">The Prince’s Countryside Fund </w:t>
      </w:r>
    </w:p>
    <w:p w14:paraId="640350F1" w14:textId="77777777" w:rsidR="006863D4" w:rsidRPr="006863D4" w:rsidRDefault="006863D4" w:rsidP="006863D4">
      <w:pPr>
        <w:rPr>
          <w:b/>
        </w:rPr>
      </w:pPr>
      <w:r w:rsidRPr="006863D4">
        <w:rPr>
          <w:b/>
        </w:rPr>
        <w:t xml:space="preserve">1. Author/organisation responsible: </w:t>
      </w:r>
    </w:p>
    <w:p w14:paraId="6E450FA1" w14:textId="77777777" w:rsidR="006863D4" w:rsidRPr="006863D4" w:rsidRDefault="006863D4" w:rsidP="006863D4">
      <w:r w:rsidRPr="006863D4">
        <w:t xml:space="preserve">The Prince’s Countryside Fund  </w:t>
      </w:r>
    </w:p>
    <w:p w14:paraId="6A758AC6" w14:textId="77777777" w:rsidR="006863D4" w:rsidRPr="006863D4" w:rsidRDefault="006863D4" w:rsidP="006863D4">
      <w:pPr>
        <w:rPr>
          <w:b/>
        </w:rPr>
      </w:pPr>
      <w:r w:rsidRPr="006863D4">
        <w:rPr>
          <w:b/>
        </w:rPr>
        <w:t xml:space="preserve">2. URL: </w:t>
      </w:r>
    </w:p>
    <w:p w14:paraId="3A59AE5D" w14:textId="77777777" w:rsidR="006863D4" w:rsidRPr="006863D4" w:rsidRDefault="001655CC" w:rsidP="006863D4">
      <w:hyperlink r:id="rId73" w:history="1">
        <w:r w:rsidR="006863D4" w:rsidRPr="006863D4">
          <w:rPr>
            <w:color w:val="0000FF" w:themeColor="hyperlink"/>
            <w:u w:val="single"/>
          </w:rPr>
          <w:t>http://www.princescountrysidefund.org.uk/apply-for-fund/welcome-screen</w:t>
        </w:r>
      </w:hyperlink>
      <w:r w:rsidR="006863D4" w:rsidRPr="006863D4">
        <w:t xml:space="preserve"> </w:t>
      </w:r>
    </w:p>
    <w:p w14:paraId="1D82F6DC" w14:textId="77777777" w:rsidR="006863D4" w:rsidRPr="006863D4" w:rsidRDefault="006863D4" w:rsidP="006863D4">
      <w:pPr>
        <w:rPr>
          <w:b/>
        </w:rPr>
      </w:pPr>
      <w:r w:rsidRPr="006863D4">
        <w:rPr>
          <w:b/>
        </w:rPr>
        <w:t xml:space="preserve">3. Summary of information provided, including numbers and types of funding sources covered, geography and level of information provided: </w:t>
      </w:r>
    </w:p>
    <w:p w14:paraId="44451DEE" w14:textId="77777777" w:rsidR="006863D4" w:rsidRPr="006863D4" w:rsidRDefault="006863D4" w:rsidP="006863D4">
      <w:r w:rsidRPr="006863D4">
        <w:t xml:space="preserve">The Prince’s Countryside Fund provides funding to projects across the UK that can enhance rural communities through new services, build stronger rural livelihoods, or address skills and training needs relating to the rural economy. Grants of up to £50,000 are awarded on a three-year basis. </w:t>
      </w:r>
    </w:p>
    <w:p w14:paraId="2A99FC4B" w14:textId="77777777" w:rsidR="006863D4" w:rsidRPr="006863D4" w:rsidRDefault="006863D4" w:rsidP="006863D4">
      <w:pPr>
        <w:rPr>
          <w:b/>
        </w:rPr>
      </w:pPr>
      <w:r w:rsidRPr="006863D4">
        <w:rPr>
          <w:b/>
        </w:rPr>
        <w:t xml:space="preserve">4. Date and frequency of update: </w:t>
      </w:r>
    </w:p>
    <w:p w14:paraId="70709200" w14:textId="77777777" w:rsidR="006863D4" w:rsidRPr="006863D4" w:rsidRDefault="006863D4" w:rsidP="006863D4">
      <w:r w:rsidRPr="006863D4">
        <w:t>Ongoing</w:t>
      </w:r>
    </w:p>
    <w:p w14:paraId="299DF227" w14:textId="77777777" w:rsidR="006863D4" w:rsidRPr="006863D4" w:rsidRDefault="006863D4" w:rsidP="006863D4">
      <w:pPr>
        <w:rPr>
          <w:b/>
        </w:rPr>
      </w:pPr>
      <w:r w:rsidRPr="006863D4">
        <w:rPr>
          <w:b/>
        </w:rPr>
        <w:t xml:space="preserve">5. Commentary on usefulness and applicability of information to Natura 2000 funding </w:t>
      </w:r>
    </w:p>
    <w:p w14:paraId="2B5F883A" w14:textId="77777777" w:rsidR="006863D4" w:rsidRPr="006863D4" w:rsidRDefault="006863D4" w:rsidP="006863D4">
      <w:r w:rsidRPr="006863D4">
        <w:t xml:space="preserve">The Prince’s Countryside Fund has a particular focus on rural skills and employment, and could thus be beneficial for the development of new business opportunities around Natura 2000. Given that much of Wales’ Natura 2000 sites remain in private ownership, using such grants to fund ‘upskilling’ of farmers and landowners in biodiversity management could provide greater access to national and EU funds whilst yielding improvements in the management of biodiversity. </w:t>
      </w:r>
    </w:p>
    <w:p w14:paraId="0AF9EC8B" w14:textId="77777777" w:rsidR="006863D4" w:rsidRPr="006863D4" w:rsidRDefault="006863D4" w:rsidP="006863D4">
      <w:pPr>
        <w:pStyle w:val="AnnexH2"/>
      </w:pPr>
      <w:bookmarkStart w:id="274" w:name="_Toc400102405"/>
      <w:r w:rsidRPr="006863D4">
        <w:t>Other Funding Sources</w:t>
      </w:r>
      <w:bookmarkEnd w:id="274"/>
      <w:r w:rsidRPr="006863D4">
        <w:t xml:space="preserve"> </w:t>
      </w:r>
    </w:p>
    <w:p w14:paraId="27E0221C" w14:textId="77777777" w:rsidR="006863D4" w:rsidRPr="006863D4" w:rsidRDefault="006863D4" w:rsidP="006863D4">
      <w:pPr>
        <w:pStyle w:val="AnnexH3"/>
      </w:pPr>
      <w:r w:rsidRPr="006863D4">
        <w:t xml:space="preserve">GRANTfinder </w:t>
      </w:r>
    </w:p>
    <w:p w14:paraId="5C8960EA" w14:textId="77777777" w:rsidR="006863D4" w:rsidRPr="006863D4" w:rsidRDefault="006863D4" w:rsidP="006863D4">
      <w:pPr>
        <w:rPr>
          <w:b/>
        </w:rPr>
      </w:pPr>
      <w:r w:rsidRPr="006863D4">
        <w:rPr>
          <w:b/>
        </w:rPr>
        <w:t xml:space="preserve">1. Author/organisation responsible: </w:t>
      </w:r>
    </w:p>
    <w:p w14:paraId="1D57DB8F" w14:textId="77777777" w:rsidR="006863D4" w:rsidRPr="006863D4" w:rsidRDefault="006863D4" w:rsidP="006863D4">
      <w:r w:rsidRPr="006863D4">
        <w:t>GRANTfinder is a comprehensive online resource for funding opportunities and funding news. It is maintained by Idox, and a number of public sector and charitable funding organisations have integrated GRANTfinder within their own funding search engines.</w:t>
      </w:r>
    </w:p>
    <w:p w14:paraId="4E8EBBAA" w14:textId="77777777" w:rsidR="006863D4" w:rsidRPr="006863D4" w:rsidRDefault="006863D4" w:rsidP="006863D4">
      <w:pPr>
        <w:rPr>
          <w:b/>
        </w:rPr>
      </w:pPr>
      <w:r w:rsidRPr="006863D4">
        <w:rPr>
          <w:b/>
        </w:rPr>
        <w:t xml:space="preserve">2. URL: </w:t>
      </w:r>
    </w:p>
    <w:p w14:paraId="54C243DF" w14:textId="77777777" w:rsidR="006863D4" w:rsidRPr="006863D4" w:rsidRDefault="001655CC" w:rsidP="006863D4">
      <w:hyperlink r:id="rId74" w:history="1">
        <w:r w:rsidR="006863D4" w:rsidRPr="006863D4">
          <w:rPr>
            <w:color w:val="0000FF" w:themeColor="hyperlink"/>
            <w:u w:val="single"/>
          </w:rPr>
          <w:t>http://www.idoxgrantfinder.co.uk/</w:t>
        </w:r>
      </w:hyperlink>
    </w:p>
    <w:p w14:paraId="3BB2970E" w14:textId="77777777" w:rsidR="006863D4" w:rsidRPr="006863D4" w:rsidRDefault="006863D4" w:rsidP="006863D4">
      <w:pPr>
        <w:rPr>
          <w:b/>
        </w:rPr>
      </w:pPr>
      <w:r w:rsidRPr="006863D4">
        <w:rPr>
          <w:b/>
        </w:rPr>
        <w:t xml:space="preserve">3. Summary of information provided, including numbers and types of funding sources covered, geography and level of information provided: </w:t>
      </w:r>
    </w:p>
    <w:p w14:paraId="4D59D425" w14:textId="77777777" w:rsidR="006863D4" w:rsidRPr="006863D4" w:rsidRDefault="006863D4" w:rsidP="006863D4">
      <w:r w:rsidRPr="006863D4">
        <w:t xml:space="preserve">GRANTfinder’s funding opportunities primarily source from UK entities and Local Authorities, although records of EU funds are also maintained. Over 8000 funding schemes including grants, loans, and awards from local, regional and national government, as well as European institutions, corporate sponsors and charitable trusts are listed. In addition to funding opportunities, the website also maintains news and updates relating to existing funds, such as the Glastir Organic Scheme for farmers and landowners delivering environmental land management in Wales.  In addition to the main GRANTfinder search tool, Idox also maintains specific search tools relating to educational and community projects. </w:t>
      </w:r>
    </w:p>
    <w:p w14:paraId="0A2C640A" w14:textId="77777777" w:rsidR="006863D4" w:rsidRPr="006863D4" w:rsidRDefault="006863D4" w:rsidP="006863D4">
      <w:pPr>
        <w:rPr>
          <w:b/>
        </w:rPr>
      </w:pPr>
      <w:r w:rsidRPr="006863D4">
        <w:rPr>
          <w:b/>
        </w:rPr>
        <w:t xml:space="preserve">4. Date and frequency of update: </w:t>
      </w:r>
    </w:p>
    <w:p w14:paraId="640689E1" w14:textId="77777777" w:rsidR="006863D4" w:rsidRPr="006863D4" w:rsidRDefault="006863D4" w:rsidP="006863D4">
      <w:r w:rsidRPr="006863D4">
        <w:t>Ongoing</w:t>
      </w:r>
    </w:p>
    <w:p w14:paraId="69E46A0E" w14:textId="77777777" w:rsidR="006863D4" w:rsidRPr="006863D4" w:rsidRDefault="006863D4" w:rsidP="006863D4">
      <w:pPr>
        <w:rPr>
          <w:b/>
        </w:rPr>
      </w:pPr>
      <w:r w:rsidRPr="006863D4">
        <w:rPr>
          <w:b/>
        </w:rPr>
        <w:t xml:space="preserve">5. Commentary on usefulness and applicability of information to Natura 2000 funding </w:t>
      </w:r>
    </w:p>
    <w:p w14:paraId="7AC59BCF" w14:textId="77777777" w:rsidR="006863D4" w:rsidRPr="006863D4" w:rsidRDefault="006863D4" w:rsidP="006863D4">
      <w:r w:rsidRPr="006863D4">
        <w:t xml:space="preserve">Access to GRANTfinder is normally provided to public authorities and charitable organisations- so access to individuals may be limited. Some GRANTfinder users in the public sector have questioned the relevance of GRANTfinder in a Welsh conservation context- particularly given the broad focus of the tool and the lack of a dedicated environmental funding search engine. Nonetheless, GRANfinder may be a useful source of information on funding opportunities in other areas that could be linked to Natura 2000 management- such as grants for environmental education and community engagement in conservation areas. </w:t>
      </w:r>
      <w:r w:rsidRPr="006863D4" w:rsidDel="00FF3A2C">
        <w:t xml:space="preserve"> </w:t>
      </w:r>
    </w:p>
    <w:p w14:paraId="70C40148" w14:textId="77777777" w:rsidR="006863D4" w:rsidRPr="006863D4" w:rsidRDefault="006863D4" w:rsidP="006863D4">
      <w:pPr>
        <w:pStyle w:val="AnnexH3"/>
      </w:pPr>
      <w:r w:rsidRPr="006863D4">
        <w:t xml:space="preserve">Wales Council for Voluntary Action </w:t>
      </w:r>
    </w:p>
    <w:p w14:paraId="2A722556" w14:textId="77777777" w:rsidR="006863D4" w:rsidRPr="006863D4" w:rsidRDefault="006863D4" w:rsidP="006863D4">
      <w:pPr>
        <w:rPr>
          <w:b/>
        </w:rPr>
      </w:pPr>
      <w:r w:rsidRPr="006863D4">
        <w:rPr>
          <w:b/>
        </w:rPr>
        <w:t xml:space="preserve">1. Author/organisation responsible: </w:t>
      </w:r>
    </w:p>
    <w:p w14:paraId="780F2995" w14:textId="50F0E62A" w:rsidR="006863D4" w:rsidRPr="006863D4" w:rsidRDefault="006863D4" w:rsidP="006863D4">
      <w:r w:rsidRPr="006863D4">
        <w:t xml:space="preserve">The Wales Council for Voluntary Action </w:t>
      </w:r>
      <w:r w:rsidR="001D15FE">
        <w:t xml:space="preserve">(WCVA) </w:t>
      </w:r>
      <w:r w:rsidRPr="006863D4">
        <w:t xml:space="preserve">is a third-sector initiative with financial support from the Welsh Government. The association administers the Volunteering Wales Fund and provides ongoing training and funding advice services for the third sector. </w:t>
      </w:r>
    </w:p>
    <w:p w14:paraId="78BB350F" w14:textId="77777777" w:rsidR="006863D4" w:rsidRPr="006863D4" w:rsidRDefault="006863D4" w:rsidP="006863D4">
      <w:pPr>
        <w:rPr>
          <w:b/>
        </w:rPr>
      </w:pPr>
      <w:r w:rsidRPr="006863D4">
        <w:rPr>
          <w:b/>
        </w:rPr>
        <w:t xml:space="preserve">2. URL: </w:t>
      </w:r>
    </w:p>
    <w:p w14:paraId="40EF6B13" w14:textId="77777777" w:rsidR="006863D4" w:rsidRPr="006863D4" w:rsidRDefault="001655CC" w:rsidP="006863D4">
      <w:hyperlink r:id="rId75" w:history="1">
        <w:r w:rsidR="006863D4" w:rsidRPr="006863D4">
          <w:rPr>
            <w:color w:val="0000FF" w:themeColor="hyperlink"/>
            <w:u w:val="single"/>
          </w:rPr>
          <w:t>http://www.wcva.org.uk/</w:t>
        </w:r>
      </w:hyperlink>
      <w:r w:rsidR="006863D4" w:rsidRPr="006863D4">
        <w:t xml:space="preserve"> </w:t>
      </w:r>
    </w:p>
    <w:p w14:paraId="3BEB7DA9" w14:textId="77777777" w:rsidR="006863D4" w:rsidRPr="006863D4" w:rsidRDefault="006863D4" w:rsidP="006863D4">
      <w:pPr>
        <w:rPr>
          <w:b/>
        </w:rPr>
      </w:pPr>
      <w:r w:rsidRPr="006863D4">
        <w:rPr>
          <w:b/>
        </w:rPr>
        <w:t xml:space="preserve">3. Summary of information provided, including numbers and types of funding sources covered, geography and level of information provided: </w:t>
      </w:r>
    </w:p>
    <w:p w14:paraId="54409A5B" w14:textId="77777777" w:rsidR="006863D4" w:rsidRPr="006863D4" w:rsidRDefault="006863D4" w:rsidP="006863D4">
      <w:r w:rsidRPr="006863D4">
        <w:t xml:space="preserve">Since 2000, WCVA has developed and managed projects with a range of funders that has seen £250m of funding reach third-sector organisations across Wales. </w:t>
      </w:r>
    </w:p>
    <w:p w14:paraId="4D6E665B" w14:textId="77777777" w:rsidR="006863D4" w:rsidRPr="006863D4" w:rsidRDefault="006863D4" w:rsidP="006863D4">
      <w:pPr>
        <w:rPr>
          <w:bCs/>
        </w:rPr>
      </w:pPr>
      <w:r w:rsidRPr="006863D4">
        <w:t xml:space="preserve">The WCVA maintains a Third Sector Funding Portal, based on GRANTnet, which provides details of over 4000 funding opportunities across a range of providers. Once the user has registered on GRANTnet, they can undertake funding searches and will be provided with details of appropriate funding local sources. These search results are then made available to the </w:t>
      </w:r>
      <w:r w:rsidRPr="006863D4">
        <w:rPr>
          <w:bCs/>
        </w:rPr>
        <w:t xml:space="preserve">WCVA Helpdesk, who provide more detailed information on funding schemes suitable for the project.  </w:t>
      </w:r>
    </w:p>
    <w:p w14:paraId="1F598DF9" w14:textId="77777777" w:rsidR="006863D4" w:rsidRPr="006863D4" w:rsidRDefault="006863D4" w:rsidP="006863D4">
      <w:r w:rsidRPr="006863D4">
        <w:rPr>
          <w:bCs/>
        </w:rPr>
        <w:t>In addition to its search functions the WCVA also manages a number of funds directly, including the Environment Wales fund, which provides grants of between £1000 and £12,000. It also manages similar funds such as Volunteering in Wales (which provides grants of up to £25,000 to 70 organisations across Wales) and Gwirvol (a youth volunteering grant scheme).</w:t>
      </w:r>
    </w:p>
    <w:p w14:paraId="49A845ED" w14:textId="77777777" w:rsidR="006863D4" w:rsidRPr="006863D4" w:rsidRDefault="006863D4" w:rsidP="006863D4">
      <w:r w:rsidRPr="006863D4">
        <w:t xml:space="preserve">In addition to direct information on funding sources, the WCVA also provides a wealth of support and information materials relating to funding applications. One WCVA initiative ‘Catalyst Cymru’ offers free advice and support to individuals and organisations engaged in landscape and natural heritage projects. This includes networking and workshop events to support fundraising activities. </w:t>
      </w:r>
    </w:p>
    <w:p w14:paraId="578F5EFA" w14:textId="77777777" w:rsidR="006863D4" w:rsidRPr="006863D4" w:rsidRDefault="006863D4" w:rsidP="006863D4">
      <w:r w:rsidRPr="006863D4">
        <w:t xml:space="preserve">Beyond grants, a major focus of WCVA is on loan financing, and over £4m of loans have been provided to third-sector organisations since 2006. </w:t>
      </w:r>
    </w:p>
    <w:p w14:paraId="323B7A68" w14:textId="77777777" w:rsidR="006863D4" w:rsidRPr="006863D4" w:rsidRDefault="006863D4" w:rsidP="006863D4">
      <w:pPr>
        <w:rPr>
          <w:b/>
        </w:rPr>
      </w:pPr>
      <w:r w:rsidRPr="006863D4">
        <w:rPr>
          <w:b/>
        </w:rPr>
        <w:t xml:space="preserve">4. Date and frequency of update: </w:t>
      </w:r>
    </w:p>
    <w:p w14:paraId="2ED3BC9A" w14:textId="77777777" w:rsidR="006863D4" w:rsidRPr="006863D4" w:rsidRDefault="006863D4" w:rsidP="006863D4">
      <w:r w:rsidRPr="006863D4">
        <w:t>Ongoing</w:t>
      </w:r>
    </w:p>
    <w:p w14:paraId="0BF72B1A" w14:textId="77777777" w:rsidR="006863D4" w:rsidRPr="006863D4" w:rsidRDefault="006863D4" w:rsidP="006863D4">
      <w:pPr>
        <w:rPr>
          <w:b/>
        </w:rPr>
      </w:pPr>
      <w:r w:rsidRPr="006863D4">
        <w:rPr>
          <w:b/>
        </w:rPr>
        <w:t xml:space="preserve">5. Commentary on usefulness and applicability of information to Natura 2000 funding </w:t>
      </w:r>
    </w:p>
    <w:p w14:paraId="243D3F0B" w14:textId="77777777" w:rsidR="006863D4" w:rsidRPr="006863D4" w:rsidRDefault="006863D4" w:rsidP="006863D4">
      <w:r w:rsidRPr="006863D4">
        <w:t xml:space="preserve">As a representative of a range of charitable organisations across Wales, WCVA brings together a range of different interest groups who may benefit from investment in Natura 2000 sites and matches them with funders. Grant schemes such as Environment Wales have good potential to support some small-scale capital and improvement works on sites as well as maintenance and monitoring activities, but other grant schemes to support training and volunteering across Wales could also benefit from focusing their activities on the natural environment. </w:t>
      </w:r>
    </w:p>
    <w:p w14:paraId="5CA83E1E" w14:textId="77777777" w:rsidR="006863D4" w:rsidRPr="006863D4" w:rsidRDefault="006863D4" w:rsidP="006863D4">
      <w:r w:rsidRPr="006863D4">
        <w:t>In addition to providing direct funding resources, the WCVA funding search portal complements the comprehensiveness of GRANTnet with provision of more detailed, locally-relevant information from the WCVA helpdesk. The provision of free training, business development and networking events may also be important, in terms of bringing together the range of interests engaged in Natura 2000 and encouraging the development of collaborative funding bids.</w:t>
      </w:r>
    </w:p>
    <w:p w14:paraId="3D63FCC9" w14:textId="77777777" w:rsidR="006863D4" w:rsidRPr="006863D4" w:rsidRDefault="006863D4" w:rsidP="006863D4">
      <w:r w:rsidRPr="006863D4">
        <w:t xml:space="preserve">In addition to grants, loan financing may be another valuable source of funding to support the development of new long-term financing sources (eg. recreational and ecotourism opportunities) within the Natura 2000 network. </w:t>
      </w:r>
    </w:p>
    <w:p w14:paraId="3FE57679" w14:textId="77777777" w:rsidR="006863D4" w:rsidRPr="006863D4" w:rsidRDefault="006863D4" w:rsidP="006863D4">
      <w:pPr>
        <w:pStyle w:val="AnnexH3"/>
      </w:pPr>
      <w:r w:rsidRPr="006863D4">
        <w:t xml:space="preserve">Sustainable Tourism Powys </w:t>
      </w:r>
    </w:p>
    <w:p w14:paraId="60FED66C" w14:textId="77777777" w:rsidR="006863D4" w:rsidRPr="006863D4" w:rsidRDefault="006863D4" w:rsidP="006863D4">
      <w:pPr>
        <w:rPr>
          <w:b/>
        </w:rPr>
      </w:pPr>
      <w:r w:rsidRPr="006863D4">
        <w:rPr>
          <w:b/>
        </w:rPr>
        <w:t xml:space="preserve">1. Author/organisation responsible: </w:t>
      </w:r>
    </w:p>
    <w:p w14:paraId="2B74DE9A" w14:textId="77777777" w:rsidR="006863D4" w:rsidRPr="006863D4" w:rsidRDefault="006863D4" w:rsidP="006863D4">
      <w:r w:rsidRPr="006863D4">
        <w:t xml:space="preserve">Sustainable Tourism Powys is a grant-awarding initiative, supported by Powys County Council together with Powys Regeneration Partnership and Rural Development Fund. </w:t>
      </w:r>
    </w:p>
    <w:p w14:paraId="3D8C8CF7" w14:textId="77777777" w:rsidR="006863D4" w:rsidRPr="006863D4" w:rsidRDefault="006863D4" w:rsidP="006863D4">
      <w:pPr>
        <w:rPr>
          <w:b/>
        </w:rPr>
      </w:pPr>
      <w:r w:rsidRPr="006863D4">
        <w:rPr>
          <w:b/>
        </w:rPr>
        <w:t xml:space="preserve">2. URL: </w:t>
      </w:r>
    </w:p>
    <w:p w14:paraId="5408C376" w14:textId="77777777" w:rsidR="006863D4" w:rsidRPr="006863D4" w:rsidRDefault="001655CC" w:rsidP="006863D4">
      <w:hyperlink r:id="rId76" w:history="1">
        <w:r w:rsidR="006863D4" w:rsidRPr="006863D4">
          <w:rPr>
            <w:color w:val="0000FF" w:themeColor="hyperlink"/>
            <w:u w:val="single"/>
          </w:rPr>
          <w:t>http://www.tourismpowys.org</w:t>
        </w:r>
      </w:hyperlink>
      <w:r w:rsidR="006863D4" w:rsidRPr="006863D4">
        <w:t xml:space="preserve"> </w:t>
      </w:r>
    </w:p>
    <w:p w14:paraId="6F3F56A3" w14:textId="77777777" w:rsidR="006863D4" w:rsidRPr="006863D4" w:rsidRDefault="006863D4" w:rsidP="006863D4">
      <w:pPr>
        <w:rPr>
          <w:b/>
        </w:rPr>
      </w:pPr>
      <w:r w:rsidRPr="006863D4">
        <w:rPr>
          <w:b/>
        </w:rPr>
        <w:t xml:space="preserve">3. Summary of information provided, including numbers and types of funding sources covered, geography and level of information provided: </w:t>
      </w:r>
    </w:p>
    <w:p w14:paraId="6BEBA412" w14:textId="77777777" w:rsidR="006863D4" w:rsidRPr="006863D4" w:rsidRDefault="006863D4" w:rsidP="006863D4">
      <w:r w:rsidRPr="006863D4">
        <w:t xml:space="preserve">Sustainable Tourism Powys introduced four grants funds in April 2011 with a funding pot available for tourism micro businesses, groups and organisations to bid up to £10,000 to support their work. Grants totalling £870,000 have so far been awarded to 235 projects in Mid-Wales: areas supported include woodland trails, high rope course, cycle tracks, music and arts events, and activities for improving access to the outdoors. The website notes that whilst the current grant scheme has come to an end, a waiting list is available for allocation of anticipated new funds, or reallocation of existing funds. </w:t>
      </w:r>
    </w:p>
    <w:p w14:paraId="4A02464B" w14:textId="25CF1B18" w:rsidR="006863D4" w:rsidRPr="006863D4" w:rsidRDefault="006863D4" w:rsidP="006863D4">
      <w:r w:rsidRPr="006863D4">
        <w:t xml:space="preserve">Grants offered are typically small-scale (£5000-£10000) and are structured thematically- </w:t>
      </w:r>
      <w:r w:rsidR="007B675E">
        <w:t>including</w:t>
      </w:r>
      <w:r w:rsidR="007B675E" w:rsidRPr="006863D4">
        <w:t xml:space="preserve"> </w:t>
      </w:r>
      <w:r w:rsidRPr="006863D4">
        <w:t>in the areas of ‘Activity and Wildlife Tourism’ (capital investments, facilities and equipment, signage and interpretation, marketing activities) and ‘Sense of Place’ (development of local food clusters or trails, cultural and heritage activities). Grants are typically limited to SMEs (1-10 employees, annual revenue below £2m).</w:t>
      </w:r>
    </w:p>
    <w:p w14:paraId="544F798C" w14:textId="77777777" w:rsidR="006863D4" w:rsidRPr="006863D4" w:rsidRDefault="006863D4" w:rsidP="006863D4">
      <w:r w:rsidRPr="006863D4">
        <w:t>The website also includes information about emerging funding opportunities such as the formation of Local Action Groups for the upcoming LEADER programme of Rural Development Funding in Wales. LEADER (Links between the rural economy and development actions) is one of the key elements of the Rural Development Policy 2014-2020.</w:t>
      </w:r>
    </w:p>
    <w:p w14:paraId="07F6C295" w14:textId="77777777" w:rsidR="006863D4" w:rsidRPr="006863D4" w:rsidRDefault="006863D4" w:rsidP="006863D4">
      <w:pPr>
        <w:rPr>
          <w:b/>
        </w:rPr>
      </w:pPr>
      <w:r w:rsidRPr="006863D4">
        <w:rPr>
          <w:b/>
        </w:rPr>
        <w:t xml:space="preserve">4. Date and frequency of update: </w:t>
      </w:r>
    </w:p>
    <w:p w14:paraId="209395FD" w14:textId="77777777" w:rsidR="006863D4" w:rsidRPr="006863D4" w:rsidRDefault="006863D4" w:rsidP="006863D4">
      <w:r w:rsidRPr="006863D4">
        <w:t>Ongoing</w:t>
      </w:r>
    </w:p>
    <w:p w14:paraId="58EDC5CD" w14:textId="77777777" w:rsidR="006863D4" w:rsidRPr="006863D4" w:rsidRDefault="006863D4" w:rsidP="006863D4">
      <w:pPr>
        <w:rPr>
          <w:b/>
        </w:rPr>
      </w:pPr>
      <w:r w:rsidRPr="006863D4">
        <w:rPr>
          <w:b/>
        </w:rPr>
        <w:t xml:space="preserve">5. Commentary on usefulness and applicability of information to Natura 2000 funding </w:t>
      </w:r>
    </w:p>
    <w:p w14:paraId="34CA40D6" w14:textId="77777777" w:rsidR="006863D4" w:rsidRPr="006863D4" w:rsidRDefault="006863D4" w:rsidP="006863D4">
      <w:r w:rsidRPr="006863D4">
        <w:t>Resources such as Sustainable Tourism Powys have a potentially significant role to play in the diversification of funding for existing Natura 2000 sites. As a predominantly rural county, Powys is well-placed to capitalise on the rural development opportunities of sustainable tourism offerings. The ability of sustainable tourism schemes to derive additional revenue from (relatively marginal) tourism sectors whilst minimising impacts on the natural environment has a key relevance to the development of appropriate tourism activities on Natura 2000 sites. The size of these awards is appropriate for developing niche, small-scale recreational activities such as walking trails whilst ensuring that these do not impact on the conservation functions of sites. As small-scale grants, these sources represent a relatively low-risk means of diversifying and experimenting with new revenue streams for Natura 2000.</w:t>
      </w:r>
    </w:p>
    <w:p w14:paraId="4E2612C8" w14:textId="6D83784C" w:rsidR="006863D4" w:rsidRPr="006863D4" w:rsidRDefault="007B675E" w:rsidP="006863D4">
      <w:pPr>
        <w:pStyle w:val="AnnexH3"/>
      </w:pPr>
      <w:r>
        <w:t>Carmarthenshire Association of Voluntary Services (</w:t>
      </w:r>
      <w:r w:rsidR="006863D4" w:rsidRPr="006863D4">
        <w:t>CAVS</w:t>
      </w:r>
      <w:r>
        <w:t>)</w:t>
      </w:r>
      <w:r w:rsidR="006863D4" w:rsidRPr="006863D4">
        <w:t xml:space="preserve"> </w:t>
      </w:r>
    </w:p>
    <w:p w14:paraId="25AB4F9C" w14:textId="77777777" w:rsidR="006863D4" w:rsidRPr="006863D4" w:rsidRDefault="006863D4" w:rsidP="006863D4">
      <w:pPr>
        <w:rPr>
          <w:b/>
        </w:rPr>
      </w:pPr>
      <w:r w:rsidRPr="006863D4">
        <w:rPr>
          <w:b/>
        </w:rPr>
        <w:t xml:space="preserve">1. Author/organisation responsible: </w:t>
      </w:r>
    </w:p>
    <w:p w14:paraId="3819DC0E" w14:textId="77777777" w:rsidR="006863D4" w:rsidRPr="006863D4" w:rsidRDefault="006863D4" w:rsidP="006863D4">
      <w:r w:rsidRPr="006863D4">
        <w:t>CAVS is a voluntary organisation, providing support and information to third sector organisations and projects operating in Carmarthenshire.</w:t>
      </w:r>
    </w:p>
    <w:p w14:paraId="531BCA65" w14:textId="77777777" w:rsidR="006863D4" w:rsidRPr="006863D4" w:rsidRDefault="006863D4" w:rsidP="006863D4">
      <w:pPr>
        <w:rPr>
          <w:b/>
        </w:rPr>
      </w:pPr>
      <w:r w:rsidRPr="006863D4">
        <w:rPr>
          <w:b/>
        </w:rPr>
        <w:t xml:space="preserve">2. URL: </w:t>
      </w:r>
    </w:p>
    <w:p w14:paraId="6C305F34" w14:textId="77777777" w:rsidR="006863D4" w:rsidRPr="006863D4" w:rsidRDefault="001655CC" w:rsidP="006863D4">
      <w:hyperlink r:id="rId77" w:history="1">
        <w:r w:rsidR="006863D4" w:rsidRPr="006863D4">
          <w:rPr>
            <w:color w:val="0000FF" w:themeColor="hyperlink"/>
            <w:u w:val="single"/>
          </w:rPr>
          <w:t>http://www.cavs.org.uk/category/funding/</w:t>
        </w:r>
      </w:hyperlink>
      <w:r w:rsidR="006863D4" w:rsidRPr="006863D4">
        <w:t xml:space="preserve"> </w:t>
      </w:r>
    </w:p>
    <w:p w14:paraId="16C137EB" w14:textId="77777777" w:rsidR="006863D4" w:rsidRPr="006863D4" w:rsidRDefault="006863D4" w:rsidP="006863D4">
      <w:pPr>
        <w:rPr>
          <w:b/>
        </w:rPr>
      </w:pPr>
      <w:r w:rsidRPr="006863D4">
        <w:rPr>
          <w:b/>
        </w:rPr>
        <w:t xml:space="preserve">3. Summary of information provided, including numbers and types of funding sources covered, geography and level of information provided: </w:t>
      </w:r>
    </w:p>
    <w:p w14:paraId="0D8AE6C0" w14:textId="77777777" w:rsidR="006863D4" w:rsidRPr="006863D4" w:rsidRDefault="006863D4" w:rsidP="006863D4">
      <w:r w:rsidRPr="006863D4">
        <w:t xml:space="preserve">CAVS membership is open to all voluntary or community groups who are based or provide services in Carmarthenshire. The CAVS funding portal includes information and links to a variety of grant and loan-making organisations across the county, including Welsh funding opportunities relating to the Woodlands Trust, Carmarthenshire Environment Partnership grants, as well as skills and training support resources relating to the natural environment and environmental records. </w:t>
      </w:r>
    </w:p>
    <w:p w14:paraId="24C305F4" w14:textId="77777777" w:rsidR="006863D4" w:rsidRPr="006863D4" w:rsidRDefault="006863D4" w:rsidP="006863D4">
      <w:pPr>
        <w:rPr>
          <w:b/>
        </w:rPr>
      </w:pPr>
      <w:r w:rsidRPr="006863D4">
        <w:rPr>
          <w:b/>
        </w:rPr>
        <w:t xml:space="preserve">4. Date and frequency of update: </w:t>
      </w:r>
    </w:p>
    <w:p w14:paraId="68C82FF0" w14:textId="77777777" w:rsidR="006863D4" w:rsidRPr="006863D4" w:rsidRDefault="006863D4" w:rsidP="006863D4">
      <w:r w:rsidRPr="006863D4">
        <w:t>Ongoing</w:t>
      </w:r>
    </w:p>
    <w:p w14:paraId="62E40345" w14:textId="77777777" w:rsidR="006863D4" w:rsidRPr="006863D4" w:rsidRDefault="006863D4" w:rsidP="006863D4">
      <w:pPr>
        <w:rPr>
          <w:b/>
        </w:rPr>
      </w:pPr>
      <w:r w:rsidRPr="006863D4">
        <w:rPr>
          <w:b/>
        </w:rPr>
        <w:t xml:space="preserve">5. Commentary on usefulness and applicability of information to Natura 2000 funding </w:t>
      </w:r>
    </w:p>
    <w:p w14:paraId="605E5C49" w14:textId="77777777" w:rsidR="006863D4" w:rsidRPr="006863D4" w:rsidRDefault="006863D4" w:rsidP="006863D4">
      <w:r w:rsidRPr="006863D4">
        <w:t xml:space="preserve">Although CAVS is limited to Carmarthenshire, this county-level focus ensures that information is appropriate to local concerns and issues and provides a useful starting point for engaging with potential funders. From a Natura 2000 perspective, CAVS is a useful resource for obtaining information in relation to ongoing monitoring and management of sites, including small-scale grants for non-routine maintenance works and bursaries for skills and training relating to management and record-keeping. </w:t>
      </w:r>
    </w:p>
    <w:p w14:paraId="1F073DC7" w14:textId="77777777" w:rsidR="006863D4" w:rsidRPr="006863D4" w:rsidRDefault="006863D4" w:rsidP="006863D4">
      <w:pPr>
        <w:pStyle w:val="AnnexH3"/>
      </w:pPr>
      <w:r w:rsidRPr="006863D4">
        <w:t xml:space="preserve">The Fund for Wales </w:t>
      </w:r>
    </w:p>
    <w:p w14:paraId="73D9CC4A" w14:textId="77777777" w:rsidR="006863D4" w:rsidRPr="006863D4" w:rsidRDefault="006863D4" w:rsidP="006863D4">
      <w:pPr>
        <w:rPr>
          <w:b/>
        </w:rPr>
      </w:pPr>
      <w:r w:rsidRPr="006863D4">
        <w:rPr>
          <w:b/>
        </w:rPr>
        <w:t xml:space="preserve">1. Author/organisation responsible: </w:t>
      </w:r>
    </w:p>
    <w:p w14:paraId="057F1A4A" w14:textId="77777777" w:rsidR="006863D4" w:rsidRPr="006863D4" w:rsidRDefault="006863D4" w:rsidP="006863D4">
      <w:r w:rsidRPr="006863D4">
        <w:t>The Fund for Wales is a campaign of the Community Foundation in Wales, a charity which awards and promotes philanthropic giving in areas including environment, health, culture, communities and education across Wales.</w:t>
      </w:r>
    </w:p>
    <w:p w14:paraId="78202F78" w14:textId="77777777" w:rsidR="006863D4" w:rsidRPr="006863D4" w:rsidRDefault="006863D4" w:rsidP="006863D4">
      <w:pPr>
        <w:rPr>
          <w:b/>
        </w:rPr>
      </w:pPr>
      <w:r w:rsidRPr="006863D4">
        <w:rPr>
          <w:b/>
        </w:rPr>
        <w:t xml:space="preserve">2. URL: </w:t>
      </w:r>
    </w:p>
    <w:p w14:paraId="05C9FD57" w14:textId="77777777" w:rsidR="006863D4" w:rsidRPr="006863D4" w:rsidRDefault="001655CC" w:rsidP="006863D4">
      <w:hyperlink r:id="rId78" w:history="1">
        <w:r w:rsidR="006863D4" w:rsidRPr="006863D4">
          <w:rPr>
            <w:color w:val="0000FF" w:themeColor="hyperlink"/>
            <w:u w:val="single"/>
          </w:rPr>
          <w:t>http://www.cfiw.org.uk/eng/home/</w:t>
        </w:r>
      </w:hyperlink>
      <w:r w:rsidR="006863D4" w:rsidRPr="006863D4">
        <w:t xml:space="preserve"> </w:t>
      </w:r>
    </w:p>
    <w:p w14:paraId="3108B811" w14:textId="77777777" w:rsidR="006863D4" w:rsidRPr="006863D4" w:rsidRDefault="006863D4" w:rsidP="006863D4">
      <w:pPr>
        <w:rPr>
          <w:b/>
        </w:rPr>
      </w:pPr>
      <w:r w:rsidRPr="006863D4">
        <w:rPr>
          <w:b/>
        </w:rPr>
        <w:t xml:space="preserve">3. Summary of information provided, including numbers and types of funding sources covered, geography and level of information provided: </w:t>
      </w:r>
    </w:p>
    <w:p w14:paraId="368A2643" w14:textId="77777777" w:rsidR="006863D4" w:rsidRPr="006863D4" w:rsidRDefault="006863D4" w:rsidP="006863D4">
      <w:r w:rsidRPr="006863D4">
        <w:t xml:space="preserve">The Fund for Wales awards small grants of between £500 and £1000 to community-driven volunteer groups aiming to deliver better outcomes for community cohesion, urban and rural environments and physical activity. One of the aims of the fund is to combat the concentration of charitable giving between a handful of sources and recipients by providing a source of small-scale funding to a diversity of recipients and activities. Donations to the fund by the public or organisations are currently matched with funds from the Big Lottery Fund to effectively ‘double’ their scale. </w:t>
      </w:r>
    </w:p>
    <w:p w14:paraId="6CEABA1E" w14:textId="77777777" w:rsidR="006863D4" w:rsidRPr="006863D4" w:rsidRDefault="006863D4" w:rsidP="006863D4">
      <w:pPr>
        <w:rPr>
          <w:b/>
        </w:rPr>
      </w:pPr>
      <w:r w:rsidRPr="006863D4">
        <w:rPr>
          <w:b/>
        </w:rPr>
        <w:t xml:space="preserve">4. Date and frequency of update: </w:t>
      </w:r>
    </w:p>
    <w:p w14:paraId="03F312AE" w14:textId="77777777" w:rsidR="006863D4" w:rsidRPr="006863D4" w:rsidRDefault="006863D4" w:rsidP="006863D4">
      <w:r w:rsidRPr="006863D4">
        <w:t>Ongoing</w:t>
      </w:r>
    </w:p>
    <w:p w14:paraId="1F204167" w14:textId="77777777" w:rsidR="006863D4" w:rsidRPr="006863D4" w:rsidRDefault="006863D4" w:rsidP="006863D4">
      <w:pPr>
        <w:rPr>
          <w:b/>
        </w:rPr>
      </w:pPr>
      <w:r w:rsidRPr="006863D4">
        <w:rPr>
          <w:b/>
        </w:rPr>
        <w:t xml:space="preserve">5. Commentary on usefulness and applicability of information to Natura 2000 funding </w:t>
      </w:r>
    </w:p>
    <w:p w14:paraId="3379DBFE" w14:textId="77777777" w:rsidR="006863D4" w:rsidRPr="006863D4" w:rsidRDefault="006863D4" w:rsidP="006863D4">
      <w:r w:rsidRPr="006863D4">
        <w:t xml:space="preserve">The Fund for Wales (and other charitable activities administered by the Community Foundation Wales) could be a useful source of information for funding certain Natura 2000 activities because of the relatively niche and small-scale activities supported. These funds could be used to support investments that would fall outside ‘day-to-day’ expenditure on sites by local authorities and conservation authorities but could nonetheless yield benefits for biodiversity and the rural economy. For example, the Fund for Wales has provided support to Bardsey Island Bird and Field Observatory to purchase new monitoring equipment. Similar equipment and maintenance needs, as well as resources for volunteers, could be supported through small-scale grants.  </w:t>
      </w:r>
    </w:p>
    <w:p w14:paraId="64F9755D" w14:textId="77777777" w:rsidR="006863D4" w:rsidRPr="006863D4" w:rsidRDefault="006863D4" w:rsidP="006863D4">
      <w:pPr>
        <w:pStyle w:val="AnnexH3"/>
      </w:pPr>
      <w:r w:rsidRPr="006863D4">
        <w:t>Esmée Fairbairn Foundation</w:t>
      </w:r>
    </w:p>
    <w:p w14:paraId="511865AC" w14:textId="77777777" w:rsidR="006863D4" w:rsidRPr="006863D4" w:rsidRDefault="006863D4" w:rsidP="006863D4">
      <w:pPr>
        <w:rPr>
          <w:b/>
        </w:rPr>
      </w:pPr>
      <w:r w:rsidRPr="006863D4">
        <w:rPr>
          <w:b/>
        </w:rPr>
        <w:t xml:space="preserve">1. Author/organisation responsible: </w:t>
      </w:r>
    </w:p>
    <w:p w14:paraId="30015F1D" w14:textId="77777777" w:rsidR="006863D4" w:rsidRPr="006863D4" w:rsidRDefault="006863D4" w:rsidP="006863D4">
      <w:r w:rsidRPr="006863D4">
        <w:t>The Esmée Fairbairn Foundation</w:t>
      </w:r>
    </w:p>
    <w:p w14:paraId="3FAA9707" w14:textId="77777777" w:rsidR="006863D4" w:rsidRPr="006863D4" w:rsidRDefault="006863D4" w:rsidP="006863D4">
      <w:pPr>
        <w:rPr>
          <w:b/>
        </w:rPr>
      </w:pPr>
      <w:r w:rsidRPr="006863D4">
        <w:rPr>
          <w:b/>
        </w:rPr>
        <w:t xml:space="preserve">2. URL: </w:t>
      </w:r>
    </w:p>
    <w:p w14:paraId="0E70C9ED" w14:textId="77777777" w:rsidR="006863D4" w:rsidRPr="006863D4" w:rsidRDefault="001655CC" w:rsidP="006863D4">
      <w:hyperlink r:id="rId79" w:history="1">
        <w:r w:rsidR="006863D4" w:rsidRPr="006863D4">
          <w:rPr>
            <w:color w:val="0000FF" w:themeColor="hyperlink"/>
            <w:u w:val="single"/>
          </w:rPr>
          <w:t>http://esmeefairbairn.org.uk/what-we-fund/sectors/environment</w:t>
        </w:r>
      </w:hyperlink>
    </w:p>
    <w:p w14:paraId="17FF4F88" w14:textId="77777777" w:rsidR="006863D4" w:rsidRPr="006863D4" w:rsidRDefault="006863D4" w:rsidP="006863D4">
      <w:pPr>
        <w:rPr>
          <w:b/>
        </w:rPr>
      </w:pPr>
      <w:r w:rsidRPr="006863D4">
        <w:rPr>
          <w:b/>
        </w:rPr>
        <w:t xml:space="preserve">3. Summary of information provided, including numbers and types of funding sources covered, geography and level of information provided: </w:t>
      </w:r>
    </w:p>
    <w:p w14:paraId="389AE45B" w14:textId="6767C321" w:rsidR="006863D4" w:rsidRPr="006863D4" w:rsidRDefault="007B675E" w:rsidP="006863D4">
      <w:r w:rsidRPr="006863D4">
        <w:t>The Esmée Fairbairn Foundation</w:t>
      </w:r>
      <w:r>
        <w:t xml:space="preserve"> (</w:t>
      </w:r>
      <w:r w:rsidRPr="006863D4">
        <w:t>EFF</w:t>
      </w:r>
      <w:r>
        <w:t>)</w:t>
      </w:r>
      <w:r w:rsidRPr="006863D4">
        <w:t xml:space="preserve"> </w:t>
      </w:r>
      <w:r w:rsidR="006863D4" w:rsidRPr="006863D4">
        <w:t xml:space="preserve">has awarded over £26.9m of grants to environmental projects in the past 6 years, with grants in 2013 totalling £4.4m. The focus of these investments includes landscape-level projects that benefit multiple habitats or species,  projects that connect individuals and communities, and conservation of the coastal and marine environment, as well as projects that encourage environmental entrepreneurship and projects that blend conservation with other areas of interest, such as the creative or arts sectors. These include marine programmes for Yorkshire Wildlife Trust, brownfield greening projects in Northeast England and habitat protection programmes for CHEMTRUST. </w:t>
      </w:r>
    </w:p>
    <w:p w14:paraId="293749A2" w14:textId="77777777" w:rsidR="006863D4" w:rsidRPr="006863D4" w:rsidRDefault="006863D4" w:rsidP="006863D4">
      <w:r w:rsidRPr="006863D4">
        <w:t>Substantial grants (as high as £960,000 in some cases) have been awarded to a number of Wildlife Trusts across the UK to finance the purchase and maintenance of valuable ecosystems and landscapes for a variety of conservation and flood management purposes.</w:t>
      </w:r>
    </w:p>
    <w:p w14:paraId="491085C5" w14:textId="77777777" w:rsidR="006863D4" w:rsidRPr="006863D4" w:rsidRDefault="006863D4" w:rsidP="006863D4">
      <w:pPr>
        <w:rPr>
          <w:b/>
        </w:rPr>
      </w:pPr>
      <w:r w:rsidRPr="006863D4">
        <w:rPr>
          <w:b/>
        </w:rPr>
        <w:t xml:space="preserve">4. Date and frequency of update: </w:t>
      </w:r>
    </w:p>
    <w:p w14:paraId="19E8C011" w14:textId="77777777" w:rsidR="006863D4" w:rsidRPr="006863D4" w:rsidRDefault="006863D4" w:rsidP="006863D4">
      <w:r w:rsidRPr="006863D4">
        <w:t>Ongoing</w:t>
      </w:r>
    </w:p>
    <w:p w14:paraId="111D1C6D" w14:textId="77777777" w:rsidR="006863D4" w:rsidRPr="006863D4" w:rsidRDefault="006863D4" w:rsidP="006863D4">
      <w:pPr>
        <w:rPr>
          <w:b/>
        </w:rPr>
      </w:pPr>
      <w:r w:rsidRPr="006863D4">
        <w:rPr>
          <w:b/>
        </w:rPr>
        <w:t xml:space="preserve">5. Commentary on usefulness and applicability of information to Natura 2000 funding </w:t>
      </w:r>
    </w:p>
    <w:p w14:paraId="24D849AE" w14:textId="77777777" w:rsidR="006863D4" w:rsidRPr="006863D4" w:rsidRDefault="006863D4" w:rsidP="006863D4">
      <w:r w:rsidRPr="006863D4">
        <w:t xml:space="preserve">The EFF has significant potential as a source of funding support for Natura 2000 in Wales- particularly as a source of support for acquisition of land and maintenance works. Analysis of the grants database shows that conservation awards in Wales have been relatively small-scale in relation to investments in England and Scotland. As such, there may be substantial opportunities to develop new projects via the Welsh Wildlife Trusts and existing institutional recipients. One high-profile example in Wales is the conservation group Pori Natur a Threftadaeth Ltd, which has received a capital grant of £99,350 to support Anglesey Grazing Animals Partnership- a landscape-based strategic approach to biodiversity management. Similar approaches could be developed elsewhere for the management of Natura 2000 sites. </w:t>
      </w:r>
    </w:p>
    <w:p w14:paraId="188F6803" w14:textId="77777777" w:rsidR="006863D4" w:rsidRPr="006863D4" w:rsidRDefault="006863D4" w:rsidP="006863D4">
      <w:pPr>
        <w:pStyle w:val="AnnexH3"/>
        <w:rPr>
          <w:lang w:val="en-US"/>
        </w:rPr>
      </w:pPr>
      <w:r w:rsidRPr="006863D4">
        <w:t>The Woodland Trust/</w:t>
      </w:r>
      <w:r w:rsidRPr="006863D4">
        <w:rPr>
          <w:lang w:val="en-US"/>
        </w:rPr>
        <w:t>Coed Cadw</w:t>
      </w:r>
    </w:p>
    <w:p w14:paraId="5095FFB9" w14:textId="77777777" w:rsidR="006863D4" w:rsidRPr="006863D4" w:rsidRDefault="006863D4" w:rsidP="006863D4">
      <w:pPr>
        <w:rPr>
          <w:b/>
        </w:rPr>
      </w:pPr>
      <w:r w:rsidRPr="006863D4">
        <w:rPr>
          <w:b/>
        </w:rPr>
        <w:t xml:space="preserve">1. Author/organisation responsible: </w:t>
      </w:r>
    </w:p>
    <w:p w14:paraId="65499180" w14:textId="77777777" w:rsidR="00A10540" w:rsidRPr="006863D4" w:rsidRDefault="00A10540" w:rsidP="00A10540">
      <w:r w:rsidRPr="006863D4">
        <w:t>The Woodland Trust</w:t>
      </w:r>
      <w:r>
        <w:t>/Coed Cadw</w:t>
      </w:r>
      <w:r w:rsidRPr="006863D4">
        <w:t xml:space="preserve"> is the UK’s leading charity championing native woods and trees.</w:t>
      </w:r>
      <w:r w:rsidRPr="006863D4">
        <w:br/>
        <w:t>It has 300,000 members and supporters across the UK. A specific website is maintained to focus on its actions in Wales.</w:t>
      </w:r>
    </w:p>
    <w:p w14:paraId="44D9A2AF" w14:textId="77777777" w:rsidR="006863D4" w:rsidRPr="006863D4" w:rsidRDefault="006863D4" w:rsidP="006863D4">
      <w:pPr>
        <w:rPr>
          <w:b/>
        </w:rPr>
      </w:pPr>
      <w:r w:rsidRPr="006863D4">
        <w:rPr>
          <w:b/>
        </w:rPr>
        <w:t xml:space="preserve">2. URL: </w:t>
      </w:r>
    </w:p>
    <w:p w14:paraId="6C42EADD" w14:textId="77777777" w:rsidR="006863D4" w:rsidRPr="006863D4" w:rsidRDefault="001655CC" w:rsidP="006863D4">
      <w:hyperlink r:id="rId80" w:history="1">
        <w:r w:rsidR="006863D4" w:rsidRPr="006863D4">
          <w:rPr>
            <w:color w:val="0000FF" w:themeColor="hyperlink"/>
            <w:u w:val="single"/>
          </w:rPr>
          <w:t xml:space="preserve">www.coed-cadw.org.uk </w:t>
        </w:r>
      </w:hyperlink>
    </w:p>
    <w:p w14:paraId="5E391193" w14:textId="77777777" w:rsidR="006863D4" w:rsidRPr="006863D4" w:rsidRDefault="006863D4" w:rsidP="006863D4">
      <w:pPr>
        <w:rPr>
          <w:b/>
        </w:rPr>
      </w:pPr>
      <w:r w:rsidRPr="006863D4">
        <w:rPr>
          <w:b/>
        </w:rPr>
        <w:t xml:space="preserve">3. Summary of information provided, including numbers and types of funding sources covered, geography and level of information provided: </w:t>
      </w:r>
    </w:p>
    <w:p w14:paraId="4E6426D1" w14:textId="5FC51ECC" w:rsidR="006863D4" w:rsidRPr="006863D4" w:rsidRDefault="00A10540" w:rsidP="006863D4">
      <w:r w:rsidRPr="006863D4">
        <w:t>The Woodland Trust</w:t>
      </w:r>
      <w:r>
        <w:t>/Coed Cadw</w:t>
      </w:r>
      <w:r w:rsidRPr="006863D4">
        <w:t xml:space="preserve"> </w:t>
      </w:r>
      <w:r w:rsidR="006863D4" w:rsidRPr="006863D4">
        <w:t>undertakes a range of projects to conserve and encourage the expansion of native trees across Wales on behalf of NRW, and has recently been awarded £1.9m from the Heritage Lottery Fund to undertake an ancient woodland restoration project.</w:t>
      </w:r>
    </w:p>
    <w:p w14:paraId="733207C6" w14:textId="77777777" w:rsidR="006863D4" w:rsidRPr="006863D4" w:rsidRDefault="006863D4" w:rsidP="006863D4">
      <w:r w:rsidRPr="006863D4">
        <w:t>The Woodland Trust produces a range of guidance materials on its website providing advice to landowners and woodland managers on how to access different funding sources relating to native woodland planting and management. The majority of these focus on governmental incentive schemes such as Glastir Woodland Agreements, although information is also included on other schemes.</w:t>
      </w:r>
    </w:p>
    <w:p w14:paraId="61612DB0" w14:textId="77777777" w:rsidR="006863D4" w:rsidRPr="006863D4" w:rsidRDefault="006863D4" w:rsidP="006863D4">
      <w:pPr>
        <w:rPr>
          <w:b/>
        </w:rPr>
      </w:pPr>
      <w:r w:rsidRPr="006863D4">
        <w:rPr>
          <w:b/>
        </w:rPr>
        <w:t xml:space="preserve">4. Date and frequency of update: </w:t>
      </w:r>
    </w:p>
    <w:p w14:paraId="6822B564" w14:textId="77777777" w:rsidR="006863D4" w:rsidRPr="006863D4" w:rsidRDefault="006863D4" w:rsidP="006863D4">
      <w:r w:rsidRPr="006863D4">
        <w:t>Ongoing</w:t>
      </w:r>
    </w:p>
    <w:p w14:paraId="1695B238" w14:textId="77777777" w:rsidR="006863D4" w:rsidRPr="006863D4" w:rsidRDefault="006863D4" w:rsidP="006863D4">
      <w:pPr>
        <w:rPr>
          <w:b/>
        </w:rPr>
      </w:pPr>
      <w:r w:rsidRPr="006863D4">
        <w:rPr>
          <w:b/>
        </w:rPr>
        <w:t xml:space="preserve">5. Commentary on usefulness and applicability of information to Natura 2000 funding </w:t>
      </w:r>
    </w:p>
    <w:p w14:paraId="4A8868E2" w14:textId="77777777" w:rsidR="00A10540" w:rsidRPr="006863D4" w:rsidRDefault="00A10540" w:rsidP="00A10540">
      <w:r w:rsidRPr="006863D4">
        <w:t>The work of the Woodland Trust</w:t>
      </w:r>
      <w:r>
        <w:t>/Coed Cadw</w:t>
      </w:r>
      <w:r w:rsidRPr="006863D4">
        <w:t xml:space="preserve"> in promoting expansion of native woodland has potentially significant benefits for biodiversity. In addition to providing an added source of revenue for landowners through planting of native species (thereby allowing receipt of Glastir payments and other silvicultural incentives) the Woodland Trust</w:t>
      </w:r>
      <w:r>
        <w:t>/Coed Cadw</w:t>
      </w:r>
      <w:r w:rsidRPr="006863D4">
        <w:t xml:space="preserve"> has a high visibility and established track record as a recipient of donor funds for its activities from a variety of sources. </w:t>
      </w:r>
    </w:p>
    <w:p w14:paraId="23434F2B" w14:textId="77777777" w:rsidR="006863D4" w:rsidRPr="006863D4" w:rsidRDefault="006863D4" w:rsidP="006863D4">
      <w:pPr>
        <w:pStyle w:val="AnnexH3"/>
      </w:pPr>
      <w:r w:rsidRPr="006863D4">
        <w:t xml:space="preserve">Wales Environment Link </w:t>
      </w:r>
    </w:p>
    <w:p w14:paraId="6840E0A3" w14:textId="77777777" w:rsidR="006863D4" w:rsidRPr="006863D4" w:rsidRDefault="006863D4" w:rsidP="006863D4">
      <w:pPr>
        <w:rPr>
          <w:b/>
        </w:rPr>
      </w:pPr>
      <w:r w:rsidRPr="006863D4">
        <w:rPr>
          <w:b/>
        </w:rPr>
        <w:t xml:space="preserve">1. Author/organisation responsible: </w:t>
      </w:r>
    </w:p>
    <w:p w14:paraId="29AF8513" w14:textId="77777777" w:rsidR="00A10540" w:rsidRPr="006863D4" w:rsidRDefault="00A10540" w:rsidP="00A10540">
      <w:r>
        <w:t>Wales Environment Link (</w:t>
      </w:r>
      <w:r w:rsidRPr="006863D4">
        <w:t>WEL</w:t>
      </w:r>
      <w:r>
        <w:t>)</w:t>
      </w:r>
      <w:r w:rsidRPr="006863D4">
        <w:t xml:space="preserve"> is an umbrella body for a range of countryside and environmental non-governmental bodies in Wales. </w:t>
      </w:r>
    </w:p>
    <w:p w14:paraId="634AD509" w14:textId="77777777" w:rsidR="006863D4" w:rsidRPr="006863D4" w:rsidRDefault="006863D4" w:rsidP="006863D4">
      <w:pPr>
        <w:rPr>
          <w:b/>
        </w:rPr>
      </w:pPr>
      <w:r w:rsidRPr="006863D4">
        <w:rPr>
          <w:b/>
        </w:rPr>
        <w:t xml:space="preserve">2. URL: </w:t>
      </w:r>
    </w:p>
    <w:p w14:paraId="48DBB334" w14:textId="77777777" w:rsidR="006863D4" w:rsidRPr="006863D4" w:rsidRDefault="001655CC" w:rsidP="006863D4">
      <w:hyperlink r:id="rId81" w:history="1">
        <w:r w:rsidR="006863D4" w:rsidRPr="006863D4">
          <w:rPr>
            <w:color w:val="0000FF" w:themeColor="hyperlink"/>
            <w:u w:val="single"/>
          </w:rPr>
          <w:t>http://www.waleslink.org/</w:t>
        </w:r>
      </w:hyperlink>
    </w:p>
    <w:p w14:paraId="2F76B22D" w14:textId="77777777" w:rsidR="006863D4" w:rsidRPr="006863D4" w:rsidRDefault="006863D4" w:rsidP="006863D4">
      <w:pPr>
        <w:rPr>
          <w:b/>
        </w:rPr>
      </w:pPr>
      <w:r w:rsidRPr="006863D4">
        <w:rPr>
          <w:b/>
        </w:rPr>
        <w:t xml:space="preserve">3. Summary of information provided, including numbers and types of funding sources covered, geography and level of information provided: </w:t>
      </w:r>
    </w:p>
    <w:p w14:paraId="779E2B7B" w14:textId="1470F392" w:rsidR="006863D4" w:rsidRPr="006863D4" w:rsidRDefault="006863D4" w:rsidP="006863D4">
      <w:r w:rsidRPr="006863D4">
        <w:t xml:space="preserve">As an umbrella body for conservation groups in Wales, the WEL is a valuable source of ongoing information relating to funding opportunities in a range of environmental areas. The WEL website includes updates and links relating to a range of funding sources, including Welsh Government </w:t>
      </w:r>
      <w:r w:rsidR="00A10540">
        <w:t>s</w:t>
      </w:r>
      <w:r w:rsidRPr="006863D4">
        <w:t>ources, WCVS associations and various charitable trusts.</w:t>
      </w:r>
    </w:p>
    <w:p w14:paraId="09F7044C" w14:textId="77777777" w:rsidR="006863D4" w:rsidRPr="006863D4" w:rsidRDefault="006863D4" w:rsidP="006863D4">
      <w:pPr>
        <w:rPr>
          <w:b/>
        </w:rPr>
      </w:pPr>
      <w:r w:rsidRPr="006863D4">
        <w:rPr>
          <w:b/>
        </w:rPr>
        <w:t xml:space="preserve">4. Date and frequency of update: </w:t>
      </w:r>
    </w:p>
    <w:p w14:paraId="646C9FC3" w14:textId="77777777" w:rsidR="006863D4" w:rsidRPr="006863D4" w:rsidRDefault="006863D4" w:rsidP="006863D4">
      <w:r w:rsidRPr="006863D4">
        <w:t>Ongoing</w:t>
      </w:r>
    </w:p>
    <w:p w14:paraId="3639F8F9" w14:textId="77777777" w:rsidR="006863D4" w:rsidRPr="006863D4" w:rsidRDefault="006863D4" w:rsidP="006863D4">
      <w:pPr>
        <w:rPr>
          <w:b/>
        </w:rPr>
      </w:pPr>
      <w:r w:rsidRPr="006863D4">
        <w:rPr>
          <w:b/>
        </w:rPr>
        <w:t xml:space="preserve">5. Commentary on usefulness and applicability of information to Natura 2000 funding </w:t>
      </w:r>
    </w:p>
    <w:p w14:paraId="691128F8" w14:textId="77777777" w:rsidR="006863D4" w:rsidRPr="006863D4" w:rsidRDefault="006863D4" w:rsidP="006863D4">
      <w:r w:rsidRPr="006863D4">
        <w:t>The WEL is a useful resource for information on Natura 2000 funding specifically- both through links to established funders and through analysis of related and emerging issues- the WEL regularly publishes analysis and issue papers relating to areas such as ecotourism and conservation, that can be useful in developing funding opportunities in these areas. The website is regularly maintained and represents a useful starting point for further information on funding developments in the public sector, in particular. It also provides a useful forum for recipients of funding to articulate future funding needs in relation to Natura 2000 and to link these groups with new funders.</w:t>
      </w:r>
    </w:p>
    <w:p w14:paraId="525D9AFE" w14:textId="77777777" w:rsidR="006863D4" w:rsidRPr="006863D4" w:rsidRDefault="006863D4" w:rsidP="006863D4">
      <w:pPr>
        <w:pStyle w:val="AnnexH3"/>
      </w:pPr>
      <w:r w:rsidRPr="006863D4">
        <w:t xml:space="preserve">The Waterloo Foundation </w:t>
      </w:r>
    </w:p>
    <w:p w14:paraId="6C0FE780" w14:textId="77777777" w:rsidR="006863D4" w:rsidRPr="006863D4" w:rsidRDefault="006863D4" w:rsidP="006863D4">
      <w:pPr>
        <w:rPr>
          <w:b/>
        </w:rPr>
      </w:pPr>
      <w:r w:rsidRPr="006863D4">
        <w:rPr>
          <w:b/>
        </w:rPr>
        <w:t xml:space="preserve">1. Author/organisation responsible: </w:t>
      </w:r>
    </w:p>
    <w:p w14:paraId="3931028D" w14:textId="77777777" w:rsidR="006863D4" w:rsidRPr="006863D4" w:rsidRDefault="006863D4" w:rsidP="006863D4">
      <w:r w:rsidRPr="006863D4">
        <w:t>The Waterloo Foundation (TWF) is an independent grant-making Foundation created in 2007, and based in Cardiff.</w:t>
      </w:r>
    </w:p>
    <w:p w14:paraId="283BA82D" w14:textId="77777777" w:rsidR="006863D4" w:rsidRPr="006863D4" w:rsidRDefault="006863D4" w:rsidP="006863D4">
      <w:pPr>
        <w:rPr>
          <w:b/>
        </w:rPr>
      </w:pPr>
      <w:r w:rsidRPr="006863D4">
        <w:rPr>
          <w:b/>
        </w:rPr>
        <w:t xml:space="preserve">2. URL: </w:t>
      </w:r>
    </w:p>
    <w:p w14:paraId="13AF8EBB" w14:textId="77777777" w:rsidR="006863D4" w:rsidRPr="006863D4" w:rsidRDefault="001655CC" w:rsidP="006863D4">
      <w:hyperlink r:id="rId82" w:history="1">
        <w:r w:rsidR="006863D4" w:rsidRPr="006863D4">
          <w:rPr>
            <w:color w:val="0000FF" w:themeColor="hyperlink"/>
            <w:u w:val="single"/>
          </w:rPr>
          <w:t>http://www.waterloofoundation.org.uk</w:t>
        </w:r>
      </w:hyperlink>
      <w:r w:rsidR="006863D4" w:rsidRPr="006863D4">
        <w:t xml:space="preserve"> </w:t>
      </w:r>
    </w:p>
    <w:p w14:paraId="5103613E" w14:textId="77777777" w:rsidR="006863D4" w:rsidRPr="006863D4" w:rsidRDefault="006863D4" w:rsidP="006863D4">
      <w:pPr>
        <w:rPr>
          <w:b/>
        </w:rPr>
      </w:pPr>
      <w:r w:rsidRPr="006863D4">
        <w:rPr>
          <w:b/>
        </w:rPr>
        <w:t xml:space="preserve">3. Summary of information provided, including numbers and types of funding sources covered, geography and level of information provided: </w:t>
      </w:r>
    </w:p>
    <w:p w14:paraId="09B6620A" w14:textId="1C12B953" w:rsidR="006863D4" w:rsidRPr="006863D4" w:rsidRDefault="006863D4" w:rsidP="006863D4">
      <w:r w:rsidRPr="006863D4">
        <w:t>The</w:t>
      </w:r>
      <w:r w:rsidR="00A10540">
        <w:t xml:space="preserve"> Waterloo Foundation</w:t>
      </w:r>
      <w:r w:rsidRPr="006863D4">
        <w:t xml:space="preserve"> has two main themes: marine conservation, and protection of tropical rainforests. Most grants are allocated to specific projects carried out by </w:t>
      </w:r>
      <w:r w:rsidR="00A10540">
        <w:t>non-governmental organisations</w:t>
      </w:r>
      <w:r w:rsidRPr="006863D4">
        <w:t xml:space="preserve"> operating internationally, although strategic funds have also been provided to non-profit organisations working in areas such as marine advocacy. </w:t>
      </w:r>
    </w:p>
    <w:p w14:paraId="34DBDD4B" w14:textId="77777777" w:rsidR="006863D4" w:rsidRPr="006863D4" w:rsidRDefault="006863D4" w:rsidP="006863D4">
      <w:r w:rsidRPr="006863D4">
        <w:t>However, as a Welsh-based charity, the Foundation also supports a range of care charities, employment and entrepreneurial charities (including the Prince’s Trust Cymru) and community energy grants. Welsh grants typically range from £5000-£25000, and applications are open in March, July and October each year for awards in the following year.</w:t>
      </w:r>
    </w:p>
    <w:p w14:paraId="3C239C3E" w14:textId="77777777" w:rsidR="006863D4" w:rsidRPr="006863D4" w:rsidRDefault="006863D4" w:rsidP="006863D4">
      <w:pPr>
        <w:rPr>
          <w:b/>
        </w:rPr>
      </w:pPr>
      <w:r w:rsidRPr="006863D4">
        <w:rPr>
          <w:b/>
        </w:rPr>
        <w:t xml:space="preserve">4. Date and frequency of update: </w:t>
      </w:r>
    </w:p>
    <w:p w14:paraId="3D2DC905" w14:textId="77777777" w:rsidR="006863D4" w:rsidRPr="006863D4" w:rsidRDefault="006863D4" w:rsidP="006863D4">
      <w:r w:rsidRPr="006863D4">
        <w:t>Ongoing</w:t>
      </w:r>
    </w:p>
    <w:p w14:paraId="20859E22" w14:textId="77777777" w:rsidR="006863D4" w:rsidRPr="006863D4" w:rsidRDefault="006863D4" w:rsidP="006863D4">
      <w:pPr>
        <w:rPr>
          <w:b/>
        </w:rPr>
      </w:pPr>
      <w:r w:rsidRPr="006863D4">
        <w:rPr>
          <w:b/>
        </w:rPr>
        <w:t xml:space="preserve">5. Commentary on usefulness and applicability of information to Natura 2000 funding </w:t>
      </w:r>
    </w:p>
    <w:p w14:paraId="4110459C" w14:textId="4E4A2363" w:rsidR="006863D4" w:rsidRPr="006863D4" w:rsidRDefault="006863D4" w:rsidP="006863D4">
      <w:r w:rsidRPr="006863D4">
        <w:t>Although there are limited examples of direct funding to Welsh conservation groups, the focus</w:t>
      </w:r>
      <w:r w:rsidR="00A10540">
        <w:t xml:space="preserve"> on</w:t>
      </w:r>
      <w:r w:rsidRPr="006863D4">
        <w:t xml:space="preserve"> grant funding to local organisations in Wales suggests that there may be good opportunities for pursuing funding relating to areas of marine and fisheries conservation management through the environment fund. In addition, the existing Welsh funds could be used to develop niche activities around existing Natura 2000 sites, including small-scale enterprises, specialist training in conservation management, and bioenergy projects. </w:t>
      </w:r>
    </w:p>
    <w:p w14:paraId="6A1E6376" w14:textId="77777777" w:rsidR="006863D4" w:rsidRPr="006863D4" w:rsidRDefault="006863D4" w:rsidP="006863D4">
      <w:pPr>
        <w:pStyle w:val="AnnexH3"/>
      </w:pPr>
      <w:r w:rsidRPr="006863D4">
        <w:t xml:space="preserve">Brecon Beacons Trust </w:t>
      </w:r>
    </w:p>
    <w:p w14:paraId="2ADA8A46" w14:textId="77777777" w:rsidR="006863D4" w:rsidRPr="006863D4" w:rsidRDefault="006863D4" w:rsidP="006863D4">
      <w:pPr>
        <w:rPr>
          <w:b/>
        </w:rPr>
      </w:pPr>
      <w:r w:rsidRPr="006863D4">
        <w:rPr>
          <w:b/>
        </w:rPr>
        <w:t xml:space="preserve">1. Author/organisation responsible: </w:t>
      </w:r>
    </w:p>
    <w:p w14:paraId="1CF76231" w14:textId="0D3C7D83" w:rsidR="006863D4" w:rsidRPr="006863D4" w:rsidRDefault="006863D4" w:rsidP="006863D4">
      <w:r w:rsidRPr="006863D4">
        <w:t>The Brecon Beacons Trust</w:t>
      </w:r>
      <w:r w:rsidR="00A10540">
        <w:t xml:space="preserve"> (BBT)</w:t>
      </w:r>
      <w:r w:rsidRPr="006863D4">
        <w:t xml:space="preserve"> is a charitable company established to help people, communities and voluntary organisations achieve positive environmental conservation and enhancement within the Brecon Beacons National Park. </w:t>
      </w:r>
    </w:p>
    <w:p w14:paraId="597EC592" w14:textId="77777777" w:rsidR="006863D4" w:rsidRPr="006863D4" w:rsidRDefault="006863D4" w:rsidP="006863D4">
      <w:pPr>
        <w:rPr>
          <w:b/>
        </w:rPr>
      </w:pPr>
      <w:r w:rsidRPr="006863D4">
        <w:rPr>
          <w:b/>
        </w:rPr>
        <w:t xml:space="preserve">2. URL: </w:t>
      </w:r>
    </w:p>
    <w:p w14:paraId="6F6E4EB9" w14:textId="77777777" w:rsidR="006863D4" w:rsidRPr="006863D4" w:rsidRDefault="001655CC" w:rsidP="006863D4">
      <w:hyperlink r:id="rId83" w:history="1">
        <w:r w:rsidR="006863D4" w:rsidRPr="006863D4">
          <w:rPr>
            <w:color w:val="0000FF" w:themeColor="hyperlink"/>
            <w:u w:val="single"/>
          </w:rPr>
          <w:t>http://www.breconbeaconstrust.org/</w:t>
        </w:r>
      </w:hyperlink>
      <w:r w:rsidR="006863D4" w:rsidRPr="006863D4">
        <w:t xml:space="preserve"> </w:t>
      </w:r>
    </w:p>
    <w:p w14:paraId="75CF037E" w14:textId="77777777" w:rsidR="006863D4" w:rsidRPr="006863D4" w:rsidRDefault="006863D4" w:rsidP="006863D4">
      <w:pPr>
        <w:rPr>
          <w:b/>
        </w:rPr>
      </w:pPr>
      <w:r w:rsidRPr="006863D4">
        <w:rPr>
          <w:b/>
        </w:rPr>
        <w:t xml:space="preserve">3. Summary of information provided, including numbers and types of funding sources covered, geography and level of information provided: </w:t>
      </w:r>
    </w:p>
    <w:p w14:paraId="21C5F562" w14:textId="48D5E12A" w:rsidR="006863D4" w:rsidRPr="006863D4" w:rsidRDefault="006863D4" w:rsidP="006863D4">
      <w:r w:rsidRPr="006863D4">
        <w:t xml:space="preserve">The trust supports projects relating to environmental conservation, protection and improvement of the Brecon Beacons, as well as projects relating to greater environmental awareness and knowledge of the park’s natural environment. As of February 2012, the Trust had dedicated £500,000 of grants to a range of projects within these themes, including a number of 4-5 year partnership projects with organisations such as RSPB Cymru, Wye and </w:t>
      </w:r>
      <w:r w:rsidR="00A10540">
        <w:t>Usk Foundation</w:t>
      </w:r>
      <w:r w:rsidRPr="006863D4">
        <w:t xml:space="preserve"> and Vincent Wildlife Trust. In addition to these grants, a range of other educational and recreational programmes have been financed to promote wider engagement with the natural environment of the park.</w:t>
      </w:r>
    </w:p>
    <w:p w14:paraId="426366C6" w14:textId="77777777" w:rsidR="006863D4" w:rsidRPr="006863D4" w:rsidRDefault="006863D4" w:rsidP="006863D4">
      <w:r w:rsidRPr="006863D4">
        <w:t>In all cases the Trust will ensure that its grant aid is used to achieve charitable purposes that demonstrate public benefit and also meet the Brecon Beacons Trust’s own charitable objectives. The Trust will consider providing a maximum grant of 75% of a projects costs, up to a maximum grant of £30,000 per annum, whichever is the smaller.</w:t>
      </w:r>
    </w:p>
    <w:p w14:paraId="7A6AA047" w14:textId="77777777" w:rsidR="006863D4" w:rsidRPr="006863D4" w:rsidRDefault="006863D4" w:rsidP="006863D4">
      <w:r w:rsidRPr="006863D4">
        <w:t>The Trust maintains a listing of historical grants awarded- providing information on some of the associated organisations and projects that have been jointly delivered. These partners could be a useful starting point for future financing of Natura 2000 conservation.</w:t>
      </w:r>
    </w:p>
    <w:p w14:paraId="6793C8A4" w14:textId="77777777" w:rsidR="006863D4" w:rsidRPr="006863D4" w:rsidRDefault="006863D4" w:rsidP="006863D4">
      <w:pPr>
        <w:rPr>
          <w:b/>
        </w:rPr>
      </w:pPr>
      <w:r w:rsidRPr="006863D4">
        <w:rPr>
          <w:b/>
        </w:rPr>
        <w:t xml:space="preserve">4. Date and frequency of update: </w:t>
      </w:r>
    </w:p>
    <w:p w14:paraId="2B85175E" w14:textId="77777777" w:rsidR="006863D4" w:rsidRPr="006863D4" w:rsidRDefault="006863D4" w:rsidP="006863D4">
      <w:r w:rsidRPr="006863D4">
        <w:t>Ongoing</w:t>
      </w:r>
    </w:p>
    <w:p w14:paraId="2BDE382F" w14:textId="77777777" w:rsidR="006863D4" w:rsidRPr="006863D4" w:rsidRDefault="006863D4" w:rsidP="006863D4">
      <w:pPr>
        <w:rPr>
          <w:b/>
        </w:rPr>
      </w:pPr>
      <w:r w:rsidRPr="006863D4">
        <w:rPr>
          <w:b/>
        </w:rPr>
        <w:t xml:space="preserve">5. Commentary on usefulness and applicability of information to Natura 2000 funding </w:t>
      </w:r>
    </w:p>
    <w:p w14:paraId="43B9AED9" w14:textId="3D5738B9" w:rsidR="000005F4" w:rsidRPr="00C06141" w:rsidRDefault="006863D4" w:rsidP="006863D4">
      <w:r w:rsidRPr="006863D4">
        <w:t>There are currently 10 Special Areas of Conservation within the Brecon Beacons- so there may be good opportunities to engage the Trust in funding activities within its thematic areas of conservation and environmental education. Grants allocated to date demonstrate the good potential of the Trust as a funding partner for conservation projects over a number of years</w:t>
      </w:r>
      <w:r w:rsidR="000005F4">
        <w:t xml:space="preserve">. </w:t>
      </w:r>
    </w:p>
    <w:p w14:paraId="457581F0" w14:textId="77777777" w:rsidR="000005F4" w:rsidRDefault="000005F4" w:rsidP="000005F4">
      <w:pPr>
        <w:pStyle w:val="AnnexHeading"/>
      </w:pPr>
      <w:bookmarkStart w:id="275" w:name="_Toc408138014"/>
      <w:bookmarkStart w:id="276" w:name="_Toc408851004"/>
      <w:bookmarkStart w:id="277" w:name="_Toc421880680"/>
      <w:r>
        <w:t xml:space="preserve">Review of </w:t>
      </w:r>
      <w:r w:rsidRPr="00B5151D">
        <w:t>EU funds</w:t>
      </w:r>
      <w:bookmarkEnd w:id="275"/>
      <w:bookmarkEnd w:id="276"/>
      <w:bookmarkEnd w:id="277"/>
    </w:p>
    <w:p w14:paraId="4806BC7D" w14:textId="77777777" w:rsidR="000005F4" w:rsidRDefault="000005F4" w:rsidP="000005F4">
      <w:r>
        <w:t>This annex includes a review of the EU funding instruments which have the potential to address Natura 2000 funding needs. The annex covers the following EU funds:</w:t>
      </w:r>
    </w:p>
    <w:p w14:paraId="4579DB41" w14:textId="77777777" w:rsidR="000005F4" w:rsidRPr="00930ADB" w:rsidRDefault="000005F4" w:rsidP="000005F4">
      <w:pPr>
        <w:pStyle w:val="Bullet1Last"/>
      </w:pPr>
      <w:r w:rsidRPr="00930ADB">
        <w:t>European Agricultural Fund for Rural Development (EAFRD) – including a review of the Rural Development Plan in general and a more specific review of Glastir.</w:t>
      </w:r>
    </w:p>
    <w:p w14:paraId="6EDD3044" w14:textId="77777777" w:rsidR="000005F4" w:rsidRPr="00930ADB" w:rsidRDefault="000005F4" w:rsidP="000005F4">
      <w:pPr>
        <w:pStyle w:val="Bullet1Last"/>
      </w:pPr>
      <w:r w:rsidRPr="00930ADB">
        <w:t>European Agricultural Guarantee Fund (EAGF)</w:t>
      </w:r>
    </w:p>
    <w:p w14:paraId="369190DF" w14:textId="77777777" w:rsidR="000005F4" w:rsidRPr="00930ADB" w:rsidRDefault="000005F4" w:rsidP="000005F4">
      <w:pPr>
        <w:pStyle w:val="Bullet1Last"/>
      </w:pPr>
      <w:r w:rsidRPr="00930ADB">
        <w:t>European Maritime and Fisheries Fund (EMFF)</w:t>
      </w:r>
    </w:p>
    <w:p w14:paraId="096F91B5" w14:textId="77777777" w:rsidR="000005F4" w:rsidRDefault="000005F4" w:rsidP="000005F4">
      <w:pPr>
        <w:pStyle w:val="Bullet1Last"/>
      </w:pPr>
      <w:r w:rsidRPr="00930ADB">
        <w:t>European Regional Development Fund (ERDF)</w:t>
      </w:r>
    </w:p>
    <w:p w14:paraId="1835864D" w14:textId="77777777" w:rsidR="000005F4" w:rsidRDefault="000005F4" w:rsidP="000005F4">
      <w:pPr>
        <w:pStyle w:val="Bullet1Last"/>
      </w:pPr>
      <w:r>
        <w:t>European Regional Development Fund (ERDF): Ireland-Wales Territorial Cooperation Programme</w:t>
      </w:r>
    </w:p>
    <w:p w14:paraId="586DFEA1" w14:textId="77777777" w:rsidR="000005F4" w:rsidRPr="00BE00CE" w:rsidRDefault="000005F4" w:rsidP="000005F4">
      <w:pPr>
        <w:pStyle w:val="Bullet1Last"/>
      </w:pPr>
      <w:r w:rsidRPr="00BE00CE">
        <w:t>European Social Fund</w:t>
      </w:r>
    </w:p>
    <w:p w14:paraId="0ECE4B58" w14:textId="77777777" w:rsidR="000005F4" w:rsidRPr="00BE00CE" w:rsidRDefault="000005F4" w:rsidP="000005F4">
      <w:pPr>
        <w:pStyle w:val="Bullet1Last"/>
      </w:pPr>
      <w:r w:rsidRPr="00BE00CE">
        <w:t>Horizon 2020</w:t>
      </w:r>
    </w:p>
    <w:p w14:paraId="1B2D352E" w14:textId="77777777" w:rsidR="000005F4" w:rsidRDefault="000005F4" w:rsidP="000005F4">
      <w:pPr>
        <w:pStyle w:val="Bullet1Last"/>
      </w:pPr>
      <w:r>
        <w:t xml:space="preserve">LIFE </w:t>
      </w:r>
    </w:p>
    <w:p w14:paraId="305DE0C1" w14:textId="77777777" w:rsidR="000005F4" w:rsidRDefault="000005F4" w:rsidP="004A3815">
      <w:pPr>
        <w:pStyle w:val="Heading2NoNumb"/>
      </w:pPr>
      <w:bookmarkStart w:id="278" w:name="_Toc408851005"/>
      <w:bookmarkStart w:id="279" w:name="_Toc421880681"/>
      <w:r>
        <w:t>European Agricultural Fund for Rural Development</w:t>
      </w:r>
      <w:bookmarkEnd w:id="278"/>
      <w:bookmarkEnd w:id="279"/>
      <w:r>
        <w:t xml:space="preserve"> </w:t>
      </w:r>
    </w:p>
    <w:tbl>
      <w:tblPr>
        <w:tblW w:w="9071" w:type="dxa"/>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Layout w:type="fixed"/>
        <w:tblCellMar>
          <w:top w:w="57" w:type="dxa"/>
          <w:left w:w="0" w:type="dxa"/>
          <w:bottom w:w="28" w:type="dxa"/>
          <w:right w:w="0" w:type="dxa"/>
        </w:tblCellMar>
        <w:tblLook w:val="0000" w:firstRow="0" w:lastRow="0" w:firstColumn="0" w:lastColumn="0" w:noHBand="0" w:noVBand="0"/>
      </w:tblPr>
      <w:tblGrid>
        <w:gridCol w:w="1415"/>
        <w:gridCol w:w="7656"/>
      </w:tblGrid>
      <w:tr w:rsidR="000005F4" w14:paraId="295B9E05" w14:textId="77777777" w:rsidTr="000005F4">
        <w:trPr>
          <w:cantSplit/>
        </w:trPr>
        <w:tc>
          <w:tcPr>
            <w:tcW w:w="1415" w:type="dxa"/>
            <w:shd w:val="clear" w:color="auto" w:fill="auto"/>
          </w:tcPr>
          <w:p w14:paraId="1C842B0D" w14:textId="77777777" w:rsidR="000005F4" w:rsidRDefault="000005F4" w:rsidP="000005F4">
            <w:pPr>
              <w:pStyle w:val="TableHeading"/>
            </w:pPr>
          </w:p>
        </w:tc>
        <w:tc>
          <w:tcPr>
            <w:tcW w:w="7656" w:type="dxa"/>
            <w:shd w:val="solid" w:color="0067AB" w:fill="0067AB"/>
          </w:tcPr>
          <w:p w14:paraId="15744A85" w14:textId="77777777" w:rsidR="000005F4" w:rsidRDefault="000005F4" w:rsidP="000005F4">
            <w:pPr>
              <w:pStyle w:val="TableHeadingWhite"/>
            </w:pPr>
          </w:p>
        </w:tc>
      </w:tr>
      <w:tr w:rsidR="000005F4" w14:paraId="709E94C3" w14:textId="77777777" w:rsidTr="000005F4">
        <w:tc>
          <w:tcPr>
            <w:tcW w:w="1415" w:type="dxa"/>
            <w:shd w:val="clear" w:color="auto" w:fill="auto"/>
          </w:tcPr>
          <w:p w14:paraId="3AC9E728" w14:textId="77777777" w:rsidR="000005F4" w:rsidRPr="007B6DFE" w:rsidRDefault="000005F4" w:rsidP="000005F4">
            <w:pPr>
              <w:pStyle w:val="TableTextNoSpace"/>
              <w:rPr>
                <w:b/>
              </w:rPr>
            </w:pPr>
            <w:r w:rsidRPr="007B6DFE">
              <w:rPr>
                <w:b/>
              </w:rPr>
              <w:t>Objectives</w:t>
            </w:r>
          </w:p>
        </w:tc>
        <w:tc>
          <w:tcPr>
            <w:tcW w:w="7656" w:type="dxa"/>
            <w:shd w:val="clear" w:color="auto" w:fill="auto"/>
          </w:tcPr>
          <w:p w14:paraId="6EB5ABFD" w14:textId="77777777" w:rsidR="000005F4" w:rsidRDefault="000005F4" w:rsidP="000005F4">
            <w:pPr>
              <w:pStyle w:val="Bullet1"/>
              <w:numPr>
                <w:ilvl w:val="0"/>
                <w:numId w:val="0"/>
              </w:numPr>
              <w:ind w:left="340" w:hanging="340"/>
            </w:pPr>
            <w:r>
              <w:t xml:space="preserve"> The Wales Rural Development Programme 2014-2020 (RDP) is a 7 year European</w:t>
            </w:r>
          </w:p>
          <w:p w14:paraId="4A940D88" w14:textId="77777777" w:rsidR="000005F4" w:rsidRDefault="000005F4" w:rsidP="000005F4">
            <w:pPr>
              <w:pStyle w:val="Bullet1"/>
              <w:numPr>
                <w:ilvl w:val="0"/>
                <w:numId w:val="0"/>
              </w:numPr>
              <w:ind w:left="340" w:hanging="340"/>
            </w:pPr>
            <w:r>
              <w:t xml:space="preserve"> Agricultural Fund for Rural Development (EAFRD) programme funded by the</w:t>
            </w:r>
          </w:p>
          <w:p w14:paraId="2CD807BA" w14:textId="77777777" w:rsidR="000005F4" w:rsidRDefault="000005F4" w:rsidP="000005F4">
            <w:pPr>
              <w:pStyle w:val="Bullet1"/>
              <w:numPr>
                <w:ilvl w:val="0"/>
                <w:numId w:val="0"/>
              </w:numPr>
              <w:ind w:left="340" w:hanging="340"/>
            </w:pPr>
            <w:r>
              <w:t xml:space="preserve"> European Union and Welsh Government. The RDP is being built around: </w:t>
            </w:r>
          </w:p>
          <w:p w14:paraId="76AD44EE" w14:textId="77777777" w:rsidR="000005F4" w:rsidRDefault="000005F4" w:rsidP="000005F4">
            <w:pPr>
              <w:pStyle w:val="Bullet1"/>
            </w:pPr>
            <w:r>
              <w:t xml:space="preserve">Human and social capital </w:t>
            </w:r>
          </w:p>
          <w:p w14:paraId="703A60E9" w14:textId="77777777" w:rsidR="000005F4" w:rsidRDefault="000005F4" w:rsidP="000005F4">
            <w:pPr>
              <w:pStyle w:val="Bullet1"/>
            </w:pPr>
            <w:r>
              <w:t xml:space="preserve">Investment measures </w:t>
            </w:r>
          </w:p>
          <w:p w14:paraId="0AA4ADA1" w14:textId="77777777" w:rsidR="000005F4" w:rsidRDefault="000005F4" w:rsidP="000005F4">
            <w:pPr>
              <w:pStyle w:val="Bullet1"/>
            </w:pPr>
            <w:r>
              <w:t>Area based measures (60% of total support)</w:t>
            </w:r>
          </w:p>
          <w:p w14:paraId="6AA5AB03" w14:textId="77777777" w:rsidR="000005F4" w:rsidRPr="005456F6" w:rsidRDefault="000005F4" w:rsidP="000005F4">
            <w:pPr>
              <w:pStyle w:val="Bullet1"/>
            </w:pPr>
            <w:r>
              <w:t xml:space="preserve">LEADER and local development </w:t>
            </w:r>
          </w:p>
        </w:tc>
      </w:tr>
      <w:tr w:rsidR="000005F4" w14:paraId="53C3214A" w14:textId="77777777" w:rsidTr="000005F4">
        <w:tc>
          <w:tcPr>
            <w:tcW w:w="1415" w:type="dxa"/>
            <w:shd w:val="clear" w:color="auto" w:fill="auto"/>
          </w:tcPr>
          <w:p w14:paraId="0EBDF4A7" w14:textId="77777777" w:rsidR="000005F4" w:rsidRPr="007B6DFE" w:rsidRDefault="000005F4" w:rsidP="000005F4">
            <w:pPr>
              <w:pStyle w:val="TableTextNoSpace"/>
              <w:rPr>
                <w:b/>
              </w:rPr>
            </w:pPr>
            <w:r w:rsidRPr="007B6DFE">
              <w:rPr>
                <w:b/>
              </w:rPr>
              <w:t>Funding available</w:t>
            </w:r>
          </w:p>
        </w:tc>
        <w:tc>
          <w:tcPr>
            <w:tcW w:w="7656" w:type="dxa"/>
            <w:shd w:val="clear" w:color="auto" w:fill="auto"/>
          </w:tcPr>
          <w:p w14:paraId="285F6F3B" w14:textId="77777777" w:rsidR="000005F4" w:rsidRPr="00370860" w:rsidRDefault="000005F4" w:rsidP="000005F4">
            <w:pPr>
              <w:pStyle w:val="Bullet1"/>
              <w:numPr>
                <w:ilvl w:val="0"/>
                <w:numId w:val="0"/>
              </w:numPr>
              <w:ind w:left="340" w:hanging="340"/>
            </w:pPr>
            <w:r>
              <w:t xml:space="preserve"> Total RDP funds for 2014-2020 are expected to amount to </w:t>
            </w:r>
            <w:r w:rsidRPr="00370860">
              <w:t>€953 million (including</w:t>
            </w:r>
          </w:p>
          <w:p w14:paraId="703AE5A0" w14:textId="77777777" w:rsidR="000005F4" w:rsidRPr="00370860" w:rsidRDefault="000005F4" w:rsidP="000005F4">
            <w:pPr>
              <w:pStyle w:val="Bullet1"/>
              <w:numPr>
                <w:ilvl w:val="0"/>
                <w:numId w:val="0"/>
              </w:numPr>
              <w:ind w:left="340" w:hanging="340"/>
            </w:pPr>
            <w:r w:rsidRPr="00370860">
              <w:t xml:space="preserve"> co-financing), representing an 8% increase compared to the previous funding</w:t>
            </w:r>
          </w:p>
          <w:p w14:paraId="1E881800" w14:textId="77777777" w:rsidR="000005F4" w:rsidRPr="00370860" w:rsidRDefault="000005F4" w:rsidP="000005F4">
            <w:pPr>
              <w:pStyle w:val="Bullet1"/>
              <w:numPr>
                <w:ilvl w:val="0"/>
                <w:numId w:val="0"/>
              </w:numPr>
              <w:ind w:left="340" w:hanging="340"/>
            </w:pPr>
            <w:r w:rsidRPr="00370860">
              <w:t xml:space="preserve"> period:</w:t>
            </w:r>
          </w:p>
          <w:p w14:paraId="660D68A0" w14:textId="77777777" w:rsidR="000005F4" w:rsidRDefault="000005F4" w:rsidP="000005F4">
            <w:pPr>
              <w:pStyle w:val="Bullet1"/>
            </w:pPr>
            <w:r>
              <w:t xml:space="preserve">Human and social capital (£105m) </w:t>
            </w:r>
          </w:p>
          <w:p w14:paraId="2B73BDE8" w14:textId="77777777" w:rsidR="000005F4" w:rsidRDefault="000005F4" w:rsidP="000005F4">
            <w:pPr>
              <w:pStyle w:val="Bullet1"/>
            </w:pPr>
            <w:r>
              <w:t>Investment measures (£143m)</w:t>
            </w:r>
          </w:p>
          <w:p w14:paraId="124949D2" w14:textId="77777777" w:rsidR="000005F4" w:rsidRDefault="000005F4" w:rsidP="000005F4">
            <w:pPr>
              <w:pStyle w:val="Bullet1"/>
            </w:pPr>
            <w:r>
              <w:t>Area based measures- including agri-environment agreements (£572m)</w:t>
            </w:r>
          </w:p>
          <w:p w14:paraId="20A1BD48" w14:textId="77777777" w:rsidR="000005F4" w:rsidRDefault="000005F4" w:rsidP="000005F4">
            <w:pPr>
              <w:pStyle w:val="Bullet1"/>
            </w:pPr>
            <w:r>
              <w:t>LEADER and development (£95m)</w:t>
            </w:r>
          </w:p>
          <w:p w14:paraId="77E72B46" w14:textId="77777777" w:rsidR="000005F4" w:rsidRDefault="000005F4" w:rsidP="000005F4">
            <w:pPr>
              <w:pStyle w:val="Bullet1"/>
              <w:numPr>
                <w:ilvl w:val="0"/>
                <w:numId w:val="0"/>
              </w:numPr>
              <w:rPr>
                <w:szCs w:val="20"/>
              </w:rPr>
            </w:pPr>
            <w:r>
              <w:rPr>
                <w:szCs w:val="20"/>
              </w:rPr>
              <w:t xml:space="preserve"> </w:t>
            </w:r>
            <w:r w:rsidRPr="00F04CF9">
              <w:rPr>
                <w:szCs w:val="20"/>
              </w:rPr>
              <w:t xml:space="preserve">The Welsh Government is proposing to provide domestic co-financing at a rate of </w:t>
            </w:r>
          </w:p>
          <w:p w14:paraId="7A741E81" w14:textId="6E24C360" w:rsidR="000005F4" w:rsidRPr="00D27BF7" w:rsidRDefault="00370860" w:rsidP="000005F4">
            <w:pPr>
              <w:pStyle w:val="Bullet1"/>
              <w:numPr>
                <w:ilvl w:val="0"/>
                <w:numId w:val="0"/>
              </w:numPr>
              <w:rPr>
                <w:szCs w:val="20"/>
              </w:rPr>
            </w:pPr>
            <w:r>
              <w:rPr>
                <w:szCs w:val="20"/>
              </w:rPr>
              <w:t xml:space="preserve"> 57%.</w:t>
            </w:r>
          </w:p>
        </w:tc>
      </w:tr>
      <w:tr w:rsidR="000005F4" w14:paraId="7EC23FDE" w14:textId="77777777" w:rsidTr="000005F4">
        <w:tc>
          <w:tcPr>
            <w:tcW w:w="1415" w:type="dxa"/>
            <w:shd w:val="clear" w:color="auto" w:fill="auto"/>
          </w:tcPr>
          <w:p w14:paraId="7FE0F968" w14:textId="77777777" w:rsidR="000005F4" w:rsidRPr="007B6DFE" w:rsidRDefault="000005F4" w:rsidP="000005F4">
            <w:pPr>
              <w:pStyle w:val="TableTextNoSpace"/>
              <w:rPr>
                <w:b/>
              </w:rPr>
            </w:pPr>
            <w:r w:rsidRPr="007B6DFE">
              <w:rPr>
                <w:b/>
              </w:rPr>
              <w:t xml:space="preserve">Opportunities for Natura </w:t>
            </w:r>
            <w:r>
              <w:rPr>
                <w:b/>
              </w:rPr>
              <w:t>2000</w:t>
            </w:r>
          </w:p>
        </w:tc>
        <w:tc>
          <w:tcPr>
            <w:tcW w:w="7656" w:type="dxa"/>
            <w:shd w:val="clear" w:color="auto" w:fill="auto"/>
          </w:tcPr>
          <w:p w14:paraId="74CD0FB3" w14:textId="77777777" w:rsidR="000005F4" w:rsidRDefault="000005F4" w:rsidP="000005F4">
            <w:pPr>
              <w:pStyle w:val="TableTextNoSpace"/>
              <w:rPr>
                <w:b/>
              </w:rPr>
            </w:pPr>
            <w:r>
              <w:rPr>
                <w:b/>
              </w:rPr>
              <w:t>Area-based measures:</w:t>
            </w:r>
          </w:p>
          <w:p w14:paraId="5A43FEEF" w14:textId="16AAFB0D" w:rsidR="00A10540" w:rsidRDefault="00A10540" w:rsidP="00A10540">
            <w:pPr>
              <w:pStyle w:val="TableTextNoSpace"/>
            </w:pPr>
            <w:r w:rsidRPr="00F04CF9">
              <w:t>Area-based measures provide the most relevant block for Natura 2000.</w:t>
            </w:r>
            <w:r>
              <w:t xml:space="preserve"> Specific elements include: agri-environment,</w:t>
            </w:r>
            <w:r w:rsidR="00941461">
              <w:t xml:space="preserve"> </w:t>
            </w:r>
            <w:r>
              <w:t>climate, forestry, organic scheme and the Water Framework Directive.</w:t>
            </w:r>
            <w:r w:rsidRPr="00F04CF9">
              <w:t xml:space="preserve"> </w:t>
            </w:r>
            <w:r>
              <w:t xml:space="preserve">Natura 2000 measures are notably not included within the programme. </w:t>
            </w:r>
          </w:p>
          <w:p w14:paraId="7D980D35" w14:textId="77777777" w:rsidR="00A10540" w:rsidRDefault="00A10540" w:rsidP="00A10540">
            <w:pPr>
              <w:pStyle w:val="TableTextNoSpace"/>
            </w:pPr>
            <w:r>
              <w:t xml:space="preserve">The scale of the funding available to area-based measures, together with the fact that the majority of  terrestrial Natura 2000 sites in Wales are on private farmland , suggests that the EAFRD/RDP has substantial potential to fund Natura 2000 management needs. </w:t>
            </w:r>
          </w:p>
          <w:p w14:paraId="4D3FAA28" w14:textId="250CEDA5" w:rsidR="00A10540" w:rsidRPr="00F04CF9" w:rsidRDefault="00A10540" w:rsidP="00A10540">
            <w:pPr>
              <w:pStyle w:val="TableTextNoSpace"/>
            </w:pPr>
            <w:r w:rsidRPr="00D27BF7">
              <w:t xml:space="preserve">A number of proposals to amend the Glastir scheme, through which funds for area-based measures are administered, have been proposed. </w:t>
            </w:r>
            <w:r w:rsidRPr="00F04CF9">
              <w:t>The Glastir Advanced scheme will remain the principle mechanism for delivering support for targeted integrated ecosystem services, which is of particular relevance for Natura 2000 sites. Th</w:t>
            </w:r>
            <w:r>
              <w:t xml:space="preserve">ere are </w:t>
            </w:r>
            <w:r w:rsidRPr="00F04CF9">
              <w:t xml:space="preserve">proposals for a new Glastir Habitat Network scheme </w:t>
            </w:r>
            <w:r>
              <w:t xml:space="preserve">that </w:t>
            </w:r>
            <w:r w:rsidRPr="00F04CF9">
              <w:t>may enable a more focused approach to delivering for key European sites and/or species.</w:t>
            </w:r>
          </w:p>
          <w:p w14:paraId="0F1C94D9" w14:textId="7F2FD86E" w:rsidR="000005F4" w:rsidRPr="00C872A3" w:rsidRDefault="000005F4" w:rsidP="000005F4">
            <w:pPr>
              <w:pStyle w:val="TableTextNoSpace"/>
            </w:pPr>
            <w:r w:rsidRPr="00204B02">
              <w:t xml:space="preserve">Ongoing Natura 2000 </w:t>
            </w:r>
            <w:r w:rsidRPr="007A751E">
              <w:t xml:space="preserve">management and monitoring funding needs for agricultural and forest landuses </w:t>
            </w:r>
            <w:r>
              <w:t>are</w:t>
            </w:r>
            <w:r w:rsidRPr="007A751E">
              <w:t xml:space="preserve"> estimated at £10.5m</w:t>
            </w:r>
            <w:r w:rsidR="00BE0B7E">
              <w:t>/yr</w:t>
            </w:r>
            <w:r w:rsidR="00A10540">
              <w:t xml:space="preserve"> within the 2013 PAF</w:t>
            </w:r>
            <w:r w:rsidRPr="007A751E">
              <w:t xml:space="preserve">, which compares to an annualised figure of </w:t>
            </w:r>
            <w:r w:rsidRPr="007863CC">
              <w:t>available RDP funds under area-based measures of £114m.</w:t>
            </w:r>
            <w:r w:rsidRPr="002A5002">
              <w:t xml:space="preserve"> </w:t>
            </w:r>
            <w:r w:rsidRPr="00C872A3">
              <w:t xml:space="preserve">. Figures from 2012 demonstrate that actual </w:t>
            </w:r>
            <w:r w:rsidR="00BE0B7E">
              <w:t xml:space="preserve">RDP </w:t>
            </w:r>
            <w:r w:rsidRPr="00C872A3">
              <w:t>expenditure amounted to a small fraction of that forecast, although figures for 2014 showed a significant increase.</w:t>
            </w:r>
            <w:r w:rsidRPr="00C872A3">
              <w:rPr>
                <w:vertAlign w:val="superscript"/>
              </w:rPr>
              <w:footnoteReference w:id="2"/>
            </w:r>
            <w:r w:rsidRPr="00C872A3">
              <w:t xml:space="preserve"> (It is not possible to isolate expenditure relating to Natura 2000 sites).</w:t>
            </w:r>
          </w:p>
          <w:p w14:paraId="66550D97" w14:textId="77777777" w:rsidR="00A10540" w:rsidRDefault="00A10540" w:rsidP="00A10540">
            <w:pPr>
              <w:pStyle w:val="TableTextNoSpace"/>
            </w:pPr>
            <w:r w:rsidRPr="00C872A3">
              <w:rPr>
                <w:lang w:val="en"/>
              </w:rPr>
              <w:t>A number of significant revisions are proposed for Glastir under the 2014-2020 RDP, which should foster significant increases in uptake, and therefore expenditure through Glastir, and improved effectiveness of expenditure. P</w:t>
            </w:r>
            <w:r w:rsidRPr="00C872A3">
              <w:t>roposed changes to the scheme</w:t>
            </w:r>
            <w:r>
              <w:t xml:space="preserve"> and related developments</w:t>
            </w:r>
            <w:r w:rsidRPr="00C872A3">
              <w:t xml:space="preserve"> under </w:t>
            </w:r>
            <w:r>
              <w:t xml:space="preserve">the new funding round include the following: </w:t>
            </w:r>
          </w:p>
          <w:p w14:paraId="67F74500" w14:textId="77777777" w:rsidR="00A10540" w:rsidRPr="006B2291" w:rsidRDefault="00A10540" w:rsidP="00A10540">
            <w:pPr>
              <w:pStyle w:val="TableBullet"/>
              <w:rPr>
                <w:szCs w:val="20"/>
              </w:rPr>
            </w:pPr>
            <w:r w:rsidRPr="00E32E98">
              <w:rPr>
                <w:szCs w:val="20"/>
              </w:rPr>
              <w:t>The Welsh Government is proposing to introduce facilitators to work with potential applicants to identify kn</w:t>
            </w:r>
            <w:r w:rsidRPr="006B2291">
              <w:rPr>
                <w:szCs w:val="20"/>
              </w:rPr>
              <w:t>owledge gaps, skill development and specialist advice to improve the delivery of outcomes</w:t>
            </w:r>
            <w:r>
              <w:rPr>
                <w:szCs w:val="20"/>
              </w:rPr>
              <w:t>.</w:t>
            </w:r>
          </w:p>
          <w:p w14:paraId="141F0777" w14:textId="674F0A75" w:rsidR="00A10540" w:rsidRPr="00C872A3" w:rsidRDefault="00A10540" w:rsidP="00A10540">
            <w:pPr>
              <w:pStyle w:val="TableBullet"/>
              <w:rPr>
                <w:szCs w:val="20"/>
              </w:rPr>
            </w:pPr>
            <w:r w:rsidRPr="006B2291">
              <w:rPr>
                <w:szCs w:val="20"/>
              </w:rPr>
              <w:t>The RDP is proposing f</w:t>
            </w:r>
            <w:r w:rsidRPr="006B2291">
              <w:rPr>
                <w:rFonts w:cs="Arial"/>
                <w:szCs w:val="20"/>
              </w:rPr>
              <w:t xml:space="preserve">unding for the recruitment of development officers </w:t>
            </w:r>
            <w:r>
              <w:rPr>
                <w:rFonts w:cs="Arial"/>
                <w:szCs w:val="20"/>
              </w:rPr>
              <w:t xml:space="preserve">to </w:t>
            </w:r>
            <w:r w:rsidRPr="006B2291">
              <w:rPr>
                <w:rFonts w:cs="Arial"/>
                <w:szCs w:val="20"/>
              </w:rPr>
              <w:t>help facilitate co-operative applications to landscape level schemes such as Glastir Advance</w:t>
            </w:r>
            <w:r>
              <w:rPr>
                <w:rFonts w:cs="Arial"/>
                <w:szCs w:val="20"/>
              </w:rPr>
              <w:t>.</w:t>
            </w:r>
          </w:p>
          <w:p w14:paraId="056E1A61" w14:textId="77777777" w:rsidR="00A10540" w:rsidRPr="00C872A3" w:rsidRDefault="00A10540" w:rsidP="00A10540">
            <w:pPr>
              <w:pStyle w:val="TableBullet"/>
              <w:rPr>
                <w:szCs w:val="20"/>
              </w:rPr>
            </w:pPr>
            <w:r>
              <w:t>An increased budget for woodland creation and management. (Although some stakeholders have questioned if sufficient demand exists to meet this expenditure).</w:t>
            </w:r>
          </w:p>
          <w:p w14:paraId="6BF6ACEA" w14:textId="77777777" w:rsidR="00A10540" w:rsidRDefault="00A10540" w:rsidP="00A10540">
            <w:pPr>
              <w:pStyle w:val="TableBullet"/>
            </w:pPr>
            <w:r>
              <w:t>Increased targeting of whole farm agreements (and a reduced role for general Entry Level Agreements).</w:t>
            </w:r>
          </w:p>
          <w:p w14:paraId="71547741" w14:textId="77777777" w:rsidR="00A10540" w:rsidRDefault="00A10540" w:rsidP="00A10540">
            <w:pPr>
              <w:pStyle w:val="TableBullet"/>
            </w:pPr>
            <w:r>
              <w:t>An increased small grants budget for small-scale measures.</w:t>
            </w:r>
          </w:p>
          <w:p w14:paraId="506FE855" w14:textId="77777777" w:rsidR="00A10540" w:rsidRDefault="00A10540" w:rsidP="00A10540">
            <w:pPr>
              <w:pStyle w:val="TableBullet"/>
            </w:pPr>
            <w:r>
              <w:t>The Co-operation Fund will support capital investment and funding of facilitators to areas that will support development of new products/markets, development of community-grown food, and Woodland Establishment/Woodland Management Plans.</w:t>
            </w:r>
          </w:p>
          <w:p w14:paraId="7030D81F" w14:textId="77777777" w:rsidR="00A10540" w:rsidRPr="00E32E98" w:rsidRDefault="00A10540" w:rsidP="00A10540">
            <w:pPr>
              <w:pStyle w:val="TableBullet"/>
              <w:rPr>
                <w:szCs w:val="20"/>
              </w:rPr>
            </w:pPr>
            <w:r w:rsidRPr="00E32E98">
              <w:rPr>
                <w:bCs/>
                <w:iCs/>
                <w:szCs w:val="20"/>
              </w:rPr>
              <w:t xml:space="preserve">Article 30 </w:t>
            </w:r>
            <w:r w:rsidRPr="00E32E98">
              <w:rPr>
                <w:iCs/>
                <w:szCs w:val="20"/>
              </w:rPr>
              <w:t>allows</w:t>
            </w:r>
            <w:r w:rsidRPr="00E32E98">
              <w:rPr>
                <w:szCs w:val="20"/>
              </w:rPr>
              <w:t xml:space="preserve"> payments to compensate for any additional costs and income foregone, over and above cross-compliance requirements, incurred due to the implementation of management plans under the Birds and Habitats Directives</w:t>
            </w:r>
            <w:r>
              <w:rPr>
                <w:szCs w:val="20"/>
              </w:rPr>
              <w:t>.</w:t>
            </w:r>
          </w:p>
          <w:p w14:paraId="1CE015E6" w14:textId="77777777" w:rsidR="00A10540" w:rsidRPr="00C872A3" w:rsidRDefault="00A10540" w:rsidP="00A10540">
            <w:pPr>
              <w:pStyle w:val="TableBullet"/>
              <w:rPr>
                <w:szCs w:val="20"/>
              </w:rPr>
            </w:pPr>
            <w:r w:rsidRPr="00274360">
              <w:rPr>
                <w:rFonts w:cs="Arial"/>
                <w:color w:val="000000"/>
                <w:szCs w:val="20"/>
              </w:rPr>
              <w:t>The Farm Advisory Service will be expanded to cover wider advice provision beyond cross</w:t>
            </w:r>
            <w:r>
              <w:rPr>
                <w:rFonts w:cs="Arial"/>
                <w:color w:val="000000"/>
                <w:szCs w:val="20"/>
              </w:rPr>
              <w:t>-</w:t>
            </w:r>
            <w:r w:rsidRPr="00274360">
              <w:rPr>
                <w:rFonts w:cs="Arial"/>
                <w:color w:val="000000"/>
                <w:szCs w:val="20"/>
              </w:rPr>
              <w:t>compliance for farm, forestry, food and priority SMEs/</w:t>
            </w:r>
            <w:r>
              <w:rPr>
                <w:rFonts w:cs="Arial"/>
                <w:color w:val="000000"/>
                <w:szCs w:val="20"/>
              </w:rPr>
              <w:t>m</w:t>
            </w:r>
            <w:r w:rsidRPr="00274360">
              <w:rPr>
                <w:rFonts w:cs="Arial"/>
                <w:color w:val="000000"/>
                <w:szCs w:val="20"/>
              </w:rPr>
              <w:t>icro-enterprises operating in rural areas</w:t>
            </w:r>
            <w:r>
              <w:rPr>
                <w:rFonts w:cs="Arial"/>
                <w:color w:val="000000"/>
                <w:szCs w:val="20"/>
              </w:rPr>
              <w:t>, T</w:t>
            </w:r>
            <w:r w:rsidRPr="00274360">
              <w:rPr>
                <w:rFonts w:cs="Arial"/>
                <w:color w:val="000000"/>
                <w:szCs w:val="20"/>
              </w:rPr>
              <w:t xml:space="preserve"> this </w:t>
            </w:r>
            <w:r w:rsidRPr="00274360">
              <w:rPr>
                <w:rFonts w:cs="Arial"/>
                <w:szCs w:val="20"/>
              </w:rPr>
              <w:t>may</w:t>
            </w:r>
            <w:r w:rsidRPr="00274360">
              <w:rPr>
                <w:rFonts w:cs="Arial"/>
                <w:color w:val="000000"/>
                <w:szCs w:val="20"/>
              </w:rPr>
              <w:t xml:space="preserve"> include wider environmental actions e.g. minimum requirements for ecosystems delivery, plant health, biodiversity and habitat management.</w:t>
            </w:r>
          </w:p>
          <w:p w14:paraId="7FDDE5B5" w14:textId="5935311F" w:rsidR="000005F4" w:rsidRPr="00BE00CE" w:rsidRDefault="000005F4" w:rsidP="00B45B8C">
            <w:pPr>
              <w:pStyle w:val="TableBullet"/>
              <w:numPr>
                <w:ilvl w:val="0"/>
                <w:numId w:val="0"/>
              </w:numPr>
              <w:ind w:left="57"/>
              <w:rPr>
                <w:szCs w:val="20"/>
              </w:rPr>
            </w:pPr>
            <w:r>
              <w:rPr>
                <w:szCs w:val="20"/>
              </w:rPr>
              <w:t xml:space="preserve">Since the RDP only allows for compensation of income foregone and costs incurred, there </w:t>
            </w:r>
            <w:r w:rsidR="00787C16">
              <w:rPr>
                <w:szCs w:val="20"/>
              </w:rPr>
              <w:t xml:space="preserve">may be </w:t>
            </w:r>
            <w:r>
              <w:rPr>
                <w:szCs w:val="20"/>
              </w:rPr>
              <w:t xml:space="preserve">limited incentives to pursue ongoing improvements to site condition. On the basis that management actions </w:t>
            </w:r>
            <w:r w:rsidRPr="00370860">
              <w:rPr>
                <w:szCs w:val="20"/>
              </w:rPr>
              <w:t xml:space="preserve">usually provide a range of public and private goods, there may be scope to link Agreements to branding and certification schemes, as well as PES measures in the longer term. </w:t>
            </w:r>
            <w:r w:rsidRPr="00370860">
              <w:rPr>
                <w:rFonts w:eastAsia="Times New Roman" w:cs="Arial"/>
                <w:szCs w:val="20"/>
                <w:lang w:val="en" w:eastAsia="en-GB"/>
              </w:rPr>
              <w:t xml:space="preserve">Revisions to Glastir </w:t>
            </w:r>
            <w:r w:rsidR="00787C16">
              <w:rPr>
                <w:rFonts w:eastAsia="Times New Roman" w:cs="Arial"/>
                <w:szCs w:val="20"/>
                <w:lang w:val="en" w:eastAsia="en-GB"/>
              </w:rPr>
              <w:t xml:space="preserve">place increased emphasis </w:t>
            </w:r>
            <w:r w:rsidRPr="00370860">
              <w:rPr>
                <w:rFonts w:eastAsia="Times New Roman" w:cs="Arial"/>
                <w:szCs w:val="20"/>
                <w:lang w:val="en" w:eastAsia="en-GB"/>
              </w:rPr>
              <w:t>on s</w:t>
            </w:r>
            <w:r w:rsidRPr="00370860">
              <w:rPr>
                <w:szCs w:val="20"/>
              </w:rPr>
              <w:t xml:space="preserve">ustainable production, modernisation and diversification of land based businesses. In this regard, it is hoped that the revised Glastir will be flexible enough to be able to work with complementary </w:t>
            </w:r>
            <w:r w:rsidRPr="00EB35AD">
              <w:rPr>
                <w:szCs w:val="20"/>
              </w:rPr>
              <w:t>market based approaches to incentivise land managers to deliver critical changes in ecosystem service provision</w:t>
            </w:r>
            <w:r>
              <w:rPr>
                <w:szCs w:val="20"/>
              </w:rPr>
              <w:t xml:space="preserve"> – although it is not yet clear how this would work in practice.</w:t>
            </w:r>
          </w:p>
        </w:tc>
      </w:tr>
      <w:tr w:rsidR="000005F4" w14:paraId="46896CA9" w14:textId="77777777" w:rsidTr="000005F4">
        <w:tc>
          <w:tcPr>
            <w:tcW w:w="1415" w:type="dxa"/>
            <w:shd w:val="clear" w:color="auto" w:fill="auto"/>
          </w:tcPr>
          <w:p w14:paraId="7D19363C" w14:textId="77777777" w:rsidR="000005F4" w:rsidRPr="007B6DFE" w:rsidRDefault="000005F4" w:rsidP="000005F4">
            <w:pPr>
              <w:pStyle w:val="TableTextNoSpace"/>
              <w:rPr>
                <w:b/>
              </w:rPr>
            </w:pPr>
            <w:r>
              <w:rPr>
                <w:b/>
              </w:rPr>
              <w:t xml:space="preserve"> </w:t>
            </w:r>
            <w:r w:rsidRPr="007B6DFE">
              <w:rPr>
                <w:b/>
              </w:rPr>
              <w:t>Limitations &amp; constraints</w:t>
            </w:r>
          </w:p>
        </w:tc>
        <w:tc>
          <w:tcPr>
            <w:tcW w:w="7656" w:type="dxa"/>
            <w:shd w:val="clear" w:color="auto" w:fill="auto"/>
          </w:tcPr>
          <w:p w14:paraId="4B428F1C" w14:textId="668B0439" w:rsidR="000005F4" w:rsidRDefault="000005F4" w:rsidP="000005F4">
            <w:pPr>
              <w:pStyle w:val="TableBullet"/>
            </w:pPr>
            <w:r>
              <w:t xml:space="preserve">The RDP in Wales (unlike EAFRD in other </w:t>
            </w:r>
            <w:r w:rsidR="00787C16">
              <w:t>Member States</w:t>
            </w:r>
            <w:r>
              <w:t>) does not include a specific allocation to Natura 2000 measures. Instead, Natura 2000 management is financed by more general agri-environment and woodland management measures.  This subjects them to competition with wider farmed and forested areas. Natura 2000 measures are not included in UK RDPs on the basis that positive management (through the other programme measures) is seen as a more relevant approach than providing compensation for the restrictions associated with their designation.</w:t>
            </w:r>
          </w:p>
          <w:p w14:paraId="537913FD" w14:textId="77777777" w:rsidR="000005F4" w:rsidRPr="006643DB" w:rsidRDefault="000005F4" w:rsidP="000005F4">
            <w:pPr>
              <w:pStyle w:val="TableBullet"/>
              <w:rPr>
                <w:szCs w:val="18"/>
              </w:rPr>
            </w:pPr>
            <w:r>
              <w:t xml:space="preserve">Funds for agri-environmental schemes under the RDP are only allowed to compensate for costs incurred/income foregone, which imposes limits on the provision of incentives for participation. Nonetheless, this is the case for other agri-environment schemes elsewhere in the UK (which have seen higher uptake) suggesting that levels of compensation is not the only barrier to participation. </w:t>
            </w:r>
            <w:r w:rsidRPr="006643DB">
              <w:rPr>
                <w:szCs w:val="18"/>
              </w:rPr>
              <w:t xml:space="preserve"> </w:t>
            </w:r>
          </w:p>
          <w:p w14:paraId="6700C38C" w14:textId="77777777" w:rsidR="000005F4" w:rsidRPr="00EB266B" w:rsidRDefault="000005F4" w:rsidP="000005F4">
            <w:pPr>
              <w:pStyle w:val="TableBullet"/>
            </w:pPr>
            <w:r w:rsidRPr="006643DB">
              <w:rPr>
                <w:szCs w:val="18"/>
              </w:rPr>
              <w:t>Insufficient support to landowners in the design and implementation of agri-environmental measures often results in sub-optimal outcomes</w:t>
            </w:r>
            <w:r>
              <w:rPr>
                <w:szCs w:val="18"/>
              </w:rPr>
              <w:t>.</w:t>
            </w:r>
          </w:p>
          <w:p w14:paraId="235ACE9E" w14:textId="63271621" w:rsidR="000005F4" w:rsidRDefault="000005F4" w:rsidP="000005F4">
            <w:pPr>
              <w:pStyle w:val="TableBullet"/>
              <w:rPr>
                <w:rFonts w:cs="Arial"/>
                <w:szCs w:val="20"/>
              </w:rPr>
            </w:pPr>
            <w:r w:rsidRPr="00BE00CE">
              <w:rPr>
                <w:rFonts w:cs="Arial"/>
                <w:szCs w:val="20"/>
              </w:rPr>
              <w:t xml:space="preserve">Competition for funds: Natura 2000 management is only one issue seeking to utilise RDP funds. </w:t>
            </w:r>
            <w:r w:rsidRPr="003C1089">
              <w:rPr>
                <w:rFonts w:cs="Arial"/>
                <w:szCs w:val="20"/>
              </w:rPr>
              <w:t>The Welsh Government’s objectives for biodiversity, cultural landscapes, climate change mitigation, flood risk management, soil health, and water quality – all of which may seek RDP funding – were estimated by one 2009 study to amount to £165m per annum</w:t>
            </w:r>
            <w:r w:rsidRPr="003C1089">
              <w:rPr>
                <w:rStyle w:val="FootnoteReference"/>
                <w:rFonts w:cs="Arial"/>
                <w:szCs w:val="20"/>
              </w:rPr>
              <w:footnoteReference w:id="3"/>
            </w:r>
            <w:r w:rsidRPr="003C1089">
              <w:rPr>
                <w:rFonts w:cs="Arial"/>
                <w:szCs w:val="20"/>
              </w:rPr>
              <w:t>, significantly exceed</w:t>
            </w:r>
            <w:r w:rsidR="00E76020">
              <w:rPr>
                <w:rFonts w:cs="Arial"/>
                <w:szCs w:val="20"/>
              </w:rPr>
              <w:t>ing the annual programme budget</w:t>
            </w:r>
            <w:r w:rsidRPr="003C1089">
              <w:rPr>
                <w:rFonts w:cs="Arial"/>
                <w:szCs w:val="20"/>
              </w:rPr>
              <w:t>.</w:t>
            </w:r>
          </w:p>
          <w:p w14:paraId="6DB5476E" w14:textId="77777777" w:rsidR="000005F4" w:rsidRPr="00C872A3" w:rsidRDefault="000005F4" w:rsidP="000005F4">
            <w:pPr>
              <w:pStyle w:val="TableBullet"/>
              <w:rPr>
                <w:rFonts w:cs="Arial"/>
                <w:szCs w:val="20"/>
              </w:rPr>
            </w:pPr>
            <w:r w:rsidRPr="00C872A3">
              <w:rPr>
                <w:szCs w:val="20"/>
              </w:rPr>
              <w:t xml:space="preserve">Insufficient support to landowners during the </w:t>
            </w:r>
            <w:r>
              <w:rPr>
                <w:szCs w:val="20"/>
              </w:rPr>
              <w:t xml:space="preserve">Glastir </w:t>
            </w:r>
            <w:r w:rsidRPr="00C872A3">
              <w:rPr>
                <w:szCs w:val="20"/>
              </w:rPr>
              <w:t>application process often leads to suboptimal environmental outcomes. Overall, the application process is viewed as overly bureaucratic and insufficiently targeted towards conservation objectives. The costs of interventions have increased due to increases in the sector gross margins, which are the reference point for income foregone payments</w:t>
            </w:r>
          </w:p>
          <w:p w14:paraId="5E824477" w14:textId="77777777" w:rsidR="000005F4" w:rsidRPr="00BE00CE" w:rsidRDefault="000005F4" w:rsidP="000005F4">
            <w:pPr>
              <w:pStyle w:val="TableBullet"/>
              <w:rPr>
                <w:rFonts w:cs="Arial"/>
                <w:szCs w:val="20"/>
              </w:rPr>
            </w:pPr>
            <w:r>
              <w:rPr>
                <w:szCs w:val="20"/>
              </w:rPr>
              <w:t>Most landowners lack the necessary expertise to ‘sell’ their services to businesses and other beneficiaries, and would require additional support and mentoring to combine and enhance other funding approaches.</w:t>
            </w:r>
          </w:p>
        </w:tc>
      </w:tr>
      <w:tr w:rsidR="000005F4" w14:paraId="39126D74" w14:textId="77777777" w:rsidTr="000005F4">
        <w:tc>
          <w:tcPr>
            <w:tcW w:w="1415" w:type="dxa"/>
            <w:shd w:val="clear" w:color="auto" w:fill="auto"/>
          </w:tcPr>
          <w:p w14:paraId="211A6AA9" w14:textId="77777777" w:rsidR="000005F4" w:rsidRPr="007B6DFE" w:rsidRDefault="000005F4" w:rsidP="000005F4">
            <w:pPr>
              <w:pStyle w:val="TableTextNoSpace"/>
              <w:rPr>
                <w:b/>
              </w:rPr>
            </w:pPr>
            <w:r w:rsidRPr="007B6DFE">
              <w:rPr>
                <w:b/>
              </w:rPr>
              <w:t>Increasing uptake &amp; integration</w:t>
            </w:r>
          </w:p>
        </w:tc>
        <w:tc>
          <w:tcPr>
            <w:tcW w:w="7656" w:type="dxa"/>
            <w:shd w:val="clear" w:color="auto" w:fill="auto"/>
          </w:tcPr>
          <w:p w14:paraId="4E33E24A" w14:textId="13AC9F8F" w:rsidR="00787C16" w:rsidRDefault="00787C16" w:rsidP="00787C16">
            <w:pPr>
              <w:pStyle w:val="TableBullet"/>
            </w:pPr>
            <w:r w:rsidRPr="00EB35AD">
              <w:t>The changes to Glastir for the 2014-2010 period a</w:t>
            </w:r>
            <w:r>
              <w:t>re</w:t>
            </w:r>
            <w:r w:rsidRPr="00EB35AD">
              <w:t xml:space="preserve"> anticipated to increase the uptake and effectiveness of the scheme. </w:t>
            </w:r>
            <w:r w:rsidRPr="000869CD">
              <w:t>Given p</w:t>
            </w:r>
            <w:r>
              <w:t xml:space="preserve">revious </w:t>
            </w:r>
            <w:r w:rsidRPr="000869CD">
              <w:t>levels of up</w:t>
            </w:r>
            <w:r>
              <w:t>take</w:t>
            </w:r>
            <w:r w:rsidRPr="00EB35AD">
              <w:t xml:space="preserve"> and expenditure there is significant potential to increase funds </w:t>
            </w:r>
            <w:r>
              <w:t>utilised to address the Natura 2000 funding needs.</w:t>
            </w:r>
          </w:p>
          <w:p w14:paraId="377D0195" w14:textId="5E511487" w:rsidR="00787C16" w:rsidRDefault="00787C16" w:rsidP="00787C16">
            <w:pPr>
              <w:pStyle w:val="TableBullet"/>
            </w:pPr>
            <w:r w:rsidRPr="000742F4">
              <w:t xml:space="preserve">Advisory support, either from conservation </w:t>
            </w:r>
            <w:r>
              <w:t>organisations</w:t>
            </w:r>
            <w:r w:rsidRPr="000742F4">
              <w:t xml:space="preserve"> </w:t>
            </w:r>
            <w:r>
              <w:t xml:space="preserve">or through a farmer training scheme such as Farming Connect, could help ensure better design and implement of management measures. The RDP Technical Assistance Facility (£38m) could provide a potential source of funding support for such measures. </w:t>
            </w:r>
          </w:p>
          <w:p w14:paraId="51B27CA8" w14:textId="1A096EF5" w:rsidR="00787C16" w:rsidRDefault="00787C16" w:rsidP="00787C16">
            <w:pPr>
              <w:pStyle w:val="TableBullet"/>
            </w:pPr>
            <w:r>
              <w:t xml:space="preserve">Increased capacity-building for landowners would be beneficial. </w:t>
            </w:r>
          </w:p>
          <w:p w14:paraId="62B8E90A" w14:textId="059785B0" w:rsidR="00426383" w:rsidRDefault="00787C16" w:rsidP="00426383">
            <w:pPr>
              <w:pStyle w:val="TableBullet"/>
              <w:rPr>
                <w:szCs w:val="20"/>
              </w:rPr>
            </w:pPr>
            <w:r>
              <w:rPr>
                <w:szCs w:val="20"/>
              </w:rPr>
              <w:t xml:space="preserve">Common </w:t>
            </w:r>
            <w:r w:rsidRPr="00E32E98">
              <w:rPr>
                <w:szCs w:val="20"/>
              </w:rPr>
              <w:t>Natura 2000 and</w:t>
            </w:r>
            <w:r>
              <w:rPr>
                <w:szCs w:val="20"/>
              </w:rPr>
              <w:t xml:space="preserve"> ecosystem service related</w:t>
            </w:r>
            <w:r w:rsidRPr="00E32E98">
              <w:rPr>
                <w:szCs w:val="20"/>
              </w:rPr>
              <w:t xml:space="preserve"> advice </w:t>
            </w:r>
            <w:r>
              <w:rPr>
                <w:szCs w:val="20"/>
              </w:rPr>
              <w:t xml:space="preserve">should be embedded </w:t>
            </w:r>
            <w:r w:rsidRPr="00E32E98">
              <w:rPr>
                <w:szCs w:val="20"/>
              </w:rPr>
              <w:t xml:space="preserve">within the expanded </w:t>
            </w:r>
            <w:r w:rsidRPr="000F6BD9">
              <w:rPr>
                <w:szCs w:val="20"/>
              </w:rPr>
              <w:t>Farm Advisory Service</w:t>
            </w:r>
          </w:p>
          <w:p w14:paraId="20F05428" w14:textId="2F527C0F" w:rsidR="00426383" w:rsidRPr="00426383" w:rsidRDefault="00426383" w:rsidP="00B45B8C">
            <w:pPr>
              <w:pStyle w:val="TableBullet"/>
            </w:pPr>
            <w:r>
              <w:t xml:space="preserve">Specific measures could be taken to increase the opportunities for diversification of rural income around the Natura 2000 network: </w:t>
            </w:r>
          </w:p>
          <w:p w14:paraId="76F27CF3" w14:textId="77777777" w:rsidR="00787C16" w:rsidRDefault="00787C16" w:rsidP="00787C16">
            <w:pPr>
              <w:pStyle w:val="TableBullet"/>
            </w:pPr>
            <w:r>
              <w:t xml:space="preserve">Endorsement of recognised standards by NRW, such as the Woodland Carbon Code, could aid the integration of private funds as a supplement to Glastir. Endorsement of wider initiatives such as the High Nature Value Farming concept, could support the development of branding schemes which provide additional financial incentives for agri-environment measures. </w:t>
            </w:r>
          </w:p>
          <w:p w14:paraId="0C1BC07B" w14:textId="0B8A935A" w:rsidR="00787C16" w:rsidRDefault="00787C16" w:rsidP="00787C16">
            <w:pPr>
              <w:pStyle w:val="TableBullet"/>
            </w:pPr>
            <w:r>
              <w:t>Identification of beneficiaries remains a barrier for most would be participants - mentoring and support, as well as identification of areas and stakeholders with particular potential (similar to the opportunity zones identified under the Nature Fund) could provide a means to link scheme participants with local beneficiaries.</w:t>
            </w:r>
          </w:p>
          <w:p w14:paraId="1FB3DBB8" w14:textId="77777777" w:rsidR="00787C16" w:rsidRDefault="00787C16" w:rsidP="00787C16">
            <w:pPr>
              <w:pStyle w:val="TableBullet"/>
            </w:pPr>
            <w:r w:rsidRPr="000F6BD9">
              <w:rPr>
                <w:szCs w:val="20"/>
              </w:rPr>
              <w:t>Explore scope for combining with private PES schemes / marketed products that deliver p</w:t>
            </w:r>
            <w:r w:rsidRPr="00274360">
              <w:rPr>
                <w:rFonts w:cs="Arial"/>
                <w:szCs w:val="20"/>
              </w:rPr>
              <w:t>rivate funding of capital and infrastructure items supported by ongoing RDP maintenance payments</w:t>
            </w:r>
            <w:r>
              <w:rPr>
                <w:rFonts w:cs="Arial"/>
                <w:szCs w:val="20"/>
              </w:rPr>
              <w:t>.</w:t>
            </w:r>
          </w:p>
          <w:p w14:paraId="5200DBB0" w14:textId="77777777" w:rsidR="00787C16" w:rsidRPr="006643DB" w:rsidRDefault="00787C16" w:rsidP="00787C16">
            <w:pPr>
              <w:pStyle w:val="TableBullet"/>
            </w:pPr>
            <w:r>
              <w:t>Develop o</w:t>
            </w:r>
            <w:r w:rsidRPr="006643DB">
              <w:t xml:space="preserve">fficial endorsement of branding and certification schemes to create additional incentives for involvement </w:t>
            </w:r>
            <w:r>
              <w:t>(possibly using funds from the wider RDP programme to complement agri-environment and woodland incentives.</w:t>
            </w:r>
          </w:p>
          <w:p w14:paraId="05F8D179" w14:textId="77777777" w:rsidR="00787C16" w:rsidRDefault="00787C16" w:rsidP="00787C16">
            <w:pPr>
              <w:pStyle w:val="TableBullet"/>
            </w:pPr>
            <w:r w:rsidRPr="006643DB">
              <w:t>Targeting measures at the landscape scale could increase the efficiency of design and monitoring</w:t>
            </w:r>
            <w:r>
              <w:t>.</w:t>
            </w:r>
          </w:p>
          <w:p w14:paraId="7E6663DF" w14:textId="7E47FB18" w:rsidR="000005F4" w:rsidRPr="00B8489F" w:rsidRDefault="00787C16" w:rsidP="000005F4">
            <w:pPr>
              <w:pStyle w:val="TableBullet"/>
            </w:pPr>
            <w:r>
              <w:t>Proposed revisions to Glastir seek to address a number of relevant limitations that relate to uptake of funds benefiting Natura 2000 sites.</w:t>
            </w:r>
          </w:p>
        </w:tc>
      </w:tr>
    </w:tbl>
    <w:p w14:paraId="12FDD655" w14:textId="77777777" w:rsidR="000005F4" w:rsidRDefault="000005F4" w:rsidP="000005F4">
      <w:pPr>
        <w:pStyle w:val="Bullet1Last"/>
        <w:numPr>
          <w:ilvl w:val="0"/>
          <w:numId w:val="0"/>
        </w:numPr>
      </w:pPr>
    </w:p>
    <w:p w14:paraId="2F143087" w14:textId="47E07952" w:rsidR="000005F4" w:rsidRDefault="00426383" w:rsidP="004A3815">
      <w:pPr>
        <w:pStyle w:val="Heading2NoNumb"/>
      </w:pPr>
      <w:bookmarkStart w:id="280" w:name="_Toc421880682"/>
      <w:r>
        <w:t>Common Agricultural Policy – Direct Payments to Farmers</w:t>
      </w:r>
      <w:bookmarkEnd w:id="280"/>
      <w:r>
        <w:t xml:space="preserve"> </w:t>
      </w:r>
    </w:p>
    <w:tbl>
      <w:tblPr>
        <w:tblW w:w="9071" w:type="dxa"/>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Layout w:type="fixed"/>
        <w:tblCellMar>
          <w:top w:w="57" w:type="dxa"/>
          <w:left w:w="0" w:type="dxa"/>
          <w:bottom w:w="28" w:type="dxa"/>
          <w:right w:w="0" w:type="dxa"/>
        </w:tblCellMar>
        <w:tblLook w:val="0000" w:firstRow="0" w:lastRow="0" w:firstColumn="0" w:lastColumn="0" w:noHBand="0" w:noVBand="0"/>
      </w:tblPr>
      <w:tblGrid>
        <w:gridCol w:w="1704"/>
        <w:gridCol w:w="7367"/>
      </w:tblGrid>
      <w:tr w:rsidR="000005F4" w14:paraId="5E6F5142" w14:textId="77777777" w:rsidTr="000005F4">
        <w:trPr>
          <w:cantSplit/>
        </w:trPr>
        <w:tc>
          <w:tcPr>
            <w:tcW w:w="1704" w:type="dxa"/>
            <w:shd w:val="clear" w:color="auto" w:fill="auto"/>
          </w:tcPr>
          <w:p w14:paraId="349686FB" w14:textId="77777777" w:rsidR="000005F4" w:rsidRDefault="000005F4" w:rsidP="000005F4">
            <w:pPr>
              <w:pStyle w:val="TableHeading"/>
            </w:pPr>
          </w:p>
        </w:tc>
        <w:tc>
          <w:tcPr>
            <w:tcW w:w="7367" w:type="dxa"/>
            <w:shd w:val="solid" w:color="0067AB" w:fill="0067AB"/>
          </w:tcPr>
          <w:p w14:paraId="0DC52028" w14:textId="77777777" w:rsidR="000005F4" w:rsidRDefault="000005F4" w:rsidP="000005F4">
            <w:pPr>
              <w:pStyle w:val="TableHeadingWhite"/>
            </w:pPr>
          </w:p>
        </w:tc>
      </w:tr>
      <w:tr w:rsidR="000005F4" w14:paraId="351643B0" w14:textId="77777777" w:rsidTr="000005F4">
        <w:tc>
          <w:tcPr>
            <w:tcW w:w="1704" w:type="dxa"/>
            <w:shd w:val="clear" w:color="auto" w:fill="auto"/>
          </w:tcPr>
          <w:p w14:paraId="6F8D29B0" w14:textId="77777777" w:rsidR="000005F4" w:rsidRPr="00781F02" w:rsidRDefault="000005F4" w:rsidP="000005F4">
            <w:pPr>
              <w:pStyle w:val="TableTextNoSpace"/>
              <w:rPr>
                <w:b/>
              </w:rPr>
            </w:pPr>
            <w:r w:rsidRPr="00781F02">
              <w:rPr>
                <w:b/>
              </w:rPr>
              <w:t>Background &amp; relevance</w:t>
            </w:r>
          </w:p>
        </w:tc>
        <w:tc>
          <w:tcPr>
            <w:tcW w:w="7367" w:type="dxa"/>
            <w:shd w:val="clear" w:color="auto" w:fill="auto"/>
          </w:tcPr>
          <w:p w14:paraId="1585478A" w14:textId="6071EB51" w:rsidR="000005F4" w:rsidRPr="00E452A2" w:rsidRDefault="000005F4" w:rsidP="00B45B8C">
            <w:pPr>
              <w:pStyle w:val="TableTextNoSpace"/>
            </w:pPr>
            <w:r w:rsidRPr="00EA5E83">
              <w:t xml:space="preserve">Direct Payments to Farmers is the Welsh </w:t>
            </w:r>
            <w:r>
              <w:t>p</w:t>
            </w:r>
            <w:r w:rsidRPr="00EA5E83">
              <w:t>rogramme linked to Pillar 1 of the</w:t>
            </w:r>
            <w:r w:rsidR="00426383">
              <w:t xml:space="preserve"> Common Agricultural Policy</w:t>
            </w:r>
            <w:r w:rsidRPr="00EA5E83">
              <w:t xml:space="preserve"> </w:t>
            </w:r>
            <w:r w:rsidR="00426383">
              <w:t>(</w:t>
            </w:r>
            <w:r w:rsidRPr="00EA5E83">
              <w:t>CAP</w:t>
            </w:r>
            <w:r w:rsidR="00426383">
              <w:t>)</w:t>
            </w:r>
            <w:r w:rsidRPr="00EA5E83">
              <w:t>, and replaces Single Farm Payment. The aims of the programme are to provide support for farmers to manage their land in an environmentally sustainable way, and to maintain animal welfare standards to make farms more secure in the long term.</w:t>
            </w:r>
          </w:p>
        </w:tc>
      </w:tr>
      <w:tr w:rsidR="000005F4" w14:paraId="5E649BB5" w14:textId="77777777" w:rsidTr="000005F4">
        <w:tc>
          <w:tcPr>
            <w:tcW w:w="1704" w:type="dxa"/>
            <w:shd w:val="clear" w:color="auto" w:fill="auto"/>
          </w:tcPr>
          <w:p w14:paraId="322F8683" w14:textId="77777777" w:rsidR="000005F4" w:rsidRPr="00781F02" w:rsidRDefault="000005F4" w:rsidP="000005F4">
            <w:pPr>
              <w:pStyle w:val="TableTextNoSpace"/>
              <w:rPr>
                <w:b/>
              </w:rPr>
            </w:pPr>
            <w:r w:rsidRPr="00781F02">
              <w:rPr>
                <w:b/>
              </w:rPr>
              <w:t>Funding available</w:t>
            </w:r>
          </w:p>
        </w:tc>
        <w:tc>
          <w:tcPr>
            <w:tcW w:w="7367" w:type="dxa"/>
            <w:shd w:val="clear" w:color="auto" w:fill="auto"/>
          </w:tcPr>
          <w:p w14:paraId="644825AE" w14:textId="77777777" w:rsidR="000005F4" w:rsidRPr="00426383" w:rsidRDefault="000005F4" w:rsidP="00D94488">
            <w:pPr>
              <w:pStyle w:val="TableBullet"/>
            </w:pPr>
            <w:r w:rsidRPr="00426383">
              <w:t xml:space="preserve">The programme will allocate approximately £204m a year to agricultural businesses </w:t>
            </w:r>
          </w:p>
          <w:p w14:paraId="3EDA7919" w14:textId="77777777" w:rsidR="000005F4" w:rsidRPr="00426383" w:rsidRDefault="000005F4" w:rsidP="00D94488">
            <w:pPr>
              <w:pStyle w:val="TableBullet"/>
            </w:pPr>
            <w:r w:rsidRPr="00426383">
              <w:t>Approximately £260m of direct payments were issued annually under the previous round (2007-2013)</w:t>
            </w:r>
          </w:p>
        </w:tc>
      </w:tr>
      <w:tr w:rsidR="000005F4" w14:paraId="597AC0B6" w14:textId="77777777" w:rsidTr="000005F4">
        <w:tc>
          <w:tcPr>
            <w:tcW w:w="1704" w:type="dxa"/>
            <w:shd w:val="clear" w:color="auto" w:fill="auto"/>
          </w:tcPr>
          <w:p w14:paraId="54B6509C" w14:textId="77777777" w:rsidR="000005F4" w:rsidRPr="00781F02" w:rsidRDefault="000005F4" w:rsidP="000005F4">
            <w:pPr>
              <w:pStyle w:val="TableTextNoSpace"/>
              <w:rPr>
                <w:b/>
              </w:rPr>
            </w:pPr>
            <w:r w:rsidRPr="00781F02">
              <w:rPr>
                <w:b/>
              </w:rPr>
              <w:t>Opportunities for Natura</w:t>
            </w:r>
            <w:r>
              <w:rPr>
                <w:b/>
              </w:rPr>
              <w:t xml:space="preserve"> 2000 </w:t>
            </w:r>
          </w:p>
        </w:tc>
        <w:tc>
          <w:tcPr>
            <w:tcW w:w="7367" w:type="dxa"/>
            <w:shd w:val="clear" w:color="auto" w:fill="auto"/>
          </w:tcPr>
          <w:p w14:paraId="713F530D" w14:textId="77777777" w:rsidR="000005F4" w:rsidRPr="00426383" w:rsidRDefault="000005F4" w:rsidP="00D94488">
            <w:pPr>
              <w:pStyle w:val="TableBullet"/>
            </w:pPr>
            <w:r w:rsidRPr="00426383">
              <w:t xml:space="preserve">Approximately 30% of payments are tied to ‘greening’ of agricultural </w:t>
            </w:r>
          </w:p>
          <w:p w14:paraId="25620685" w14:textId="77777777" w:rsidR="000005F4" w:rsidRPr="00426383" w:rsidRDefault="000005F4" w:rsidP="00D94488">
            <w:pPr>
              <w:pStyle w:val="TableBullet"/>
            </w:pPr>
            <w:r w:rsidRPr="00426383">
              <w:t>land; including crop diversification, retention of permanent grassland, and    allocation of 7% of land to Ecological Focus Areas</w:t>
            </w:r>
          </w:p>
          <w:p w14:paraId="3CA0EC44" w14:textId="77777777" w:rsidR="000005F4" w:rsidRPr="00426383" w:rsidRDefault="000005F4" w:rsidP="00D94488">
            <w:pPr>
              <w:pStyle w:val="TableBullet"/>
            </w:pPr>
            <w:r w:rsidRPr="00426383">
              <w:t>Membership of an RDP funded agri-environmental scheme (such as Glastir) is also recognised as equivalent to greening</w:t>
            </w:r>
          </w:p>
          <w:p w14:paraId="0494BF47" w14:textId="77777777" w:rsidR="000005F4" w:rsidRPr="00426383" w:rsidRDefault="000005F4" w:rsidP="00D94488">
            <w:pPr>
              <w:pStyle w:val="TableBullet"/>
            </w:pPr>
            <w:r w:rsidRPr="00426383">
              <w:t xml:space="preserve">EFAs may benefit surrounding wildlife and biodiversity and contribute to habitat connectivity </w:t>
            </w:r>
          </w:p>
        </w:tc>
      </w:tr>
      <w:tr w:rsidR="000005F4" w14:paraId="47058CD6" w14:textId="77777777" w:rsidTr="000005F4">
        <w:tc>
          <w:tcPr>
            <w:tcW w:w="1704" w:type="dxa"/>
            <w:shd w:val="clear" w:color="auto" w:fill="auto"/>
          </w:tcPr>
          <w:p w14:paraId="553FEF9E" w14:textId="77777777" w:rsidR="000005F4" w:rsidRPr="00781F02" w:rsidRDefault="000005F4" w:rsidP="000005F4">
            <w:pPr>
              <w:pStyle w:val="TableTextNoSpace"/>
              <w:rPr>
                <w:b/>
              </w:rPr>
            </w:pPr>
            <w:r w:rsidRPr="00781F02">
              <w:rPr>
                <w:b/>
              </w:rPr>
              <w:t>Limitations &amp; constraints</w:t>
            </w:r>
          </w:p>
        </w:tc>
        <w:tc>
          <w:tcPr>
            <w:tcW w:w="7367" w:type="dxa"/>
            <w:shd w:val="clear" w:color="auto" w:fill="auto"/>
          </w:tcPr>
          <w:p w14:paraId="10D850A6" w14:textId="77777777" w:rsidR="000005F4" w:rsidRPr="00426383" w:rsidRDefault="000005F4" w:rsidP="00D94488">
            <w:pPr>
              <w:pStyle w:val="TableBullet"/>
            </w:pPr>
            <w:r w:rsidRPr="00426383">
              <w:t>Requirements under the greening criteria are unlikely to make a substantial addition to management needs</w:t>
            </w:r>
          </w:p>
          <w:p w14:paraId="559AB862" w14:textId="77777777" w:rsidR="000005F4" w:rsidRPr="00426383" w:rsidRDefault="000005F4" w:rsidP="00D94488">
            <w:pPr>
              <w:pStyle w:val="TableBullet"/>
            </w:pPr>
            <w:r w:rsidRPr="00426383">
              <w:t xml:space="preserve">Some risk of ‘double funding’ Glastir and greening measures to private landowners </w:t>
            </w:r>
          </w:p>
          <w:p w14:paraId="2BA07DC4" w14:textId="77777777" w:rsidR="000005F4" w:rsidRPr="00426383" w:rsidRDefault="000005F4" w:rsidP="00D94488">
            <w:pPr>
              <w:pStyle w:val="TableBullet"/>
            </w:pPr>
            <w:r w:rsidRPr="00426383">
              <w:t xml:space="preserve">Lack of capacity amongst landowners to implement greening </w:t>
            </w:r>
          </w:p>
        </w:tc>
      </w:tr>
      <w:tr w:rsidR="000005F4" w14:paraId="2603F68A" w14:textId="77777777" w:rsidTr="000005F4">
        <w:tc>
          <w:tcPr>
            <w:tcW w:w="1704" w:type="dxa"/>
            <w:shd w:val="clear" w:color="auto" w:fill="auto"/>
          </w:tcPr>
          <w:p w14:paraId="3AF8D645" w14:textId="77777777" w:rsidR="000005F4" w:rsidRDefault="000005F4" w:rsidP="000005F4">
            <w:pPr>
              <w:pStyle w:val="TableTextNoSpace"/>
              <w:rPr>
                <w:b/>
              </w:rPr>
            </w:pPr>
            <w:r w:rsidRPr="007B6DFE">
              <w:rPr>
                <w:b/>
              </w:rPr>
              <w:t>Increasing uptake &amp;</w:t>
            </w:r>
          </w:p>
          <w:p w14:paraId="7740D773" w14:textId="77777777" w:rsidR="000005F4" w:rsidRPr="009F1463" w:rsidRDefault="000005F4" w:rsidP="000005F4">
            <w:pPr>
              <w:pStyle w:val="TableTextNoSpace"/>
              <w:rPr>
                <w:b/>
              </w:rPr>
            </w:pPr>
            <w:r w:rsidRPr="007B6DFE">
              <w:rPr>
                <w:b/>
              </w:rPr>
              <w:t>integr</w:t>
            </w:r>
            <w:r>
              <w:rPr>
                <w:b/>
              </w:rPr>
              <w:t>a</w:t>
            </w:r>
            <w:r w:rsidRPr="007B6DFE">
              <w:rPr>
                <w:b/>
              </w:rPr>
              <w:t>tion</w:t>
            </w:r>
          </w:p>
        </w:tc>
        <w:tc>
          <w:tcPr>
            <w:tcW w:w="7367" w:type="dxa"/>
            <w:shd w:val="clear" w:color="auto" w:fill="auto"/>
          </w:tcPr>
          <w:p w14:paraId="0D96546F" w14:textId="1594F6CF" w:rsidR="000005F4" w:rsidRPr="00426383" w:rsidRDefault="000005F4" w:rsidP="00D94488">
            <w:pPr>
              <w:pStyle w:val="TableBullet"/>
            </w:pPr>
            <w:r w:rsidRPr="00426383">
              <w:t xml:space="preserve">Promotion of Glastir </w:t>
            </w:r>
            <w:r w:rsidR="00426383" w:rsidRPr="00EE77C4">
              <w:t>over greening as ‘superior’ option with regard to environment and income diversification.</w:t>
            </w:r>
            <w:r w:rsidR="00426383">
              <w:t xml:space="preserve"> </w:t>
            </w:r>
          </w:p>
          <w:p w14:paraId="5B31F153" w14:textId="0ECD2BA9" w:rsidR="000005F4" w:rsidRPr="00426383" w:rsidRDefault="000005F4" w:rsidP="00D94488">
            <w:pPr>
              <w:pStyle w:val="TableBullet"/>
            </w:pPr>
            <w:r w:rsidRPr="00426383">
              <w:t>Skills and capacity-building programmes</w:t>
            </w:r>
            <w:r w:rsidR="00426383">
              <w:t xml:space="preserve"> are needed</w:t>
            </w:r>
            <w:r w:rsidRPr="00426383">
              <w:t xml:space="preserve"> to promote wider uptake of greening measures   </w:t>
            </w:r>
          </w:p>
        </w:tc>
      </w:tr>
    </w:tbl>
    <w:p w14:paraId="0115C981" w14:textId="77777777" w:rsidR="000005F4" w:rsidRDefault="000005F4" w:rsidP="004A3815">
      <w:pPr>
        <w:pStyle w:val="Heading2NoNumb"/>
      </w:pPr>
      <w:bookmarkStart w:id="281" w:name="_Toc408138015"/>
      <w:bookmarkStart w:id="282" w:name="_Toc408851007"/>
      <w:bookmarkStart w:id="283" w:name="_Toc421880683"/>
      <w:r>
        <w:t>European Maritime and Fisheries Fund</w:t>
      </w:r>
      <w:bookmarkEnd w:id="281"/>
      <w:bookmarkEnd w:id="282"/>
      <w:bookmarkEnd w:id="283"/>
      <w:r>
        <w:t xml:space="preserve"> </w:t>
      </w:r>
    </w:p>
    <w:tbl>
      <w:tblPr>
        <w:tblW w:w="9071" w:type="dxa"/>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Layout w:type="fixed"/>
        <w:tblCellMar>
          <w:top w:w="57" w:type="dxa"/>
          <w:left w:w="0" w:type="dxa"/>
          <w:bottom w:w="28" w:type="dxa"/>
          <w:right w:w="0" w:type="dxa"/>
        </w:tblCellMar>
        <w:tblLook w:val="0000" w:firstRow="0" w:lastRow="0" w:firstColumn="0" w:lastColumn="0" w:noHBand="0" w:noVBand="0"/>
      </w:tblPr>
      <w:tblGrid>
        <w:gridCol w:w="1415"/>
        <w:gridCol w:w="7656"/>
      </w:tblGrid>
      <w:tr w:rsidR="000005F4" w14:paraId="4A393FE0" w14:textId="77777777" w:rsidTr="000005F4">
        <w:trPr>
          <w:cantSplit/>
        </w:trPr>
        <w:tc>
          <w:tcPr>
            <w:tcW w:w="1415" w:type="dxa"/>
            <w:shd w:val="clear" w:color="auto" w:fill="auto"/>
          </w:tcPr>
          <w:p w14:paraId="3BE00446" w14:textId="77777777" w:rsidR="000005F4" w:rsidRDefault="000005F4" w:rsidP="000005F4">
            <w:pPr>
              <w:pStyle w:val="TableHeading"/>
            </w:pPr>
          </w:p>
        </w:tc>
        <w:tc>
          <w:tcPr>
            <w:tcW w:w="7656" w:type="dxa"/>
            <w:shd w:val="solid" w:color="0067AB" w:fill="0067AB"/>
          </w:tcPr>
          <w:p w14:paraId="1C10C3EE" w14:textId="77777777" w:rsidR="000005F4" w:rsidRDefault="000005F4" w:rsidP="000005F4">
            <w:pPr>
              <w:pStyle w:val="TableHeadingWhite"/>
            </w:pPr>
          </w:p>
        </w:tc>
      </w:tr>
      <w:tr w:rsidR="000005F4" w14:paraId="23F5E3DD" w14:textId="77777777" w:rsidTr="000005F4">
        <w:tc>
          <w:tcPr>
            <w:tcW w:w="1415" w:type="dxa"/>
            <w:shd w:val="clear" w:color="auto" w:fill="auto"/>
          </w:tcPr>
          <w:p w14:paraId="115459FB" w14:textId="77777777" w:rsidR="000005F4" w:rsidRPr="007B6DFE" w:rsidRDefault="000005F4" w:rsidP="000005F4">
            <w:pPr>
              <w:pStyle w:val="TableTextNoSpace"/>
              <w:rPr>
                <w:b/>
              </w:rPr>
            </w:pPr>
            <w:r w:rsidRPr="007B6DFE">
              <w:rPr>
                <w:b/>
              </w:rPr>
              <w:t>Objectives</w:t>
            </w:r>
          </w:p>
        </w:tc>
        <w:tc>
          <w:tcPr>
            <w:tcW w:w="7656" w:type="dxa"/>
            <w:shd w:val="clear" w:color="auto" w:fill="auto"/>
          </w:tcPr>
          <w:p w14:paraId="6C0CB159" w14:textId="77777777" w:rsidR="000005F4" w:rsidRPr="00B8489F" w:rsidRDefault="000005F4" w:rsidP="000005F4">
            <w:pPr>
              <w:pStyle w:val="TableTextNoSpace"/>
            </w:pPr>
            <w:r w:rsidRPr="00B8489F">
              <w:t>The EMFF contribu</w:t>
            </w:r>
            <w:r>
              <w:t>tes to five Union Priorities (UP</w:t>
            </w:r>
            <w:r w:rsidRPr="00B8489F">
              <w:t>s), set out in Article 5 of the Regulation:</w:t>
            </w:r>
          </w:p>
          <w:p w14:paraId="3DFC81E4" w14:textId="77777777" w:rsidR="000005F4" w:rsidRPr="00DF1417" w:rsidRDefault="000005F4" w:rsidP="000005F4">
            <w:pPr>
              <w:pStyle w:val="TableBullet"/>
            </w:pPr>
            <w:r w:rsidRPr="00DF1417">
              <w:t xml:space="preserve">Promoting sustainable and resource-efficient fisheries and aquaculture including related processing </w:t>
            </w:r>
          </w:p>
          <w:p w14:paraId="1B0FEAA9" w14:textId="77777777" w:rsidR="000005F4" w:rsidRPr="00A07011" w:rsidRDefault="000005F4" w:rsidP="000005F4">
            <w:pPr>
              <w:pStyle w:val="TableBullet"/>
            </w:pPr>
            <w:r w:rsidRPr="00243019">
              <w:t xml:space="preserve">Fostering innovative, competitive and knowledge-based fisheries and aquaculture including related processing; </w:t>
            </w:r>
          </w:p>
          <w:p w14:paraId="4CAA1F46" w14:textId="41F48DD4" w:rsidR="000005F4" w:rsidRPr="00206B63" w:rsidRDefault="000005F4" w:rsidP="000005F4">
            <w:pPr>
              <w:pStyle w:val="TableBullet"/>
            </w:pPr>
            <w:r w:rsidRPr="00A07011">
              <w:t>Fostering the implementation of the C</w:t>
            </w:r>
            <w:r w:rsidR="00426383">
              <w:t xml:space="preserve">ommon </w:t>
            </w:r>
            <w:r w:rsidRPr="00A07011">
              <w:t>F</w:t>
            </w:r>
            <w:r w:rsidR="00426383">
              <w:t xml:space="preserve">isheries </w:t>
            </w:r>
            <w:r w:rsidRPr="00A07011">
              <w:t>P</w:t>
            </w:r>
            <w:r w:rsidR="00426383">
              <w:t>olicy</w:t>
            </w:r>
            <w:r w:rsidRPr="00A07011">
              <w:t xml:space="preserve"> (this relates to the fulfilment of enforcement and data collection obligations); </w:t>
            </w:r>
          </w:p>
          <w:p w14:paraId="357E9E04" w14:textId="77777777" w:rsidR="000005F4" w:rsidRDefault="000005F4" w:rsidP="000005F4">
            <w:pPr>
              <w:pStyle w:val="TableBullet"/>
            </w:pPr>
            <w:r w:rsidRPr="00B8489F">
              <w:t xml:space="preserve">Increasing employment and territorial cohesion in fisheries areas; and </w:t>
            </w:r>
          </w:p>
          <w:p w14:paraId="5580D445" w14:textId="77777777" w:rsidR="000005F4" w:rsidRPr="00B8489F" w:rsidRDefault="000005F4" w:rsidP="000005F4">
            <w:pPr>
              <w:pStyle w:val="TableBullet"/>
            </w:pPr>
            <w:r w:rsidRPr="00B8489F">
              <w:t xml:space="preserve">Fostering the implementation of the Integrated Maritime Policy </w:t>
            </w:r>
          </w:p>
          <w:p w14:paraId="4A5C4C95" w14:textId="77777777" w:rsidR="000005F4" w:rsidRPr="00B8489F" w:rsidRDefault="000005F4" w:rsidP="000005F4">
            <w:pPr>
              <w:pStyle w:val="TableTextNoSpace"/>
              <w:rPr>
                <w:lang w:val="en"/>
              </w:rPr>
            </w:pPr>
            <w:r w:rsidRPr="00B8489F">
              <w:rPr>
                <w:lang w:val="en"/>
              </w:rPr>
              <w:t>The UK EMFF strategic priorities for 2014-2020, which overlap the Union Priorities, are:</w:t>
            </w:r>
          </w:p>
          <w:p w14:paraId="51F2D116" w14:textId="77777777" w:rsidR="000005F4" w:rsidRPr="00DF1417" w:rsidRDefault="000005F4" w:rsidP="000005F4">
            <w:pPr>
              <w:pStyle w:val="TableBullet"/>
            </w:pPr>
            <w:r w:rsidRPr="00DF1417">
              <w:t>Adapting the fisheries sector to the requirements of the reformed CFP</w:t>
            </w:r>
          </w:p>
          <w:p w14:paraId="6B4C147A" w14:textId="77777777" w:rsidR="000005F4" w:rsidRPr="00A07011" w:rsidRDefault="000005F4" w:rsidP="000005F4">
            <w:pPr>
              <w:pStyle w:val="TableBullet"/>
            </w:pPr>
            <w:r w:rsidRPr="00243019">
              <w:t>Fostering growth potential in key areas across fisheries, aquaculture and processing</w:t>
            </w:r>
          </w:p>
          <w:p w14:paraId="60BA8434" w14:textId="77777777" w:rsidR="000005F4" w:rsidRPr="00A07011" w:rsidRDefault="000005F4" w:rsidP="000005F4">
            <w:pPr>
              <w:pStyle w:val="TableBullet"/>
            </w:pPr>
            <w:r w:rsidRPr="00A07011">
              <w:t>Supporting the increased economic, environmental and social sustainability of the sector</w:t>
            </w:r>
          </w:p>
          <w:p w14:paraId="6E6EB0B4" w14:textId="77777777" w:rsidR="000005F4" w:rsidRPr="00206B63" w:rsidRDefault="000005F4" w:rsidP="000005F4">
            <w:pPr>
              <w:pStyle w:val="TableBullet"/>
            </w:pPr>
            <w:r w:rsidRPr="00206B63">
              <w:t>Fulfilling the UK’s enforcement and data collection obligations</w:t>
            </w:r>
          </w:p>
          <w:p w14:paraId="277DE639" w14:textId="77777777" w:rsidR="000005F4" w:rsidRDefault="000005F4" w:rsidP="000005F4">
            <w:pPr>
              <w:pStyle w:val="TableTextNoSpace"/>
            </w:pPr>
            <w:r>
              <w:rPr>
                <w:lang w:val="en"/>
              </w:rPr>
              <w:t>The fund will aim to</w:t>
            </w:r>
            <w:r w:rsidRPr="00B8489F">
              <w:rPr>
                <w:lang w:val="en"/>
              </w:rPr>
              <w:t xml:space="preserve"> help fishermen in the transition to sustainable fishing; support coastal communities in diversifying their economies; finance </w:t>
            </w:r>
            <w:r w:rsidRPr="00B8489F">
              <w:t>projects</w:t>
            </w:r>
            <w:r w:rsidRPr="00B8489F">
              <w:rPr>
                <w:lang w:val="en"/>
              </w:rPr>
              <w:t xml:space="preserve"> that create new jobs and improve quality of life along European coasts. </w:t>
            </w:r>
            <w:r>
              <w:rPr>
                <w:lang w:val="en"/>
              </w:rPr>
              <w:t>The</w:t>
            </w:r>
            <w:r w:rsidRPr="00B8489F">
              <w:rPr>
                <w:lang w:val="en"/>
              </w:rPr>
              <w:t xml:space="preserve"> fund will support fisheries and aquaculture businesses to increase the sector's sustainability and guarantee its financial future.</w:t>
            </w:r>
          </w:p>
        </w:tc>
      </w:tr>
      <w:tr w:rsidR="000005F4" w14:paraId="226EF098" w14:textId="77777777" w:rsidTr="000005F4">
        <w:tc>
          <w:tcPr>
            <w:tcW w:w="1415" w:type="dxa"/>
            <w:shd w:val="clear" w:color="auto" w:fill="auto"/>
          </w:tcPr>
          <w:p w14:paraId="2B334FE1" w14:textId="77777777" w:rsidR="000005F4" w:rsidRPr="007B6DFE" w:rsidRDefault="000005F4" w:rsidP="000005F4">
            <w:pPr>
              <w:pStyle w:val="TableTextNoSpace"/>
              <w:rPr>
                <w:b/>
              </w:rPr>
            </w:pPr>
            <w:r>
              <w:rPr>
                <w:b/>
              </w:rPr>
              <w:t>Current use</w:t>
            </w:r>
          </w:p>
        </w:tc>
        <w:tc>
          <w:tcPr>
            <w:tcW w:w="7656" w:type="dxa"/>
            <w:shd w:val="clear" w:color="auto" w:fill="auto"/>
          </w:tcPr>
          <w:p w14:paraId="6A8C4639" w14:textId="28058FF9" w:rsidR="000005F4" w:rsidRPr="00891B82" w:rsidRDefault="00426383" w:rsidP="00D94488">
            <w:pPr>
              <w:pStyle w:val="TableTextNoSpace"/>
            </w:pPr>
            <w:r>
              <w:t xml:space="preserve">The EMFF funding period is for 2014-2020 however the Operational Programme has not yet been finalised. Its predecessor (for 2007-2013) was the European Fisheries Fund (EFF). The EFF was focussed on supporting the fisheries sector with </w:t>
            </w:r>
            <w:r w:rsidR="00D94488">
              <w:t>limited</w:t>
            </w:r>
            <w:r>
              <w:t xml:space="preserve"> reference to biodiversity and Natura 2000. The EFF is not thought to have been </w:t>
            </w:r>
            <w:r w:rsidR="00D94488">
              <w:t xml:space="preserve">widely </w:t>
            </w:r>
            <w:r>
              <w:t>applied to Natura 2000 during the 2007-2013 funding period.</w:t>
            </w:r>
          </w:p>
        </w:tc>
      </w:tr>
      <w:tr w:rsidR="000005F4" w14:paraId="2FEA7E19" w14:textId="77777777" w:rsidTr="000005F4">
        <w:tc>
          <w:tcPr>
            <w:tcW w:w="1415" w:type="dxa"/>
            <w:shd w:val="clear" w:color="auto" w:fill="auto"/>
          </w:tcPr>
          <w:p w14:paraId="1510C2AD" w14:textId="77777777" w:rsidR="000005F4" w:rsidRPr="007B6DFE" w:rsidRDefault="000005F4" w:rsidP="000005F4">
            <w:pPr>
              <w:pStyle w:val="TableTextNoSpace"/>
              <w:rPr>
                <w:b/>
              </w:rPr>
            </w:pPr>
            <w:r w:rsidRPr="007B6DFE">
              <w:rPr>
                <w:b/>
              </w:rPr>
              <w:t>Funding available</w:t>
            </w:r>
          </w:p>
        </w:tc>
        <w:tc>
          <w:tcPr>
            <w:tcW w:w="7656" w:type="dxa"/>
            <w:shd w:val="clear" w:color="auto" w:fill="auto"/>
          </w:tcPr>
          <w:p w14:paraId="3F0916F4" w14:textId="77777777" w:rsidR="000005F4" w:rsidRDefault="000005F4" w:rsidP="000005F4">
            <w:pPr>
              <w:pStyle w:val="TableTextNoSpace"/>
            </w:pPr>
            <w:r w:rsidRPr="00891B82">
              <w:t xml:space="preserve">For 2014-2020, Wales has been allocated 8.4% of the total UK allocation of EMFF funds, an increase on previous funding rounds, </w:t>
            </w:r>
            <w:r>
              <w:t xml:space="preserve">equating to approximately €20.4million. </w:t>
            </w:r>
          </w:p>
          <w:p w14:paraId="5AC259A4" w14:textId="77777777" w:rsidR="000005F4" w:rsidRPr="00B8489F" w:rsidRDefault="000005F4" w:rsidP="000005F4">
            <w:pPr>
              <w:pStyle w:val="TableTextNoSpace"/>
            </w:pPr>
            <w:r w:rsidRPr="00B8489F">
              <w:rPr>
                <w:lang w:val="en"/>
              </w:rPr>
              <w:t xml:space="preserve">Funding will go to projects that can deliver on the aims and objectives </w:t>
            </w:r>
            <w:r>
              <w:rPr>
                <w:lang w:val="en"/>
              </w:rPr>
              <w:t>detailed above.</w:t>
            </w:r>
          </w:p>
          <w:p w14:paraId="6CF5E1F6" w14:textId="77777777" w:rsidR="000005F4" w:rsidRPr="00B8489F" w:rsidRDefault="000005F4" w:rsidP="000005F4">
            <w:pPr>
              <w:pStyle w:val="TableTextNoSpace"/>
            </w:pPr>
            <w:r w:rsidRPr="00B8489F">
              <w:t>The EMFF primarily provides grant funding and is</w:t>
            </w:r>
            <w:r w:rsidRPr="00B8489F">
              <w:rPr>
                <w:lang w:val="en"/>
              </w:rPr>
              <w:t xml:space="preserve"> used to co-finance projects. It therefore also requires </w:t>
            </w:r>
            <w:r>
              <w:rPr>
                <w:lang w:val="en"/>
              </w:rPr>
              <w:t>match-</w:t>
            </w:r>
            <w:r w:rsidRPr="00B8489F">
              <w:rPr>
                <w:lang w:val="en"/>
              </w:rPr>
              <w:t xml:space="preserve">funding from public and private </w:t>
            </w:r>
            <w:r>
              <w:rPr>
                <w:lang w:val="en"/>
              </w:rPr>
              <w:t>sources</w:t>
            </w:r>
            <w:r w:rsidRPr="00B8489F">
              <w:rPr>
                <w:lang w:val="en"/>
              </w:rPr>
              <w:t xml:space="preserve">. The fund </w:t>
            </w:r>
            <w:r>
              <w:rPr>
                <w:lang w:val="en"/>
              </w:rPr>
              <w:t>is expected to</w:t>
            </w:r>
            <w:r w:rsidRPr="00B8489F">
              <w:rPr>
                <w:lang w:val="en"/>
              </w:rPr>
              <w:t xml:space="preserve"> be open for applications from 2015</w:t>
            </w:r>
            <w:r>
              <w:rPr>
                <w:lang w:val="en"/>
              </w:rPr>
              <w:t>.</w:t>
            </w:r>
          </w:p>
        </w:tc>
      </w:tr>
      <w:tr w:rsidR="000005F4" w14:paraId="0EEDBBFF" w14:textId="77777777" w:rsidTr="000005F4">
        <w:tc>
          <w:tcPr>
            <w:tcW w:w="1415" w:type="dxa"/>
            <w:shd w:val="clear" w:color="auto" w:fill="auto"/>
          </w:tcPr>
          <w:p w14:paraId="51F455EE" w14:textId="77777777" w:rsidR="000005F4" w:rsidRPr="007B6DFE" w:rsidRDefault="000005F4" w:rsidP="000005F4">
            <w:pPr>
              <w:pStyle w:val="TableTextNoSpace"/>
              <w:rPr>
                <w:b/>
              </w:rPr>
            </w:pPr>
            <w:r w:rsidRPr="007B6DFE">
              <w:rPr>
                <w:b/>
              </w:rPr>
              <w:t xml:space="preserve">Opportunities for Natura </w:t>
            </w:r>
            <w:r>
              <w:rPr>
                <w:b/>
              </w:rPr>
              <w:t>2000</w:t>
            </w:r>
          </w:p>
        </w:tc>
        <w:tc>
          <w:tcPr>
            <w:tcW w:w="7656" w:type="dxa"/>
            <w:shd w:val="clear" w:color="auto" w:fill="auto"/>
          </w:tcPr>
          <w:p w14:paraId="259164ED" w14:textId="77777777" w:rsidR="000005F4" w:rsidRPr="00B8489F" w:rsidRDefault="000005F4" w:rsidP="000005F4">
            <w:pPr>
              <w:pStyle w:val="TableTextNoSpace"/>
            </w:pPr>
            <w:r w:rsidRPr="00B8489F">
              <w:t>The EMFF is implemented through a UK EMFF Operational Programme (OP). The UK OP is due to be finalised by Spring 2015. The OP sets out the ‘measures’ (i.e. type of activities) that the fund will target, grouped under the five UPs. Proponents apply for funds under each of the UPs.</w:t>
            </w:r>
          </w:p>
          <w:p w14:paraId="55D9AD4A" w14:textId="787104CB" w:rsidR="000005F4" w:rsidRDefault="000005F4" w:rsidP="000005F4">
            <w:pPr>
              <w:pStyle w:val="TableTextNoSpace"/>
            </w:pPr>
            <w:r w:rsidRPr="00B8489F">
              <w:t xml:space="preserve">Article 18 of the Regulation stipulates that where appropriate the specific needs of Natura 2000 areas should be integrated into the EMFF OPs. The ‘measures’ </w:t>
            </w:r>
            <w:r>
              <w:t xml:space="preserve">(or ‘articles’) </w:t>
            </w:r>
            <w:r w:rsidRPr="00B8489F">
              <w:t xml:space="preserve">put forward in the UK OP for 2014-20 (see </w:t>
            </w:r>
            <w:r w:rsidRPr="00370860">
              <w:t xml:space="preserve">Annex </w:t>
            </w:r>
            <w:r w:rsidR="00370860" w:rsidRPr="00370860">
              <w:t>6</w:t>
            </w:r>
            <w:r w:rsidRPr="00B8489F">
              <w:t xml:space="preserve"> for full list &amp; detail)</w:t>
            </w:r>
            <w:r>
              <w:t xml:space="preserve"> include ‘direct’ opportunities – those</w:t>
            </w:r>
            <w:r w:rsidRPr="00B8489F">
              <w:t xml:space="preserve"> </w:t>
            </w:r>
            <w:r>
              <w:t>measures</w:t>
            </w:r>
            <w:r w:rsidRPr="00B8489F">
              <w:t xml:space="preserve"> which explicitly mention Natura 2000 </w:t>
            </w:r>
            <w:r>
              <w:t>and/or conservation, and more ‘indirect’ opportunities.</w:t>
            </w:r>
          </w:p>
          <w:p w14:paraId="07D276D4" w14:textId="77777777" w:rsidR="00426383" w:rsidRDefault="00426383" w:rsidP="00426383">
            <w:pPr>
              <w:pStyle w:val="TableTextNoSpace"/>
            </w:pPr>
            <w:r>
              <w:t xml:space="preserve">There are a number of direct links between the EMFF measures and relevant management actions for marine Natura 2000 sites, for example: </w:t>
            </w:r>
          </w:p>
          <w:p w14:paraId="30254C3A" w14:textId="77777777" w:rsidR="00426383" w:rsidRDefault="00426383" w:rsidP="00426383">
            <w:pPr>
              <w:pStyle w:val="TableBullet"/>
            </w:pPr>
            <w:r>
              <w:t>Article 35 could play a valuable role in strengthening the evidence base for Natura 2000 management, through collaborative investigations into species and habitat features. In line with other marine protected areas, this could also yield benefits for local fisheries.</w:t>
            </w:r>
          </w:p>
          <w:p w14:paraId="21EA232A" w14:textId="22D1C893" w:rsidR="00426383" w:rsidRPr="00767FB9" w:rsidRDefault="00426383" w:rsidP="00426383">
            <w:pPr>
              <w:pStyle w:val="TableBullet"/>
            </w:pPr>
            <w:r w:rsidRPr="00767FB9">
              <w:t>Article 40(1)</w:t>
            </w:r>
            <w:r>
              <w:t xml:space="preserve"> relates to ‘fishing for litter’ projects</w:t>
            </w:r>
            <w:r w:rsidRPr="00767FB9">
              <w:t>.</w:t>
            </w:r>
          </w:p>
          <w:p w14:paraId="68B1FAC1" w14:textId="77777777" w:rsidR="000005F4" w:rsidRDefault="000005F4" w:rsidP="000005F4">
            <w:pPr>
              <w:pStyle w:val="TableBullet"/>
              <w:numPr>
                <w:ilvl w:val="0"/>
                <w:numId w:val="0"/>
              </w:numPr>
              <w:ind w:left="57"/>
            </w:pPr>
            <w:r w:rsidRPr="00767FB9">
              <w:t>The analysis is based on the measures as put forward in the EMFF Public Consultation document. It is anticipated that there will be some</w:t>
            </w:r>
            <w:r>
              <w:t xml:space="preserve"> changes between this and the final set of measures put forward in Spring 2015.  </w:t>
            </w:r>
          </w:p>
        </w:tc>
      </w:tr>
      <w:tr w:rsidR="000005F4" w14:paraId="7012B95F" w14:textId="77777777" w:rsidTr="000005F4">
        <w:tc>
          <w:tcPr>
            <w:tcW w:w="1415" w:type="dxa"/>
            <w:shd w:val="clear" w:color="auto" w:fill="auto"/>
          </w:tcPr>
          <w:p w14:paraId="5151DF1B" w14:textId="77777777" w:rsidR="000005F4" w:rsidRPr="007B6DFE" w:rsidRDefault="000005F4" w:rsidP="000005F4">
            <w:pPr>
              <w:pStyle w:val="TableTextNoSpace"/>
              <w:rPr>
                <w:b/>
              </w:rPr>
            </w:pPr>
            <w:r w:rsidRPr="007B6DFE">
              <w:rPr>
                <w:b/>
              </w:rPr>
              <w:t>Limitations &amp; constraints</w:t>
            </w:r>
          </w:p>
        </w:tc>
        <w:tc>
          <w:tcPr>
            <w:tcW w:w="7656" w:type="dxa"/>
            <w:shd w:val="clear" w:color="auto" w:fill="auto"/>
          </w:tcPr>
          <w:p w14:paraId="4CE8F4DC" w14:textId="77777777" w:rsidR="000005F4" w:rsidRDefault="000005F4" w:rsidP="000005F4">
            <w:pPr>
              <w:pStyle w:val="TableBullet"/>
            </w:pPr>
            <w:r>
              <w:t>Limited budget (£20 million over 7 years for whole of Wales EMFF) and competing priorities for this.</w:t>
            </w:r>
          </w:p>
          <w:p w14:paraId="200684E6" w14:textId="673A9860" w:rsidR="000005F4" w:rsidRDefault="000005F4" w:rsidP="000005F4">
            <w:pPr>
              <w:pStyle w:val="TableBullet"/>
            </w:pPr>
            <w:r>
              <w:t xml:space="preserve">While opportunities to fund Natura 2000 actions are available in theory, there are competing priorities and it is unclear whether these opportunities will be taken up in practice, particularly if there is little or no direct relevance to the long term </w:t>
            </w:r>
            <w:r w:rsidR="00426383">
              <w:t xml:space="preserve">sustainability </w:t>
            </w:r>
            <w:r>
              <w:t>of the fisheries sector.</w:t>
            </w:r>
          </w:p>
          <w:p w14:paraId="35253164" w14:textId="198F265A" w:rsidR="000005F4" w:rsidRDefault="000005F4" w:rsidP="000005F4">
            <w:pPr>
              <w:pStyle w:val="TableBullet"/>
            </w:pPr>
            <w:r>
              <w:t xml:space="preserve">Difficulties in attaining </w:t>
            </w:r>
            <w:r w:rsidR="00426383">
              <w:t>match funding</w:t>
            </w:r>
            <w:r>
              <w:t>.</w:t>
            </w:r>
          </w:p>
          <w:p w14:paraId="6EE487E4" w14:textId="77777777" w:rsidR="000005F4" w:rsidRDefault="000005F4" w:rsidP="000005F4">
            <w:pPr>
              <w:pStyle w:val="TableBullet"/>
            </w:pPr>
            <w:r>
              <w:t>Time/cost of developing proposals are often disproportionate to the amount being sought</w:t>
            </w:r>
          </w:p>
          <w:p w14:paraId="503E295E" w14:textId="77777777" w:rsidR="000005F4" w:rsidRDefault="000005F4" w:rsidP="000005F4">
            <w:pPr>
              <w:pStyle w:val="TableBullet"/>
            </w:pPr>
            <w:r>
              <w:t>The Welsh Government (responsible for commercial fisheries) is not a Relevant Authority and therefore fisheries may not have a place in European Marine Site management groups (which are typically made up of the Relevant Authorities with statutory duties associated with the site). This may limit the group’s focus on fisheries-related issues and hence ability to access the EMFF.</w:t>
            </w:r>
          </w:p>
          <w:p w14:paraId="7BC5D895" w14:textId="77777777" w:rsidR="000005F4" w:rsidRPr="00B8489F" w:rsidRDefault="000005F4" w:rsidP="000005F4">
            <w:pPr>
              <w:pStyle w:val="TableBullet"/>
            </w:pPr>
            <w:r>
              <w:t xml:space="preserve">Many fisheries-related conservation issues are not site-specific, but relevant across wider areas (possibly national), which can limit the impetus for pursuing related actions (and hence EMFF money) at site-level. </w:t>
            </w:r>
          </w:p>
        </w:tc>
      </w:tr>
      <w:tr w:rsidR="000005F4" w14:paraId="301B090D" w14:textId="77777777" w:rsidTr="000005F4">
        <w:tc>
          <w:tcPr>
            <w:tcW w:w="1415" w:type="dxa"/>
            <w:shd w:val="clear" w:color="auto" w:fill="auto"/>
          </w:tcPr>
          <w:p w14:paraId="195E6B6C" w14:textId="77777777" w:rsidR="000005F4" w:rsidRPr="007B6DFE" w:rsidRDefault="000005F4" w:rsidP="000005F4">
            <w:pPr>
              <w:pStyle w:val="TableTextNoSpace"/>
              <w:rPr>
                <w:b/>
              </w:rPr>
            </w:pPr>
            <w:r w:rsidRPr="007B6DFE">
              <w:rPr>
                <w:b/>
              </w:rPr>
              <w:t>Increasing uptake &amp; integration</w:t>
            </w:r>
          </w:p>
        </w:tc>
        <w:tc>
          <w:tcPr>
            <w:tcW w:w="7656" w:type="dxa"/>
            <w:shd w:val="clear" w:color="auto" w:fill="auto"/>
          </w:tcPr>
          <w:p w14:paraId="2FB1C8CB" w14:textId="0D5D6F60" w:rsidR="00426383" w:rsidRDefault="00426383" w:rsidP="00426383">
            <w:pPr>
              <w:pStyle w:val="TableBullet"/>
            </w:pPr>
            <w:r>
              <w:t>Strategic engagement between Welsh Government fisheries unit and EMS Relevant Authority groups could identify opportunities for development of funding programmes aligned with the needs of Natura 2000 sites and the fisheries sector.</w:t>
            </w:r>
          </w:p>
          <w:p w14:paraId="3661119D" w14:textId="77777777" w:rsidR="000005F4" w:rsidRDefault="000005F4" w:rsidP="000005F4">
            <w:pPr>
              <w:pStyle w:val="TableBullet"/>
            </w:pPr>
            <w:r>
              <w:t>Engagement with universities and research institutions could help develop evidence and monitoring programmes that could be supported under the EMFF.</w:t>
            </w:r>
          </w:p>
          <w:p w14:paraId="44ED8508" w14:textId="77777777" w:rsidR="000005F4" w:rsidRDefault="000005F4" w:rsidP="000005F4">
            <w:pPr>
              <w:pStyle w:val="TableBullet"/>
            </w:pPr>
            <w:r>
              <w:t>Centralised co-ordination of related management and funding needs could overcome limitations regarding (1) the mismatch in spatial scale of EMSs and fisheries issues; and (2) efficiencies in the bidding process, drawing on centralised expertise and/or through amalgamation of similar project ideas/funding bids into single items.</w:t>
            </w:r>
          </w:p>
          <w:p w14:paraId="67156B4E" w14:textId="77777777" w:rsidR="000005F4" w:rsidRDefault="000005F4" w:rsidP="000005F4">
            <w:pPr>
              <w:pStyle w:val="TableBullet"/>
            </w:pPr>
            <w:r>
              <w:t>Publicising the specific opportunities that can be identified in the EMFF OP when it is published in order to overcome pre-conceived ideas about its relevance that were formed based on the EFF.</w:t>
            </w:r>
          </w:p>
          <w:p w14:paraId="3BC282A7" w14:textId="77777777" w:rsidR="000005F4" w:rsidRPr="00B8489F" w:rsidRDefault="000005F4" w:rsidP="000005F4">
            <w:pPr>
              <w:pStyle w:val="TableBullet"/>
            </w:pPr>
            <w:r>
              <w:t>Demonstrating the potential benefits of Natura 2000 management actions for fisheries and other social and economic objectives (e.g. through ecosystem service benefits) will improve competitive position of funding applications.</w:t>
            </w:r>
          </w:p>
        </w:tc>
      </w:tr>
      <w:tr w:rsidR="000005F4" w14:paraId="641B50E5" w14:textId="77777777" w:rsidTr="000005F4">
        <w:tc>
          <w:tcPr>
            <w:tcW w:w="1415" w:type="dxa"/>
            <w:shd w:val="clear" w:color="auto" w:fill="auto"/>
          </w:tcPr>
          <w:p w14:paraId="1836FD09" w14:textId="77777777" w:rsidR="000005F4" w:rsidRPr="007B6DFE" w:rsidRDefault="000005F4" w:rsidP="000005F4">
            <w:pPr>
              <w:pStyle w:val="TableTextNoSpace"/>
              <w:rPr>
                <w:b/>
              </w:rPr>
            </w:pPr>
            <w:r w:rsidRPr="007B6DFE">
              <w:rPr>
                <w:b/>
              </w:rPr>
              <w:t>Useful references &amp; links</w:t>
            </w:r>
          </w:p>
        </w:tc>
        <w:tc>
          <w:tcPr>
            <w:tcW w:w="7656" w:type="dxa"/>
            <w:shd w:val="clear" w:color="auto" w:fill="auto"/>
          </w:tcPr>
          <w:p w14:paraId="1095F66C" w14:textId="77777777" w:rsidR="000005F4" w:rsidRPr="002B5CE0" w:rsidRDefault="000005F4" w:rsidP="00B45B8C">
            <w:pPr>
              <w:pStyle w:val="TableTextNoSpace"/>
              <w:jc w:val="left"/>
              <w:rPr>
                <w:szCs w:val="18"/>
              </w:rPr>
            </w:pPr>
            <w:r w:rsidRPr="004406D5">
              <w:rPr>
                <w:szCs w:val="18"/>
              </w:rPr>
              <w:t>Defra (2014). EMFF Public Consultation. https://consult.defra.gov.uk/fisheries/european-mar</w:t>
            </w:r>
            <w:r>
              <w:rPr>
                <w:szCs w:val="18"/>
              </w:rPr>
              <w:t xml:space="preserve">itime-and-fisheries-fund-in-the </w:t>
            </w:r>
            <w:r w:rsidRPr="004406D5">
              <w:rPr>
                <w:szCs w:val="18"/>
              </w:rPr>
              <w:t>uk/supporting_documents/Consultation%20document%20%20European%20Maritime%20and%20Fisheries%20Fund.pdf</w:t>
            </w:r>
            <w:r>
              <w:rPr>
                <w:szCs w:val="18"/>
              </w:rPr>
              <w:t xml:space="preserve"> </w:t>
            </w:r>
          </w:p>
        </w:tc>
      </w:tr>
    </w:tbl>
    <w:p w14:paraId="06FB3BDC" w14:textId="77777777" w:rsidR="000005F4" w:rsidRDefault="000005F4" w:rsidP="004A3815">
      <w:pPr>
        <w:pStyle w:val="Heading2NoNumb"/>
      </w:pPr>
      <w:bookmarkStart w:id="284" w:name="_Toc408851008"/>
      <w:bookmarkStart w:id="285" w:name="_Toc408138016"/>
      <w:bookmarkStart w:id="286" w:name="_Toc421880684"/>
      <w:r>
        <w:t>European Regional Development Fund</w:t>
      </w:r>
      <w:bookmarkEnd w:id="284"/>
      <w:bookmarkEnd w:id="286"/>
      <w:r>
        <w:t xml:space="preserve"> </w:t>
      </w:r>
    </w:p>
    <w:tbl>
      <w:tblPr>
        <w:tblW w:w="9071" w:type="dxa"/>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Layout w:type="fixed"/>
        <w:tblCellMar>
          <w:top w:w="57" w:type="dxa"/>
          <w:left w:w="0" w:type="dxa"/>
          <w:bottom w:w="28" w:type="dxa"/>
          <w:right w:w="0" w:type="dxa"/>
        </w:tblCellMar>
        <w:tblLook w:val="0000" w:firstRow="0" w:lastRow="0" w:firstColumn="0" w:lastColumn="0" w:noHBand="0" w:noVBand="0"/>
      </w:tblPr>
      <w:tblGrid>
        <w:gridCol w:w="1415"/>
        <w:gridCol w:w="7656"/>
      </w:tblGrid>
      <w:tr w:rsidR="000005F4" w14:paraId="6B1314FC" w14:textId="77777777" w:rsidTr="000005F4">
        <w:trPr>
          <w:cantSplit/>
        </w:trPr>
        <w:tc>
          <w:tcPr>
            <w:tcW w:w="1415" w:type="dxa"/>
            <w:shd w:val="clear" w:color="auto" w:fill="auto"/>
          </w:tcPr>
          <w:p w14:paraId="6F341227" w14:textId="77777777" w:rsidR="000005F4" w:rsidRDefault="000005F4" w:rsidP="000005F4">
            <w:pPr>
              <w:pStyle w:val="TableHeading"/>
            </w:pPr>
          </w:p>
        </w:tc>
        <w:tc>
          <w:tcPr>
            <w:tcW w:w="7656" w:type="dxa"/>
            <w:shd w:val="solid" w:color="0067AB" w:fill="0067AB"/>
          </w:tcPr>
          <w:p w14:paraId="3BA95AF4" w14:textId="77777777" w:rsidR="000005F4" w:rsidRDefault="000005F4" w:rsidP="000005F4">
            <w:pPr>
              <w:pStyle w:val="TableHeadingWhite"/>
            </w:pPr>
          </w:p>
        </w:tc>
      </w:tr>
      <w:tr w:rsidR="000005F4" w14:paraId="6F07348E" w14:textId="77777777" w:rsidTr="000005F4">
        <w:tc>
          <w:tcPr>
            <w:tcW w:w="1415" w:type="dxa"/>
            <w:shd w:val="clear" w:color="auto" w:fill="auto"/>
          </w:tcPr>
          <w:p w14:paraId="5618F949" w14:textId="77777777" w:rsidR="000005F4" w:rsidRPr="007B6DFE" w:rsidRDefault="000005F4" w:rsidP="000005F4">
            <w:pPr>
              <w:pStyle w:val="TableTextNoSpace"/>
              <w:rPr>
                <w:b/>
              </w:rPr>
            </w:pPr>
            <w:r>
              <w:rPr>
                <w:b/>
              </w:rPr>
              <w:t>Objectives</w:t>
            </w:r>
          </w:p>
        </w:tc>
        <w:tc>
          <w:tcPr>
            <w:tcW w:w="7656" w:type="dxa"/>
            <w:shd w:val="clear" w:color="auto" w:fill="auto"/>
          </w:tcPr>
          <w:p w14:paraId="17205B89" w14:textId="77777777" w:rsidR="000005F4" w:rsidRDefault="000005F4" w:rsidP="000005F4">
            <w:pPr>
              <w:pStyle w:val="Bullet1"/>
              <w:numPr>
                <w:ilvl w:val="0"/>
                <w:numId w:val="0"/>
              </w:numPr>
              <w:ind w:left="340" w:hanging="340"/>
            </w:pPr>
            <w:r>
              <w:t xml:space="preserve"> The ERDF is one of the key EU Structural Funds financing economic development in</w:t>
            </w:r>
          </w:p>
          <w:p w14:paraId="55FCBEFF" w14:textId="6A6004B4" w:rsidR="000005F4" w:rsidRDefault="000005F4" w:rsidP="00426383">
            <w:pPr>
              <w:pStyle w:val="Bullet1"/>
              <w:numPr>
                <w:ilvl w:val="0"/>
                <w:numId w:val="0"/>
              </w:numPr>
              <w:ind w:left="340" w:hanging="340"/>
            </w:pPr>
            <w:r>
              <w:t xml:space="preserve"> Wales, and focuses</w:t>
            </w:r>
            <w:r w:rsidR="00426383">
              <w:t xml:space="preserve"> on the following areas:</w:t>
            </w:r>
          </w:p>
          <w:p w14:paraId="5C3824A3" w14:textId="77777777" w:rsidR="000005F4" w:rsidRDefault="000005F4" w:rsidP="000005F4">
            <w:pPr>
              <w:pStyle w:val="Bullet1"/>
            </w:pPr>
            <w:r>
              <w:t xml:space="preserve">SME competitiveness </w:t>
            </w:r>
          </w:p>
          <w:p w14:paraId="70E25F8C" w14:textId="137877D6" w:rsidR="000005F4" w:rsidRDefault="00B964B9" w:rsidP="000005F4">
            <w:pPr>
              <w:pStyle w:val="Bullet1"/>
            </w:pPr>
            <w:r>
              <w:t>Research and development</w:t>
            </w:r>
            <w:r w:rsidR="000005F4">
              <w:t xml:space="preserve"> and innovation </w:t>
            </w:r>
          </w:p>
          <w:p w14:paraId="37787200" w14:textId="77777777" w:rsidR="000005F4" w:rsidRDefault="000005F4" w:rsidP="000005F4">
            <w:pPr>
              <w:pStyle w:val="Bullet1"/>
            </w:pPr>
            <w:r>
              <w:t xml:space="preserve">Renewable energy </w:t>
            </w:r>
          </w:p>
          <w:p w14:paraId="22BA3275" w14:textId="77777777" w:rsidR="000005F4" w:rsidRDefault="000005F4" w:rsidP="000005F4">
            <w:pPr>
              <w:pStyle w:val="Bullet1"/>
            </w:pPr>
            <w:r>
              <w:t xml:space="preserve">Digital connectivity  </w:t>
            </w:r>
          </w:p>
          <w:p w14:paraId="5C2E7EC8" w14:textId="77777777" w:rsidR="000005F4" w:rsidRDefault="000005F4" w:rsidP="000005F4">
            <w:pPr>
              <w:pStyle w:val="Bullet1"/>
              <w:numPr>
                <w:ilvl w:val="0"/>
                <w:numId w:val="0"/>
              </w:numPr>
            </w:pPr>
            <w:r>
              <w:t xml:space="preserve"> These link to cross-cutting Structural Fund themes, including Sustainable</w:t>
            </w:r>
          </w:p>
          <w:p w14:paraId="7EC2950C" w14:textId="77777777" w:rsidR="000005F4" w:rsidRDefault="000005F4" w:rsidP="000005F4">
            <w:pPr>
              <w:pStyle w:val="Bullet1"/>
              <w:numPr>
                <w:ilvl w:val="0"/>
                <w:numId w:val="0"/>
              </w:numPr>
            </w:pPr>
            <w:r>
              <w:t xml:space="preserve"> Development </w:t>
            </w:r>
          </w:p>
          <w:p w14:paraId="09DCD7C3" w14:textId="77777777" w:rsidR="000005F4" w:rsidRDefault="000005F4" w:rsidP="000005F4">
            <w:pPr>
              <w:pStyle w:val="Bullet1"/>
              <w:numPr>
                <w:ilvl w:val="0"/>
                <w:numId w:val="0"/>
              </w:numPr>
            </w:pPr>
            <w:r>
              <w:t xml:space="preserve"> ERDF resources allocated to these priorities depend on the category of the region: </w:t>
            </w:r>
          </w:p>
          <w:p w14:paraId="784E049D" w14:textId="77777777" w:rsidR="000005F4" w:rsidRDefault="000005F4" w:rsidP="00B45B8C">
            <w:pPr>
              <w:pStyle w:val="TableBullet"/>
            </w:pPr>
            <w:r>
              <w:t>In more developed regions, at least 80% of funds must focus on at least two of the priorities. In Wales, this includes the 7 councils in the East Wales region.</w:t>
            </w:r>
          </w:p>
          <w:p w14:paraId="641404C0" w14:textId="441FAC62" w:rsidR="000005F4" w:rsidRPr="005456F6" w:rsidRDefault="00B964B9" w:rsidP="00B45B8C">
            <w:pPr>
              <w:pStyle w:val="TableBullet"/>
            </w:pPr>
            <w:r>
              <w:t xml:space="preserve">In less developed regions, the figure </w:t>
            </w:r>
            <w:r w:rsidR="00B45B8C">
              <w:t>is 50%</w:t>
            </w:r>
            <w:r w:rsidR="000005F4">
              <w:t>. In Wales, this includes the 15 councils in the West Wales and the Valleys region.</w:t>
            </w:r>
          </w:p>
        </w:tc>
      </w:tr>
      <w:tr w:rsidR="000005F4" w14:paraId="1C3E9120" w14:textId="77777777" w:rsidTr="000005F4">
        <w:tc>
          <w:tcPr>
            <w:tcW w:w="1415" w:type="dxa"/>
            <w:shd w:val="clear" w:color="auto" w:fill="auto"/>
          </w:tcPr>
          <w:p w14:paraId="027820A1" w14:textId="77777777" w:rsidR="000005F4" w:rsidRPr="007B6DFE" w:rsidRDefault="000005F4" w:rsidP="000005F4">
            <w:pPr>
              <w:pStyle w:val="TableTextNoSpace"/>
              <w:rPr>
                <w:b/>
              </w:rPr>
            </w:pPr>
            <w:r w:rsidRPr="007B6DFE">
              <w:rPr>
                <w:b/>
              </w:rPr>
              <w:t>Funding available</w:t>
            </w:r>
          </w:p>
        </w:tc>
        <w:tc>
          <w:tcPr>
            <w:tcW w:w="7656" w:type="dxa"/>
            <w:shd w:val="clear" w:color="auto" w:fill="auto"/>
          </w:tcPr>
          <w:p w14:paraId="55886979" w14:textId="77777777" w:rsidR="000005F4" w:rsidRPr="00A624C0" w:rsidRDefault="000005F4" w:rsidP="000005F4">
            <w:pPr>
              <w:pStyle w:val="Bullet1"/>
              <w:numPr>
                <w:ilvl w:val="0"/>
                <w:numId w:val="0"/>
              </w:numPr>
              <w:ind w:left="340" w:hanging="340"/>
            </w:pPr>
            <w:r>
              <w:t xml:space="preserve"> Total ERDF funds for 2014-2020 are expected to amount to </w:t>
            </w:r>
            <w:r w:rsidRPr="006F0C8C">
              <w:rPr>
                <w:b/>
              </w:rPr>
              <w:t>€</w:t>
            </w:r>
            <w:r>
              <w:rPr>
                <w:b/>
              </w:rPr>
              <w:t>1.13bn:</w:t>
            </w:r>
          </w:p>
          <w:p w14:paraId="6D432E82" w14:textId="77777777" w:rsidR="000005F4" w:rsidRDefault="000005F4" w:rsidP="000005F4">
            <w:pPr>
              <w:pStyle w:val="Bullet1"/>
            </w:pPr>
            <w:r>
              <w:t xml:space="preserve">£962m to West Wales </w:t>
            </w:r>
          </w:p>
          <w:p w14:paraId="455C231E" w14:textId="77777777" w:rsidR="000005F4" w:rsidRDefault="000005F4" w:rsidP="000005F4">
            <w:pPr>
              <w:pStyle w:val="Bullet1"/>
            </w:pPr>
            <w:r>
              <w:t>£162m to East Wales</w:t>
            </w:r>
          </w:p>
          <w:p w14:paraId="7ABC1355" w14:textId="77777777" w:rsidR="000005F4" w:rsidRPr="00B8489F" w:rsidRDefault="000005F4" w:rsidP="000005F4">
            <w:pPr>
              <w:pStyle w:val="Bullet1"/>
            </w:pPr>
            <w:r>
              <w:t>Relevant areas for funding in Wales include £310m for research and innovation and £198m to strengthen SME competitiveness</w:t>
            </w:r>
          </w:p>
        </w:tc>
      </w:tr>
      <w:tr w:rsidR="000005F4" w14:paraId="5F50D7DA" w14:textId="77777777" w:rsidTr="000005F4">
        <w:tc>
          <w:tcPr>
            <w:tcW w:w="1415" w:type="dxa"/>
            <w:shd w:val="clear" w:color="auto" w:fill="auto"/>
          </w:tcPr>
          <w:p w14:paraId="27524C2C" w14:textId="77777777" w:rsidR="000005F4" w:rsidRPr="007B6DFE" w:rsidRDefault="000005F4" w:rsidP="000005F4">
            <w:pPr>
              <w:pStyle w:val="TableTextNoSpace"/>
              <w:rPr>
                <w:b/>
              </w:rPr>
            </w:pPr>
            <w:r w:rsidRPr="007B6DFE">
              <w:rPr>
                <w:b/>
              </w:rPr>
              <w:t xml:space="preserve">Opportunities for Natura </w:t>
            </w:r>
            <w:r>
              <w:rPr>
                <w:b/>
              </w:rPr>
              <w:t>2000</w:t>
            </w:r>
          </w:p>
        </w:tc>
        <w:tc>
          <w:tcPr>
            <w:tcW w:w="7656" w:type="dxa"/>
            <w:shd w:val="clear" w:color="auto" w:fill="auto"/>
          </w:tcPr>
          <w:p w14:paraId="1B40FBC5" w14:textId="4CB209A3" w:rsidR="000005F4" w:rsidRDefault="000005F4" w:rsidP="00B45B8C">
            <w:pPr>
              <w:pStyle w:val="TableBullet"/>
            </w:pPr>
            <w:r w:rsidRPr="00CB3CEE">
              <w:t>In the context of N</w:t>
            </w:r>
            <w:r>
              <w:t>atura 2000</w:t>
            </w:r>
            <w:r w:rsidRPr="00CB3CEE">
              <w:t>, such a large alloca</w:t>
            </w:r>
            <w:r>
              <w:t xml:space="preserve">tion for research and innovation could be valuable for the network although there are likely to be many competing needs, eg. industrial and commercial </w:t>
            </w:r>
            <w:r w:rsidR="00B964B9">
              <w:t>research and development, etc.</w:t>
            </w:r>
            <w:r>
              <w:t>.</w:t>
            </w:r>
            <w:r w:rsidRPr="00CB3CEE">
              <w:t xml:space="preserve"> </w:t>
            </w:r>
          </w:p>
          <w:p w14:paraId="2707687E" w14:textId="77777777" w:rsidR="000005F4" w:rsidRDefault="000005F4" w:rsidP="00B45B8C">
            <w:pPr>
              <w:pStyle w:val="TableBullet"/>
            </w:pPr>
            <w:r>
              <w:t>The ERDF could be used</w:t>
            </w:r>
            <w:r w:rsidRPr="00CB3CEE">
              <w:t xml:space="preserve"> develop </w:t>
            </w:r>
            <w:r>
              <w:t xml:space="preserve">innovative financing mechanisms, particularly those around tourism and recreation </w:t>
            </w:r>
            <w:r w:rsidRPr="00CB3CEE">
              <w:t>(which may also fall under the ‘SME competitiveness’ category)</w:t>
            </w:r>
          </w:p>
          <w:p w14:paraId="62407EE4" w14:textId="18B66B77" w:rsidR="000005F4" w:rsidRPr="005456F6" w:rsidRDefault="000005F4" w:rsidP="00B45B8C">
            <w:pPr>
              <w:pStyle w:val="TableBullet"/>
            </w:pPr>
            <w:r>
              <w:t xml:space="preserve">There are strong synergies between these funding </w:t>
            </w:r>
            <w:r w:rsidR="00B964B9">
              <w:t xml:space="preserve">priorities </w:t>
            </w:r>
            <w:r>
              <w:t>and the focus of other relevant funds, such as the EMFF</w:t>
            </w:r>
          </w:p>
        </w:tc>
      </w:tr>
      <w:tr w:rsidR="000005F4" w14:paraId="6D6274E6" w14:textId="77777777" w:rsidTr="000005F4">
        <w:tc>
          <w:tcPr>
            <w:tcW w:w="1415" w:type="dxa"/>
            <w:shd w:val="clear" w:color="auto" w:fill="auto"/>
          </w:tcPr>
          <w:p w14:paraId="3B75BD08" w14:textId="77777777" w:rsidR="000005F4" w:rsidRPr="007B6DFE" w:rsidRDefault="000005F4" w:rsidP="000005F4">
            <w:pPr>
              <w:pStyle w:val="TableTextNoSpace"/>
              <w:rPr>
                <w:b/>
              </w:rPr>
            </w:pPr>
            <w:r w:rsidRPr="007B6DFE">
              <w:rPr>
                <w:b/>
              </w:rPr>
              <w:t>Limitations &amp; constraints</w:t>
            </w:r>
          </w:p>
        </w:tc>
        <w:tc>
          <w:tcPr>
            <w:tcW w:w="7656" w:type="dxa"/>
            <w:shd w:val="clear" w:color="auto" w:fill="auto"/>
          </w:tcPr>
          <w:p w14:paraId="2EE1B8E5" w14:textId="77777777" w:rsidR="000005F4" w:rsidRDefault="000005F4" w:rsidP="000005F4">
            <w:pPr>
              <w:pStyle w:val="TableBullet"/>
            </w:pPr>
            <w:r>
              <w:t xml:space="preserve">Technical capacities and resource commitments to develop bids represent major barriers to uptake </w:t>
            </w:r>
          </w:p>
          <w:p w14:paraId="247EECA1" w14:textId="77777777" w:rsidR="000005F4" w:rsidRDefault="000005F4" w:rsidP="000005F4">
            <w:pPr>
              <w:pStyle w:val="TableBullet"/>
            </w:pPr>
            <w:r>
              <w:t xml:space="preserve">Match-funding is also a major barrier  </w:t>
            </w:r>
          </w:p>
          <w:p w14:paraId="3448A23F" w14:textId="77777777" w:rsidR="000005F4" w:rsidRDefault="000005F4" w:rsidP="000005F4">
            <w:pPr>
              <w:pStyle w:val="TableBullet"/>
            </w:pPr>
            <w:r>
              <w:t>While the overall scale of ERDF funding is large, there are many competing priorities for economic development funding and business support</w:t>
            </w:r>
          </w:p>
          <w:p w14:paraId="618528D8" w14:textId="77777777" w:rsidR="000005F4" w:rsidRDefault="000005F4" w:rsidP="000005F4">
            <w:pPr>
              <w:pStyle w:val="TableBullet"/>
            </w:pPr>
            <w:r>
              <w:t>Funding for Natura 2000 depends on an ability to demonstrate economic development benefits; natural capital investments are often perceived as a lower priority than business support and infrastructure investments</w:t>
            </w:r>
          </w:p>
          <w:p w14:paraId="4C7CDE21" w14:textId="77777777" w:rsidR="000005F4" w:rsidRPr="00B8489F" w:rsidRDefault="000005F4" w:rsidP="000005F4">
            <w:pPr>
              <w:pStyle w:val="TableBullet"/>
            </w:pPr>
            <w:r>
              <w:t>Focus on capital projects, rather than ongoing revenue funding, places some limits on relevance for Natura 2000, for which ongoing management and monitoring account for a large proportion of identified funding needs</w:t>
            </w:r>
          </w:p>
        </w:tc>
      </w:tr>
      <w:tr w:rsidR="000005F4" w14:paraId="320F0B87" w14:textId="77777777" w:rsidTr="000005F4">
        <w:tc>
          <w:tcPr>
            <w:tcW w:w="1415" w:type="dxa"/>
            <w:shd w:val="clear" w:color="auto" w:fill="auto"/>
          </w:tcPr>
          <w:p w14:paraId="752B7E62" w14:textId="77777777" w:rsidR="000005F4" w:rsidRPr="007B6DFE" w:rsidRDefault="000005F4" w:rsidP="000005F4">
            <w:pPr>
              <w:pStyle w:val="TableTextNoSpace"/>
              <w:rPr>
                <w:b/>
              </w:rPr>
            </w:pPr>
            <w:r w:rsidRPr="007B6DFE">
              <w:rPr>
                <w:b/>
              </w:rPr>
              <w:t>Increasing uptake &amp; integration</w:t>
            </w:r>
          </w:p>
        </w:tc>
        <w:tc>
          <w:tcPr>
            <w:tcW w:w="7656" w:type="dxa"/>
            <w:shd w:val="clear" w:color="auto" w:fill="auto"/>
          </w:tcPr>
          <w:p w14:paraId="209C65EC" w14:textId="77777777" w:rsidR="000005F4" w:rsidRDefault="000005F4" w:rsidP="000005F4">
            <w:pPr>
              <w:pStyle w:val="TableBullet"/>
            </w:pPr>
            <w:r>
              <w:t xml:space="preserve">Expansion and wider use of the WEFO Targeted Match Funding Facility </w:t>
            </w:r>
          </w:p>
          <w:p w14:paraId="2AFECD00" w14:textId="77777777" w:rsidR="000005F4" w:rsidRDefault="000005F4" w:rsidP="000005F4">
            <w:pPr>
              <w:pStyle w:val="TableBullet"/>
            </w:pPr>
            <w:r>
              <w:t xml:space="preserve">Identification of good project proposals with demonstrable economic benefits </w:t>
            </w:r>
          </w:p>
          <w:p w14:paraId="0C0B50AB" w14:textId="77777777" w:rsidR="000005F4" w:rsidRDefault="000005F4" w:rsidP="000005F4">
            <w:pPr>
              <w:pStyle w:val="TableBullet"/>
            </w:pPr>
            <w:r>
              <w:t xml:space="preserve">Wider engagement with universities and SMEs around Natura 2000, perhaps with expansion of the </w:t>
            </w:r>
            <w:r w:rsidRPr="00CB3CEE">
              <w:t>SCORE Cymr</w:t>
            </w:r>
            <w:r>
              <w:t xml:space="preserve">u research support fund to include consortia partners - since this can be instrumental in the development of partnerships </w:t>
            </w:r>
          </w:p>
          <w:p w14:paraId="29227788" w14:textId="77777777" w:rsidR="000005F4" w:rsidRDefault="000005F4" w:rsidP="000005F4">
            <w:pPr>
              <w:pStyle w:val="TableBullet"/>
            </w:pPr>
            <w:r>
              <w:t xml:space="preserve">Establishing a pool of experts in proposal writing and evaluation </w:t>
            </w:r>
          </w:p>
          <w:p w14:paraId="2A5053DB" w14:textId="77777777" w:rsidR="000005F4" w:rsidRDefault="000005F4" w:rsidP="000005F4">
            <w:pPr>
              <w:pStyle w:val="TableBullet"/>
            </w:pPr>
            <w:r>
              <w:t xml:space="preserve">Use of the NRW Partnership Working Fund to engage organisations such as SMEs, universities and Local Action Groups/Fisheries Local Action Groups </w:t>
            </w:r>
          </w:p>
          <w:p w14:paraId="66ADBBEB" w14:textId="0E250CA3" w:rsidR="000005F4" w:rsidRPr="00B8489F" w:rsidRDefault="000005F4" w:rsidP="00B964B9">
            <w:pPr>
              <w:pStyle w:val="TableBullet"/>
            </w:pPr>
            <w:r>
              <w:t xml:space="preserve">Further development of innovative </w:t>
            </w:r>
            <w:r w:rsidR="00B964B9">
              <w:t xml:space="preserve">and </w:t>
            </w:r>
            <w:r>
              <w:t>long-term financing models</w:t>
            </w:r>
            <w:r w:rsidR="00B964B9">
              <w:t xml:space="preserve"> as well as </w:t>
            </w:r>
            <w:r>
              <w:t>business engagement. Specialist funds such as the Nature Fund or Natural Capital Financing Facility could support the development of these models</w:t>
            </w:r>
            <w:r w:rsidR="00B964B9">
              <w:t>.</w:t>
            </w:r>
          </w:p>
        </w:tc>
      </w:tr>
      <w:tr w:rsidR="000005F4" w14:paraId="22483D94" w14:textId="77777777" w:rsidTr="000005F4">
        <w:tc>
          <w:tcPr>
            <w:tcW w:w="1415" w:type="dxa"/>
            <w:shd w:val="clear" w:color="auto" w:fill="auto"/>
          </w:tcPr>
          <w:p w14:paraId="0639F5C4" w14:textId="77777777" w:rsidR="000005F4" w:rsidRPr="007B6DFE" w:rsidRDefault="000005F4" w:rsidP="000005F4">
            <w:pPr>
              <w:pStyle w:val="TableTextNoSpace"/>
              <w:rPr>
                <w:b/>
              </w:rPr>
            </w:pPr>
            <w:r w:rsidRPr="007B6DFE">
              <w:rPr>
                <w:b/>
              </w:rPr>
              <w:t>Useful references &amp; links</w:t>
            </w:r>
          </w:p>
        </w:tc>
        <w:tc>
          <w:tcPr>
            <w:tcW w:w="7656" w:type="dxa"/>
            <w:shd w:val="clear" w:color="auto" w:fill="auto"/>
          </w:tcPr>
          <w:p w14:paraId="78960AC2" w14:textId="77777777" w:rsidR="000005F4" w:rsidRDefault="000005F4" w:rsidP="000005F4">
            <w:pPr>
              <w:pStyle w:val="TableTextNoSpace"/>
              <w:ind w:left="0"/>
              <w:rPr>
                <w:szCs w:val="18"/>
              </w:rPr>
            </w:pPr>
            <w:r>
              <w:rPr>
                <w:szCs w:val="18"/>
              </w:rPr>
              <w:t xml:space="preserve"> Welsh Government: Summary of Structural Funds in 2014-2020 </w:t>
            </w:r>
          </w:p>
          <w:p w14:paraId="2F27BB46" w14:textId="77777777" w:rsidR="000005F4" w:rsidRPr="002B5CE0" w:rsidRDefault="000005F4" w:rsidP="000005F4">
            <w:pPr>
              <w:pStyle w:val="TableTextNoSpace"/>
              <w:ind w:left="0"/>
              <w:rPr>
                <w:szCs w:val="18"/>
              </w:rPr>
            </w:pPr>
            <w:r>
              <w:rPr>
                <w:szCs w:val="18"/>
              </w:rPr>
              <w:t xml:space="preserve"> </w:t>
            </w:r>
            <w:hyperlink r:id="rId84" w:history="1">
              <w:r w:rsidRPr="007E033A">
                <w:rPr>
                  <w:rStyle w:val="Hyperlink"/>
                  <w:szCs w:val="18"/>
                </w:rPr>
                <w:t>http://wales.gov.uk/docs/wefo/publications/141215summaryerdfesfen.pdf</w:t>
              </w:r>
            </w:hyperlink>
          </w:p>
        </w:tc>
      </w:tr>
    </w:tbl>
    <w:p w14:paraId="486F25BD" w14:textId="77777777" w:rsidR="000005F4" w:rsidRDefault="000005F4" w:rsidP="004A3815">
      <w:pPr>
        <w:pStyle w:val="Heading2NoNumb"/>
      </w:pPr>
      <w:bookmarkStart w:id="287" w:name="_Toc408851009"/>
      <w:bookmarkStart w:id="288" w:name="_Toc421880685"/>
      <w:r>
        <w:t>ERDF: Ireland-Wales Territorial Cooperation Programme</w:t>
      </w:r>
      <w:bookmarkEnd w:id="287"/>
      <w:bookmarkEnd w:id="288"/>
      <w:r>
        <w:t xml:space="preserve"> </w:t>
      </w:r>
    </w:p>
    <w:tbl>
      <w:tblPr>
        <w:tblW w:w="9071" w:type="dxa"/>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Layout w:type="fixed"/>
        <w:tblCellMar>
          <w:top w:w="57" w:type="dxa"/>
          <w:left w:w="0" w:type="dxa"/>
          <w:bottom w:w="28" w:type="dxa"/>
          <w:right w:w="0" w:type="dxa"/>
        </w:tblCellMar>
        <w:tblLook w:val="0000" w:firstRow="0" w:lastRow="0" w:firstColumn="0" w:lastColumn="0" w:noHBand="0" w:noVBand="0"/>
      </w:tblPr>
      <w:tblGrid>
        <w:gridCol w:w="1415"/>
        <w:gridCol w:w="7656"/>
      </w:tblGrid>
      <w:tr w:rsidR="000005F4" w14:paraId="13D9D93B" w14:textId="77777777" w:rsidTr="000005F4">
        <w:trPr>
          <w:cantSplit/>
        </w:trPr>
        <w:tc>
          <w:tcPr>
            <w:tcW w:w="1415" w:type="dxa"/>
            <w:shd w:val="clear" w:color="auto" w:fill="auto"/>
          </w:tcPr>
          <w:p w14:paraId="6B07AEBB" w14:textId="77777777" w:rsidR="000005F4" w:rsidRDefault="000005F4" w:rsidP="000005F4">
            <w:pPr>
              <w:pStyle w:val="TableHeading"/>
            </w:pPr>
          </w:p>
        </w:tc>
        <w:tc>
          <w:tcPr>
            <w:tcW w:w="7656" w:type="dxa"/>
            <w:shd w:val="solid" w:color="0067AB" w:fill="0067AB"/>
          </w:tcPr>
          <w:p w14:paraId="20C72B6E" w14:textId="77777777" w:rsidR="000005F4" w:rsidRDefault="000005F4" w:rsidP="000005F4">
            <w:pPr>
              <w:pStyle w:val="TableHeadingWhite"/>
            </w:pPr>
          </w:p>
        </w:tc>
      </w:tr>
      <w:tr w:rsidR="000005F4" w14:paraId="019C005E" w14:textId="77777777" w:rsidTr="000005F4">
        <w:tc>
          <w:tcPr>
            <w:tcW w:w="1415" w:type="dxa"/>
            <w:shd w:val="clear" w:color="auto" w:fill="auto"/>
          </w:tcPr>
          <w:p w14:paraId="276F5DBD" w14:textId="77777777" w:rsidR="000005F4" w:rsidRPr="007B6DFE" w:rsidRDefault="000005F4" w:rsidP="000005F4">
            <w:pPr>
              <w:pStyle w:val="TableTextNoSpace"/>
              <w:rPr>
                <w:b/>
              </w:rPr>
            </w:pPr>
            <w:r w:rsidRPr="007B6DFE">
              <w:rPr>
                <w:b/>
              </w:rPr>
              <w:t>Objectives</w:t>
            </w:r>
          </w:p>
        </w:tc>
        <w:tc>
          <w:tcPr>
            <w:tcW w:w="7656" w:type="dxa"/>
            <w:shd w:val="clear" w:color="auto" w:fill="auto"/>
          </w:tcPr>
          <w:p w14:paraId="766BE310" w14:textId="3D0BD5E1" w:rsidR="000005F4" w:rsidRDefault="000005F4" w:rsidP="000005F4">
            <w:pPr>
              <w:pStyle w:val="TableBullet"/>
              <w:numPr>
                <w:ilvl w:val="0"/>
                <w:numId w:val="0"/>
              </w:numPr>
              <w:ind w:left="57"/>
            </w:pPr>
            <w:r w:rsidRPr="00C7276F">
              <w:t>European Territorial</w:t>
            </w:r>
            <w:r>
              <w:t xml:space="preserve"> Co-operation (ETC) programmes </w:t>
            </w:r>
            <w:r w:rsidR="00B964B9">
              <w:t xml:space="preserve">(under ITERREG V) </w:t>
            </w:r>
            <w:r w:rsidRPr="00C7276F">
              <w:t xml:space="preserve">address issues which cut across national borders and provide the opportunity for regions across the EU to work together, share best practice and knowledge transfer and co-ordinate actions to provide solutions to common challenges. </w:t>
            </w:r>
          </w:p>
          <w:p w14:paraId="23F2E0FD" w14:textId="77777777" w:rsidR="000005F4" w:rsidRDefault="000005F4" w:rsidP="000005F4">
            <w:pPr>
              <w:pStyle w:val="TableBullet"/>
              <w:numPr>
                <w:ilvl w:val="0"/>
                <w:numId w:val="0"/>
              </w:numPr>
              <w:ind w:left="57"/>
            </w:pPr>
            <w:r>
              <w:t>Wales will benefit from the Ireland-Wales Territorial Cooperation Fund, worth €100 million for the 2014-2020 period, which will focus on counties in West Wales and Southern/Eastern Ireland.</w:t>
            </w:r>
          </w:p>
          <w:p w14:paraId="37AE0D46" w14:textId="77777777" w:rsidR="000005F4" w:rsidRPr="00D04516" w:rsidRDefault="000005F4" w:rsidP="000005F4">
            <w:pPr>
              <w:pStyle w:val="TableBullet"/>
              <w:ind w:left="57"/>
              <w:rPr>
                <w:lang w:val="en-US"/>
              </w:rPr>
            </w:pPr>
            <w:r w:rsidRPr="00D04516">
              <w:rPr>
                <w:lang w:val="en-US"/>
              </w:rPr>
              <w:t>The programme will have a strong focus on the Irish Sea and will be structured around three Priority Axes:</w:t>
            </w:r>
          </w:p>
          <w:p w14:paraId="2B3FF539" w14:textId="77777777" w:rsidR="000005F4" w:rsidRPr="00D04516" w:rsidRDefault="000005F4" w:rsidP="000005F4">
            <w:pPr>
              <w:pStyle w:val="Bullet1"/>
              <w:rPr>
                <w:lang w:val="en-US"/>
              </w:rPr>
            </w:pPr>
            <w:r>
              <w:rPr>
                <w:lang w:val="en-US"/>
              </w:rPr>
              <w:t>R&amp;D and Innovation</w:t>
            </w:r>
          </w:p>
          <w:p w14:paraId="4FAF476D" w14:textId="77777777" w:rsidR="000005F4" w:rsidRPr="00D04516" w:rsidRDefault="000005F4" w:rsidP="000005F4">
            <w:pPr>
              <w:pStyle w:val="Bullet1"/>
              <w:rPr>
                <w:lang w:val="en-US"/>
              </w:rPr>
            </w:pPr>
            <w:r>
              <w:rPr>
                <w:lang w:val="en-US"/>
              </w:rPr>
              <w:t>Climate Change Adaptation</w:t>
            </w:r>
          </w:p>
          <w:p w14:paraId="1253F186" w14:textId="77777777" w:rsidR="000005F4" w:rsidRDefault="000005F4" w:rsidP="000005F4">
            <w:pPr>
              <w:pStyle w:val="Bullet1"/>
              <w:rPr>
                <w:lang w:val="en-US"/>
              </w:rPr>
            </w:pPr>
            <w:r w:rsidRPr="00D04516">
              <w:rPr>
                <w:lang w:val="en-US"/>
              </w:rPr>
              <w:t>Utilisation of Cultural and</w:t>
            </w:r>
            <w:r>
              <w:rPr>
                <w:lang w:val="en-US"/>
              </w:rPr>
              <w:t xml:space="preserve"> Natural Resources and Heritage</w:t>
            </w:r>
          </w:p>
          <w:p w14:paraId="39655BC0" w14:textId="77777777" w:rsidR="000005F4" w:rsidRDefault="000005F4" w:rsidP="000005F4">
            <w:pPr>
              <w:pStyle w:val="Bullet1"/>
              <w:rPr>
                <w:lang w:val="en-US"/>
              </w:rPr>
            </w:pPr>
            <w:r>
              <w:t>Inclusive Growth will be included as a horizontal theme which will be threaded through all the Priority Axes</w:t>
            </w:r>
          </w:p>
          <w:p w14:paraId="007DA5D4" w14:textId="77777777" w:rsidR="000005F4" w:rsidRPr="00AA2BF2" w:rsidRDefault="000005F4" w:rsidP="000005F4">
            <w:pPr>
              <w:pStyle w:val="Bullet1"/>
              <w:numPr>
                <w:ilvl w:val="0"/>
                <w:numId w:val="0"/>
              </w:numPr>
              <w:rPr>
                <w:lang w:val="en-US"/>
              </w:rPr>
            </w:pPr>
          </w:p>
          <w:p w14:paraId="6F4F57A8" w14:textId="77777777" w:rsidR="000005F4" w:rsidRDefault="000005F4" w:rsidP="00B45B8C">
            <w:pPr>
              <w:pStyle w:val="TableBullet"/>
            </w:pPr>
            <w:r>
              <w:t>Activity is likely to include sustainable enhancement of natural marine resources, development of innovation clusters and collaboration between research institutions and SMEs</w:t>
            </w:r>
          </w:p>
          <w:p w14:paraId="51E2B73A" w14:textId="77777777" w:rsidR="000005F4" w:rsidRDefault="000005F4" w:rsidP="00B45B8C">
            <w:pPr>
              <w:pStyle w:val="TableBullet"/>
            </w:pPr>
            <w:r>
              <w:t>All operations (projects) must involve partner organisations from both sides of the Irish Sea, with one organisation taking on the role of the lead contracting partner</w:t>
            </w:r>
          </w:p>
        </w:tc>
      </w:tr>
      <w:tr w:rsidR="000005F4" w14:paraId="57EF6BD4" w14:textId="77777777" w:rsidTr="000005F4">
        <w:tc>
          <w:tcPr>
            <w:tcW w:w="1415" w:type="dxa"/>
            <w:shd w:val="clear" w:color="auto" w:fill="auto"/>
          </w:tcPr>
          <w:p w14:paraId="58C6D6E3" w14:textId="77777777" w:rsidR="000005F4" w:rsidRPr="007B6DFE" w:rsidRDefault="000005F4" w:rsidP="000005F4">
            <w:pPr>
              <w:pStyle w:val="TableTextNoSpace"/>
              <w:rPr>
                <w:b/>
              </w:rPr>
            </w:pPr>
            <w:r w:rsidRPr="007B6DFE">
              <w:rPr>
                <w:b/>
              </w:rPr>
              <w:t>Funding available</w:t>
            </w:r>
          </w:p>
        </w:tc>
        <w:tc>
          <w:tcPr>
            <w:tcW w:w="7656" w:type="dxa"/>
            <w:shd w:val="clear" w:color="auto" w:fill="auto"/>
          </w:tcPr>
          <w:p w14:paraId="5F2E99E8" w14:textId="77777777" w:rsidR="000005F4" w:rsidRDefault="000005F4" w:rsidP="00B45B8C">
            <w:pPr>
              <w:pStyle w:val="TableBullet"/>
            </w:pPr>
            <w:r>
              <w:t>Total funds are expected to amount to €100 million, of which the ERDF contribution is expected to increase to €79 million. This is a significant increase in the 2007-2013 ETC programme value of €70 million</w:t>
            </w:r>
          </w:p>
          <w:p w14:paraId="19D33D9D" w14:textId="77777777" w:rsidR="000005F4" w:rsidRPr="00B8489F" w:rsidRDefault="000005F4" w:rsidP="00B45B8C">
            <w:pPr>
              <w:pStyle w:val="TableBullet"/>
            </w:pPr>
            <w:r>
              <w:t>40% of funds are expected to be allocated to the Priority 2 (Irish Sea and Coastal Communities</w:t>
            </w:r>
          </w:p>
        </w:tc>
      </w:tr>
      <w:tr w:rsidR="000005F4" w14:paraId="3D61855F" w14:textId="77777777" w:rsidTr="000005F4">
        <w:tc>
          <w:tcPr>
            <w:tcW w:w="1415" w:type="dxa"/>
            <w:shd w:val="clear" w:color="auto" w:fill="auto"/>
          </w:tcPr>
          <w:p w14:paraId="17087BE9" w14:textId="77777777" w:rsidR="000005F4" w:rsidRPr="007B6DFE" w:rsidRDefault="000005F4" w:rsidP="000005F4">
            <w:pPr>
              <w:pStyle w:val="TableTextNoSpace"/>
              <w:rPr>
                <w:b/>
              </w:rPr>
            </w:pPr>
            <w:r w:rsidRPr="007B6DFE">
              <w:rPr>
                <w:b/>
              </w:rPr>
              <w:t xml:space="preserve">Opportunities for Natura </w:t>
            </w:r>
            <w:r>
              <w:rPr>
                <w:b/>
              </w:rPr>
              <w:t>2000</w:t>
            </w:r>
          </w:p>
        </w:tc>
        <w:tc>
          <w:tcPr>
            <w:tcW w:w="7656" w:type="dxa"/>
            <w:shd w:val="clear" w:color="auto" w:fill="auto"/>
          </w:tcPr>
          <w:p w14:paraId="3B864F98" w14:textId="507CB555" w:rsidR="000005F4" w:rsidRDefault="000005F4" w:rsidP="000005F4">
            <w:pPr>
              <w:pStyle w:val="TableTextNoSpace"/>
            </w:pPr>
            <w:r>
              <w:t xml:space="preserve">The upcoming programme is expected to have a stronger strategic focus on sustainable jobs and growth, in line with the Europe 2020 strategy. Nonetheless, the draft cooperation programme document makes explicit reference to </w:t>
            </w:r>
            <w:r w:rsidR="00B964B9">
              <w:t xml:space="preserve">Natura 2000 </w:t>
            </w:r>
            <w:r>
              <w:t xml:space="preserve">as an area of shared opportunity within the Irish Sea. Additionally, a number of the major funding priorities under the ETC have a strong link to coastal and marine environmental management: </w:t>
            </w:r>
          </w:p>
          <w:p w14:paraId="2AA84BAB" w14:textId="77777777" w:rsidR="000005F4" w:rsidRDefault="000005F4" w:rsidP="00B45B8C">
            <w:pPr>
              <w:pStyle w:val="TableBullet"/>
            </w:pPr>
            <w:r>
              <w:t>Key ETC Priorities with a relevance to Natura 2000 include Priority 2 (</w:t>
            </w:r>
            <w:r w:rsidRPr="007F4EAA">
              <w:t>adaption of Irish Sea and Coastal Communities to climate change</w:t>
            </w:r>
            <w:r>
              <w:t xml:space="preserve">) and Priority 3 (Conservation of Coastal Heritage) </w:t>
            </w:r>
          </w:p>
          <w:p w14:paraId="156BA39C" w14:textId="77777777" w:rsidR="000005F4" w:rsidRDefault="000005F4" w:rsidP="00B45B8C">
            <w:pPr>
              <w:pStyle w:val="TableBullet"/>
            </w:pPr>
            <w:r>
              <w:t xml:space="preserve">The ETC programme is intended to be complementary to Horizon 2020 – in this regard, relevant links with ETC Axes lies in the ‘Societal Challenges’ pillar of H2020 (including: sustainable agriculture and forestry, marine and maritime and inland water research, and the Bioeconomy, Climate action, environment, resource efficiency) – there are a number of key opportunities for Natura 2000 in these areas, that could be maximised through collaboration with research partners </w:t>
            </w:r>
          </w:p>
          <w:p w14:paraId="5D704BE5" w14:textId="77777777" w:rsidR="000005F4" w:rsidRDefault="000005F4" w:rsidP="00B45B8C">
            <w:pPr>
              <w:pStyle w:val="TableBullet"/>
            </w:pPr>
            <w:r>
              <w:t>In light of the lack of underlying evidence for many marine sites, ETC funds could be directed towards large-scale research programmes and monitoring programmes focusing on conservation areas in the Irish Sea</w:t>
            </w:r>
          </w:p>
          <w:p w14:paraId="381C812F" w14:textId="77777777" w:rsidR="000005F4" w:rsidRDefault="000005F4" w:rsidP="00B45B8C">
            <w:pPr>
              <w:pStyle w:val="TableBullet"/>
            </w:pPr>
            <w:r>
              <w:t xml:space="preserve">Two ongoing research programmes funded under the previous ETC – Smart Coasts (£3.5m, Aberystwyth University) Integrated Management of Forest Pests (Swansea University) and EcoJel (£0.9m, Swansea University) point to the type of collaborative research programmes that could be initiated under the fund </w:t>
            </w:r>
          </w:p>
          <w:p w14:paraId="3894BE9E" w14:textId="77777777" w:rsidR="000005F4" w:rsidRDefault="000005F4" w:rsidP="00B45B8C">
            <w:pPr>
              <w:pStyle w:val="TableBullet"/>
            </w:pPr>
            <w:r>
              <w:t xml:space="preserve">A joint programme to promote collaborative research, management planning and conservation action for marine Natura 2000 sites in West Wales and Ireland could offer opportunities, provided benefits for jobs and growth are identified </w:t>
            </w:r>
          </w:p>
        </w:tc>
      </w:tr>
      <w:tr w:rsidR="000005F4" w14:paraId="6E4992FB" w14:textId="77777777" w:rsidTr="000005F4">
        <w:tc>
          <w:tcPr>
            <w:tcW w:w="1415" w:type="dxa"/>
            <w:shd w:val="clear" w:color="auto" w:fill="auto"/>
          </w:tcPr>
          <w:p w14:paraId="61465C69" w14:textId="77777777" w:rsidR="000005F4" w:rsidRPr="007B6DFE" w:rsidRDefault="000005F4" w:rsidP="000005F4">
            <w:pPr>
              <w:pStyle w:val="TableTextNoSpace"/>
              <w:rPr>
                <w:b/>
              </w:rPr>
            </w:pPr>
            <w:r w:rsidRPr="007B6DFE">
              <w:rPr>
                <w:b/>
              </w:rPr>
              <w:t>Limitations &amp; constraints</w:t>
            </w:r>
          </w:p>
        </w:tc>
        <w:tc>
          <w:tcPr>
            <w:tcW w:w="7656" w:type="dxa"/>
            <w:shd w:val="clear" w:color="auto" w:fill="auto"/>
          </w:tcPr>
          <w:p w14:paraId="63540C3F" w14:textId="77777777" w:rsidR="000005F4" w:rsidRDefault="000005F4" w:rsidP="000005F4">
            <w:pPr>
              <w:pStyle w:val="TableBullet"/>
            </w:pPr>
            <w:r>
              <w:t>A major constraint is that projects need to be aligned with the priorities of both Irish and Welsh stakeholders- in the context of Natura 2000, different policy drivers and regulatory frameworks in each country cancreate different funding priorities.</w:t>
            </w:r>
          </w:p>
          <w:p w14:paraId="2A66C081" w14:textId="71D4E606" w:rsidR="000005F4" w:rsidRDefault="000005F4" w:rsidP="000005F4">
            <w:pPr>
              <w:pStyle w:val="TableBullet"/>
            </w:pPr>
            <w:r>
              <w:t xml:space="preserve">Difficulties in attaining </w:t>
            </w:r>
            <w:r w:rsidR="00B964B9">
              <w:t>match funding</w:t>
            </w:r>
            <w:r>
              <w:t xml:space="preserve"> are often reported</w:t>
            </w:r>
          </w:p>
          <w:p w14:paraId="42F3D2C1" w14:textId="77777777" w:rsidR="000005F4" w:rsidRDefault="000005F4" w:rsidP="000005F4">
            <w:pPr>
              <w:pStyle w:val="TableBullet"/>
            </w:pPr>
            <w:r>
              <w:t>Time/cost of developing proposals are often disproportionate to the amount being sought</w:t>
            </w:r>
          </w:p>
          <w:p w14:paraId="1EE9114E" w14:textId="77777777" w:rsidR="000005F4" w:rsidRPr="00B8489F" w:rsidRDefault="000005F4" w:rsidP="000005F4">
            <w:pPr>
              <w:pStyle w:val="TableBullet"/>
            </w:pPr>
            <w:r>
              <w:t xml:space="preserve">Funds directed towards skills and growth themes under the previous ETC were generally less successful than funding of environment and research-orientated programmes, according to the Welsh Government’s evaluation of the programme </w:t>
            </w:r>
          </w:p>
        </w:tc>
      </w:tr>
      <w:tr w:rsidR="000005F4" w14:paraId="7211AA21" w14:textId="77777777" w:rsidTr="000005F4">
        <w:tc>
          <w:tcPr>
            <w:tcW w:w="1415" w:type="dxa"/>
            <w:shd w:val="clear" w:color="auto" w:fill="auto"/>
          </w:tcPr>
          <w:p w14:paraId="1798A97D" w14:textId="77777777" w:rsidR="000005F4" w:rsidRPr="007B6DFE" w:rsidRDefault="000005F4" w:rsidP="000005F4">
            <w:pPr>
              <w:pStyle w:val="TableTextNoSpace"/>
              <w:rPr>
                <w:b/>
              </w:rPr>
            </w:pPr>
            <w:r w:rsidRPr="007B6DFE">
              <w:rPr>
                <w:b/>
              </w:rPr>
              <w:t>Increasing uptake &amp; integration</w:t>
            </w:r>
          </w:p>
        </w:tc>
        <w:tc>
          <w:tcPr>
            <w:tcW w:w="7656" w:type="dxa"/>
            <w:shd w:val="clear" w:color="auto" w:fill="auto"/>
          </w:tcPr>
          <w:p w14:paraId="56AACF17" w14:textId="77777777" w:rsidR="000005F4" w:rsidRDefault="000005F4" w:rsidP="000005F4">
            <w:pPr>
              <w:pStyle w:val="TableBullet"/>
            </w:pPr>
            <w:r>
              <w:t xml:space="preserve">Strategic engagement between NRW and the larger, research-intensive academic institutions (eg. Bangor University, Aberystwyth University, as well as Irish authorities, conservation organisations and universities.) could identify shared interests in areas such as marine investigation and monitoring </w:t>
            </w:r>
          </w:p>
          <w:p w14:paraId="71D78569" w14:textId="77777777" w:rsidR="000005F4" w:rsidRDefault="000005F4" w:rsidP="000005F4">
            <w:pPr>
              <w:pStyle w:val="TableBullet"/>
            </w:pPr>
            <w:r>
              <w:t>Engagement with Local Fisheries Action Groups could highlight links between coastal community/heritage needs and Natura 2000- as well as links to SMEs</w:t>
            </w:r>
          </w:p>
          <w:p w14:paraId="74260819" w14:textId="77777777" w:rsidR="000005F4" w:rsidRPr="00B8489F" w:rsidRDefault="000005F4" w:rsidP="000005F4">
            <w:pPr>
              <w:pStyle w:val="TableBullet"/>
            </w:pPr>
            <w:r>
              <w:t>The Welsh Government could play a more strategic role in aligning programme axes to wider strategic priorities in the Irish Sea, including the 4 larger ETC programmes addressing the Northwest/Atlantic region</w:t>
            </w:r>
          </w:p>
        </w:tc>
      </w:tr>
      <w:tr w:rsidR="000005F4" w14:paraId="13FEB97F" w14:textId="77777777" w:rsidTr="000005F4">
        <w:tc>
          <w:tcPr>
            <w:tcW w:w="1415" w:type="dxa"/>
            <w:shd w:val="clear" w:color="auto" w:fill="auto"/>
          </w:tcPr>
          <w:p w14:paraId="2AB8A85B" w14:textId="77777777" w:rsidR="000005F4" w:rsidRPr="007B6DFE" w:rsidRDefault="000005F4" w:rsidP="000005F4">
            <w:pPr>
              <w:pStyle w:val="TableTextNoSpace"/>
              <w:rPr>
                <w:b/>
              </w:rPr>
            </w:pPr>
            <w:r w:rsidRPr="007B6DFE">
              <w:rPr>
                <w:b/>
              </w:rPr>
              <w:t>Useful references &amp; links</w:t>
            </w:r>
          </w:p>
        </w:tc>
        <w:tc>
          <w:tcPr>
            <w:tcW w:w="7656" w:type="dxa"/>
            <w:shd w:val="clear" w:color="auto" w:fill="auto"/>
          </w:tcPr>
          <w:p w14:paraId="091F61FC" w14:textId="77777777" w:rsidR="000005F4" w:rsidRPr="002B5CE0" w:rsidRDefault="000005F4" w:rsidP="00B45B8C">
            <w:pPr>
              <w:pStyle w:val="TableTextNoSpace"/>
              <w:jc w:val="left"/>
              <w:rPr>
                <w:szCs w:val="18"/>
              </w:rPr>
            </w:pPr>
            <w:r>
              <w:rPr>
                <w:szCs w:val="18"/>
              </w:rPr>
              <w:t xml:space="preserve">Welsh Government ETC Consultation Document </w:t>
            </w:r>
            <w:hyperlink r:id="rId85" w:history="1">
              <w:r w:rsidRPr="00883EFB">
                <w:rPr>
                  <w:rStyle w:val="Hyperlink"/>
                  <w:szCs w:val="18"/>
                </w:rPr>
                <w:t>http://wales.gov.uk/docs/wefo/consultation/140605iwconsultationdocumenten.pdf</w:t>
              </w:r>
            </w:hyperlink>
            <w:r>
              <w:rPr>
                <w:szCs w:val="18"/>
              </w:rPr>
              <w:t xml:space="preserve"> </w:t>
            </w:r>
          </w:p>
        </w:tc>
      </w:tr>
    </w:tbl>
    <w:p w14:paraId="2E1EF26A" w14:textId="77777777" w:rsidR="000005F4" w:rsidRDefault="000005F4" w:rsidP="004A3815">
      <w:pPr>
        <w:pStyle w:val="Heading2NoNumb"/>
      </w:pPr>
      <w:bookmarkStart w:id="289" w:name="_Toc408851010"/>
      <w:bookmarkStart w:id="290" w:name="_Toc421880686"/>
      <w:r>
        <w:t>European Social Fund</w:t>
      </w:r>
      <w:bookmarkEnd w:id="289"/>
      <w:bookmarkEnd w:id="290"/>
    </w:p>
    <w:tbl>
      <w:tblPr>
        <w:tblW w:w="9071" w:type="dxa"/>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Layout w:type="fixed"/>
        <w:tblCellMar>
          <w:top w:w="57" w:type="dxa"/>
          <w:left w:w="0" w:type="dxa"/>
          <w:bottom w:w="28" w:type="dxa"/>
          <w:right w:w="0" w:type="dxa"/>
        </w:tblCellMar>
        <w:tblLook w:val="0000" w:firstRow="0" w:lastRow="0" w:firstColumn="0" w:lastColumn="0" w:noHBand="0" w:noVBand="0"/>
      </w:tblPr>
      <w:tblGrid>
        <w:gridCol w:w="1415"/>
        <w:gridCol w:w="7656"/>
      </w:tblGrid>
      <w:tr w:rsidR="000005F4" w14:paraId="65511B9B" w14:textId="77777777" w:rsidTr="000005F4">
        <w:trPr>
          <w:cantSplit/>
        </w:trPr>
        <w:tc>
          <w:tcPr>
            <w:tcW w:w="1415" w:type="dxa"/>
            <w:shd w:val="clear" w:color="auto" w:fill="auto"/>
          </w:tcPr>
          <w:p w14:paraId="7446859A" w14:textId="77777777" w:rsidR="000005F4" w:rsidRDefault="000005F4" w:rsidP="000005F4">
            <w:pPr>
              <w:pStyle w:val="TableHeading"/>
            </w:pPr>
          </w:p>
        </w:tc>
        <w:tc>
          <w:tcPr>
            <w:tcW w:w="7656" w:type="dxa"/>
            <w:shd w:val="solid" w:color="0067AB" w:fill="0067AB"/>
          </w:tcPr>
          <w:p w14:paraId="50804E85" w14:textId="77777777" w:rsidR="000005F4" w:rsidRDefault="000005F4" w:rsidP="000005F4">
            <w:pPr>
              <w:pStyle w:val="TableHeadingWhite"/>
            </w:pPr>
          </w:p>
        </w:tc>
      </w:tr>
      <w:tr w:rsidR="000005F4" w14:paraId="387AA053" w14:textId="77777777" w:rsidTr="000005F4">
        <w:tc>
          <w:tcPr>
            <w:tcW w:w="1415" w:type="dxa"/>
            <w:shd w:val="clear" w:color="auto" w:fill="auto"/>
          </w:tcPr>
          <w:p w14:paraId="739CFA99" w14:textId="77777777" w:rsidR="000005F4" w:rsidRPr="007B6DFE" w:rsidRDefault="000005F4" w:rsidP="000005F4">
            <w:pPr>
              <w:pStyle w:val="TableTextNoSpace"/>
              <w:rPr>
                <w:b/>
              </w:rPr>
            </w:pPr>
            <w:r>
              <w:rPr>
                <w:b/>
              </w:rPr>
              <w:t>Objectives</w:t>
            </w:r>
          </w:p>
        </w:tc>
        <w:tc>
          <w:tcPr>
            <w:tcW w:w="7656" w:type="dxa"/>
            <w:shd w:val="clear" w:color="auto" w:fill="auto"/>
          </w:tcPr>
          <w:p w14:paraId="6846B1FF" w14:textId="37420501" w:rsidR="000005F4" w:rsidRDefault="000005F4" w:rsidP="000005F4">
            <w:pPr>
              <w:pStyle w:val="Bullet1"/>
              <w:numPr>
                <w:ilvl w:val="0"/>
                <w:numId w:val="0"/>
              </w:numPr>
              <w:ind w:left="340" w:hanging="340"/>
            </w:pPr>
            <w:r>
              <w:t xml:space="preserve"> The ESF is one of the main Structural Funds in Wales, and focuses</w:t>
            </w:r>
            <w:r w:rsidR="00B964B9">
              <w:t xml:space="preserve"> on the following </w:t>
            </w:r>
          </w:p>
          <w:p w14:paraId="7B276B8F" w14:textId="38A505F1" w:rsidR="000005F4" w:rsidRDefault="000005F4" w:rsidP="000005F4">
            <w:pPr>
              <w:pStyle w:val="Bullet1"/>
              <w:numPr>
                <w:ilvl w:val="0"/>
                <w:numId w:val="0"/>
              </w:numPr>
              <w:ind w:left="340" w:hanging="340"/>
            </w:pPr>
            <w:r>
              <w:t xml:space="preserve"> areas:</w:t>
            </w:r>
          </w:p>
          <w:p w14:paraId="32564AAE" w14:textId="77777777" w:rsidR="000005F4" w:rsidRDefault="000005F4" w:rsidP="000005F4">
            <w:pPr>
              <w:pStyle w:val="Bullet1"/>
            </w:pPr>
            <w:r>
              <w:t xml:space="preserve">Youth employment and attainment  </w:t>
            </w:r>
          </w:p>
          <w:p w14:paraId="337BC742" w14:textId="77777777" w:rsidR="000005F4" w:rsidRDefault="000005F4" w:rsidP="000005F4">
            <w:pPr>
              <w:pStyle w:val="Bullet1"/>
            </w:pPr>
            <w:r>
              <w:t xml:space="preserve">Tackling poverty through sustainable growth </w:t>
            </w:r>
          </w:p>
          <w:p w14:paraId="2E9804D9" w14:textId="77777777" w:rsidR="000005F4" w:rsidRDefault="000005F4" w:rsidP="000005F4">
            <w:pPr>
              <w:pStyle w:val="Bullet1"/>
            </w:pPr>
            <w:r>
              <w:t xml:space="preserve">Skills for growth </w:t>
            </w:r>
          </w:p>
          <w:p w14:paraId="18FEB274" w14:textId="77777777" w:rsidR="000005F4" w:rsidRDefault="000005F4" w:rsidP="000005F4">
            <w:pPr>
              <w:pStyle w:val="Bullet1"/>
            </w:pPr>
            <w:r>
              <w:t xml:space="preserve">These link to cross-cutting Structural Fund themes, including Sustainable Development </w:t>
            </w:r>
          </w:p>
          <w:p w14:paraId="7E10D9C3" w14:textId="77777777" w:rsidR="000005F4" w:rsidRDefault="000005F4" w:rsidP="000005F4">
            <w:pPr>
              <w:pStyle w:val="Bullet1"/>
              <w:numPr>
                <w:ilvl w:val="0"/>
                <w:numId w:val="0"/>
              </w:numPr>
            </w:pPr>
            <w:r>
              <w:t xml:space="preserve"> ESF resources allocated to these priorities depend on the category of the region: </w:t>
            </w:r>
          </w:p>
          <w:p w14:paraId="677F14EF" w14:textId="3E62854F" w:rsidR="000005F4" w:rsidRDefault="000005F4" w:rsidP="00D94488">
            <w:pPr>
              <w:pStyle w:val="TableBullet"/>
            </w:pPr>
            <w:r>
              <w:t xml:space="preserve">In more developed regions, at least 80% of funds must focus on at least two of the priorities. This includes the </w:t>
            </w:r>
            <w:r w:rsidR="00B964B9">
              <w:t xml:space="preserve">seven </w:t>
            </w:r>
            <w:r>
              <w:t>councils in the East Wales region</w:t>
            </w:r>
          </w:p>
          <w:p w14:paraId="115301D9" w14:textId="77777777" w:rsidR="000005F4" w:rsidRPr="005456F6" w:rsidRDefault="000005F4" w:rsidP="00D94488">
            <w:pPr>
              <w:pStyle w:val="TableBullet"/>
            </w:pPr>
            <w:r>
              <w:t>This is 50% in less developed regions, which includes the 15 councils of West Wales and the Valleys</w:t>
            </w:r>
          </w:p>
        </w:tc>
      </w:tr>
      <w:tr w:rsidR="000005F4" w14:paraId="49EB7E42" w14:textId="77777777" w:rsidTr="000005F4">
        <w:tc>
          <w:tcPr>
            <w:tcW w:w="1415" w:type="dxa"/>
            <w:shd w:val="clear" w:color="auto" w:fill="auto"/>
          </w:tcPr>
          <w:p w14:paraId="5365565C" w14:textId="77777777" w:rsidR="000005F4" w:rsidRPr="007B6DFE" w:rsidRDefault="000005F4" w:rsidP="000005F4">
            <w:pPr>
              <w:pStyle w:val="TableTextNoSpace"/>
              <w:rPr>
                <w:b/>
              </w:rPr>
            </w:pPr>
            <w:r w:rsidRPr="007B6DFE">
              <w:rPr>
                <w:b/>
              </w:rPr>
              <w:t>Funding available</w:t>
            </w:r>
          </w:p>
        </w:tc>
        <w:tc>
          <w:tcPr>
            <w:tcW w:w="7656" w:type="dxa"/>
            <w:shd w:val="clear" w:color="auto" w:fill="auto"/>
          </w:tcPr>
          <w:p w14:paraId="71AEE8D3" w14:textId="77777777" w:rsidR="000005F4" w:rsidRPr="00A624C0" w:rsidRDefault="000005F4" w:rsidP="000005F4">
            <w:pPr>
              <w:pStyle w:val="Bullet1"/>
              <w:numPr>
                <w:ilvl w:val="0"/>
                <w:numId w:val="0"/>
              </w:numPr>
              <w:ind w:left="340" w:hanging="340"/>
            </w:pPr>
            <w:r>
              <w:t xml:space="preserve"> Total ESF funds for 2014-2020 are expected to amount to </w:t>
            </w:r>
            <w:r w:rsidRPr="006F0C8C">
              <w:rPr>
                <w:b/>
              </w:rPr>
              <w:t>€</w:t>
            </w:r>
            <w:r>
              <w:rPr>
                <w:b/>
              </w:rPr>
              <w:t>804m:</w:t>
            </w:r>
          </w:p>
          <w:p w14:paraId="5E26EBF3" w14:textId="77777777" w:rsidR="000005F4" w:rsidRDefault="000005F4" w:rsidP="000005F4">
            <w:pPr>
              <w:pStyle w:val="Bullet1"/>
            </w:pPr>
            <w:r>
              <w:t>£641m to West Wales and the Valleys</w:t>
            </w:r>
          </w:p>
          <w:p w14:paraId="1636A884" w14:textId="77777777" w:rsidR="000005F4" w:rsidRPr="00B8489F" w:rsidRDefault="000005F4" w:rsidP="000005F4">
            <w:pPr>
              <w:pStyle w:val="Bullet1"/>
            </w:pPr>
            <w:r>
              <w:t>£162m to East Wales</w:t>
            </w:r>
          </w:p>
        </w:tc>
      </w:tr>
      <w:tr w:rsidR="000005F4" w14:paraId="14415AEE" w14:textId="77777777" w:rsidTr="000005F4">
        <w:tc>
          <w:tcPr>
            <w:tcW w:w="1415" w:type="dxa"/>
            <w:shd w:val="clear" w:color="auto" w:fill="auto"/>
          </w:tcPr>
          <w:p w14:paraId="6A578D8E" w14:textId="77777777" w:rsidR="000005F4" w:rsidRPr="007B6DFE" w:rsidRDefault="000005F4" w:rsidP="000005F4">
            <w:pPr>
              <w:pStyle w:val="TableTextNoSpace"/>
              <w:rPr>
                <w:b/>
              </w:rPr>
            </w:pPr>
            <w:r w:rsidRPr="007B6DFE">
              <w:rPr>
                <w:b/>
              </w:rPr>
              <w:t xml:space="preserve">Opportunities for Natura </w:t>
            </w:r>
            <w:r>
              <w:rPr>
                <w:b/>
              </w:rPr>
              <w:t>2000</w:t>
            </w:r>
          </w:p>
        </w:tc>
        <w:tc>
          <w:tcPr>
            <w:tcW w:w="7656" w:type="dxa"/>
            <w:shd w:val="clear" w:color="auto" w:fill="auto"/>
          </w:tcPr>
          <w:p w14:paraId="3BDE69C9" w14:textId="77777777" w:rsidR="000005F4" w:rsidRDefault="000005F4" w:rsidP="000005F4">
            <w:pPr>
              <w:pStyle w:val="Bullet1"/>
              <w:numPr>
                <w:ilvl w:val="0"/>
                <w:numId w:val="0"/>
              </w:numPr>
              <w:ind w:left="340" w:hanging="340"/>
            </w:pPr>
            <w:r>
              <w:t xml:space="preserve"> In the context of Natura 2000 the ESF offers potential opportunities to address</w:t>
            </w:r>
          </w:p>
          <w:p w14:paraId="5E8D1EC2" w14:textId="77777777" w:rsidR="000005F4" w:rsidRDefault="000005F4" w:rsidP="000005F4">
            <w:pPr>
              <w:pStyle w:val="Bullet1"/>
              <w:numPr>
                <w:ilvl w:val="0"/>
                <w:numId w:val="0"/>
              </w:numPr>
              <w:ind w:left="340" w:hanging="340"/>
            </w:pPr>
            <w:r>
              <w:t xml:space="preserve"> emerging skills and employment needs relating to ecological monitoring and</w:t>
            </w:r>
          </w:p>
          <w:p w14:paraId="66E1D10A" w14:textId="77777777" w:rsidR="000005F4" w:rsidRDefault="000005F4" w:rsidP="000005F4">
            <w:pPr>
              <w:pStyle w:val="Bullet1"/>
              <w:numPr>
                <w:ilvl w:val="0"/>
                <w:numId w:val="0"/>
              </w:numPr>
              <w:ind w:left="340" w:hanging="340"/>
            </w:pPr>
            <w:r>
              <w:t xml:space="preserve"> restoration  </w:t>
            </w:r>
          </w:p>
          <w:p w14:paraId="001D614D" w14:textId="14BBD24E" w:rsidR="000005F4" w:rsidRDefault="000005F4" w:rsidP="00D94488">
            <w:pPr>
              <w:pStyle w:val="TableBullet"/>
            </w:pPr>
            <w:r>
              <w:t>Consultation</w:t>
            </w:r>
            <w:r w:rsidRPr="00BE0FD7">
              <w:t xml:space="preserve"> with stakeholders has highlighted the emergence of skills gaps in ecological </w:t>
            </w:r>
            <w:r>
              <w:t>monitoring</w:t>
            </w:r>
            <w:r w:rsidR="00B964B9">
              <w:t>,</w:t>
            </w:r>
            <w:r w:rsidRPr="00BE0FD7">
              <w:t xml:space="preserve"> surveying </w:t>
            </w:r>
            <w:r w:rsidR="00B964B9">
              <w:t xml:space="preserve">and management </w:t>
            </w:r>
            <w:r w:rsidRPr="00BE0FD7">
              <w:t xml:space="preserve">as key issues for the </w:t>
            </w:r>
            <w:r w:rsidR="00B964B9">
              <w:t>Natura 2000</w:t>
            </w:r>
            <w:r w:rsidRPr="00BE0FD7">
              <w:t xml:space="preserve"> network</w:t>
            </w:r>
          </w:p>
          <w:p w14:paraId="022A7356" w14:textId="13B242A3" w:rsidR="000005F4" w:rsidRDefault="000005F4" w:rsidP="00D94488">
            <w:pPr>
              <w:pStyle w:val="TableBullet"/>
            </w:pPr>
            <w:r>
              <w:t xml:space="preserve">Engaging conservation </w:t>
            </w:r>
            <w:r w:rsidR="00B964B9">
              <w:t>organisations and other</w:t>
            </w:r>
            <w:r>
              <w:t xml:space="preserve"> NGOs in the development of tailored training programmes (similar to the River Restoration NVQ developed between NRW and the River Trusts)</w:t>
            </w:r>
          </w:p>
          <w:p w14:paraId="31974BBD" w14:textId="77777777" w:rsidR="000005F4" w:rsidRPr="005456F6" w:rsidRDefault="000005F4" w:rsidP="00D94488">
            <w:pPr>
              <w:pStyle w:val="TableBullet"/>
            </w:pPr>
            <w:r>
              <w:t xml:space="preserve">Engagement with Further/Higher Education institutions could highlight further opportunities to link skills and training courses to specialist needs in the green economy </w:t>
            </w:r>
          </w:p>
        </w:tc>
      </w:tr>
      <w:tr w:rsidR="000005F4" w14:paraId="7E801443" w14:textId="77777777" w:rsidTr="000005F4">
        <w:tc>
          <w:tcPr>
            <w:tcW w:w="1415" w:type="dxa"/>
            <w:shd w:val="clear" w:color="auto" w:fill="auto"/>
          </w:tcPr>
          <w:p w14:paraId="2A4A28C7" w14:textId="77777777" w:rsidR="000005F4" w:rsidRPr="007B6DFE" w:rsidRDefault="000005F4" w:rsidP="000005F4">
            <w:pPr>
              <w:pStyle w:val="TableTextNoSpace"/>
              <w:rPr>
                <w:b/>
              </w:rPr>
            </w:pPr>
            <w:r w:rsidRPr="007B6DFE">
              <w:rPr>
                <w:b/>
              </w:rPr>
              <w:t>Limitations &amp; constraints</w:t>
            </w:r>
          </w:p>
        </w:tc>
        <w:tc>
          <w:tcPr>
            <w:tcW w:w="7656" w:type="dxa"/>
            <w:shd w:val="clear" w:color="auto" w:fill="auto"/>
          </w:tcPr>
          <w:p w14:paraId="7A0B20FC" w14:textId="77777777" w:rsidR="000005F4" w:rsidRDefault="000005F4" w:rsidP="000005F4">
            <w:pPr>
              <w:pStyle w:val="TableBullet"/>
            </w:pPr>
            <w:r>
              <w:t xml:space="preserve">Competition for funding skills and training in more established sectors </w:t>
            </w:r>
          </w:p>
          <w:p w14:paraId="17FD5F12" w14:textId="77777777" w:rsidR="000005F4" w:rsidRDefault="000005F4" w:rsidP="000005F4">
            <w:pPr>
              <w:pStyle w:val="TableBullet"/>
            </w:pPr>
            <w:r>
              <w:t>Major role of voluntary organisations in conservation management may be at odds with certain aspects of the funding criteria</w:t>
            </w:r>
          </w:p>
          <w:p w14:paraId="6E34E69D" w14:textId="047FAE6A" w:rsidR="000005F4" w:rsidRPr="00B8489F" w:rsidRDefault="000005F4" w:rsidP="000005F4">
            <w:pPr>
              <w:pStyle w:val="TableBullet"/>
            </w:pPr>
            <w:r>
              <w:t>Access to funding requires considerable administrative efforts and resources, and, while it could address identified longer term priorities (e.g in relation to skills development),</w:t>
            </w:r>
            <w:r w:rsidR="00B964B9">
              <w:t xml:space="preserve"> it</w:t>
            </w:r>
            <w:r>
              <w:t xml:space="preserve"> does not necessarily contribute to short term management priorities </w:t>
            </w:r>
          </w:p>
        </w:tc>
      </w:tr>
      <w:tr w:rsidR="000005F4" w14:paraId="595B03B5" w14:textId="77777777" w:rsidTr="000005F4">
        <w:tc>
          <w:tcPr>
            <w:tcW w:w="1415" w:type="dxa"/>
            <w:shd w:val="clear" w:color="auto" w:fill="auto"/>
          </w:tcPr>
          <w:p w14:paraId="129638AB" w14:textId="77777777" w:rsidR="000005F4" w:rsidRPr="007B6DFE" w:rsidRDefault="000005F4" w:rsidP="000005F4">
            <w:pPr>
              <w:pStyle w:val="TableTextNoSpace"/>
              <w:rPr>
                <w:b/>
              </w:rPr>
            </w:pPr>
            <w:r w:rsidRPr="007B6DFE">
              <w:rPr>
                <w:b/>
              </w:rPr>
              <w:t>Increasing uptake &amp; integration</w:t>
            </w:r>
          </w:p>
        </w:tc>
        <w:tc>
          <w:tcPr>
            <w:tcW w:w="7656" w:type="dxa"/>
            <w:shd w:val="clear" w:color="auto" w:fill="auto"/>
          </w:tcPr>
          <w:p w14:paraId="2808A202" w14:textId="77777777" w:rsidR="000005F4" w:rsidRDefault="000005F4" w:rsidP="000005F4">
            <w:pPr>
              <w:pStyle w:val="TableBullet"/>
            </w:pPr>
            <w:r>
              <w:t>Maximising the use of Priority 3 (Youth Employment Attainment) towards the development of relevant skills (eg. horticulture, landscape architecture, restoration ecology) through the development of FE and HE training (in line with labour market intelligence).</w:t>
            </w:r>
          </w:p>
          <w:p w14:paraId="6E3BEECE" w14:textId="77777777" w:rsidR="000005F4" w:rsidRDefault="000005F4" w:rsidP="000005F4">
            <w:pPr>
              <w:pStyle w:val="TableBullet"/>
            </w:pPr>
            <w:r>
              <w:t>Maximising the use of the Skills for Growth Theme ‘Low Carbon, Energy and Environment’ towards ecological management and surveying through joint qualifications developed through business collaboration</w:t>
            </w:r>
          </w:p>
          <w:p w14:paraId="0C454B00" w14:textId="565FDEB2" w:rsidR="000005F4" w:rsidRPr="00B8489F" w:rsidRDefault="00B964B9" w:rsidP="000005F4">
            <w:pPr>
              <w:pStyle w:val="TableBullet"/>
            </w:pPr>
            <w:r>
              <w:t xml:space="preserve">Linking ESF funds to existing charitable funds for green skills may represent a key opportunity (e.g., the Big Lottery Fund, Heritage Lottery Fund Skills for the Future, Prince’s Countryside Fund or local funds.) </w:t>
            </w:r>
          </w:p>
        </w:tc>
      </w:tr>
      <w:tr w:rsidR="000005F4" w14:paraId="1BE4D92C" w14:textId="77777777" w:rsidTr="000005F4">
        <w:tc>
          <w:tcPr>
            <w:tcW w:w="1415" w:type="dxa"/>
            <w:shd w:val="clear" w:color="auto" w:fill="auto"/>
          </w:tcPr>
          <w:p w14:paraId="13AA2640" w14:textId="77777777" w:rsidR="000005F4" w:rsidRPr="007B6DFE" w:rsidRDefault="000005F4" w:rsidP="000005F4">
            <w:pPr>
              <w:pStyle w:val="TableTextNoSpace"/>
              <w:rPr>
                <w:b/>
              </w:rPr>
            </w:pPr>
            <w:r w:rsidRPr="007B6DFE">
              <w:rPr>
                <w:b/>
              </w:rPr>
              <w:t>Useful references &amp; links</w:t>
            </w:r>
          </w:p>
        </w:tc>
        <w:tc>
          <w:tcPr>
            <w:tcW w:w="7656" w:type="dxa"/>
            <w:shd w:val="clear" w:color="auto" w:fill="auto"/>
          </w:tcPr>
          <w:p w14:paraId="018A2385" w14:textId="77777777" w:rsidR="000005F4" w:rsidRDefault="000005F4" w:rsidP="000005F4">
            <w:pPr>
              <w:pStyle w:val="TableTextNoSpace"/>
              <w:ind w:left="0"/>
              <w:rPr>
                <w:szCs w:val="18"/>
              </w:rPr>
            </w:pPr>
            <w:r>
              <w:rPr>
                <w:szCs w:val="18"/>
              </w:rPr>
              <w:t xml:space="preserve"> Welsh Government: Summary of Structural Funds in 2014-2020 </w:t>
            </w:r>
          </w:p>
          <w:p w14:paraId="2B81569F" w14:textId="77777777" w:rsidR="000005F4" w:rsidRPr="002B5CE0" w:rsidRDefault="000005F4" w:rsidP="000005F4">
            <w:pPr>
              <w:pStyle w:val="TableTextNoSpace"/>
              <w:ind w:left="0"/>
              <w:rPr>
                <w:szCs w:val="18"/>
              </w:rPr>
            </w:pPr>
            <w:r>
              <w:rPr>
                <w:szCs w:val="18"/>
              </w:rPr>
              <w:t xml:space="preserve"> </w:t>
            </w:r>
            <w:hyperlink r:id="rId86" w:history="1">
              <w:r w:rsidRPr="007E033A">
                <w:rPr>
                  <w:rStyle w:val="Hyperlink"/>
                  <w:szCs w:val="18"/>
                </w:rPr>
                <w:t>http://wales.gov.uk/docs/wefo/publications/141215summaryerdfesfen.pdf</w:t>
              </w:r>
            </w:hyperlink>
            <w:r>
              <w:rPr>
                <w:szCs w:val="18"/>
              </w:rPr>
              <w:t xml:space="preserve"> </w:t>
            </w:r>
          </w:p>
        </w:tc>
      </w:tr>
    </w:tbl>
    <w:p w14:paraId="356C2FEF" w14:textId="77777777" w:rsidR="000005F4" w:rsidRDefault="000005F4" w:rsidP="004A3815">
      <w:pPr>
        <w:pStyle w:val="Heading2NoNumb"/>
      </w:pPr>
      <w:bookmarkStart w:id="291" w:name="_Toc408851011"/>
      <w:bookmarkStart w:id="292" w:name="_Toc421880687"/>
      <w:r>
        <w:t>Horizon 2020</w:t>
      </w:r>
      <w:bookmarkEnd w:id="291"/>
      <w:bookmarkEnd w:id="292"/>
      <w:r>
        <w:t xml:space="preserve"> </w:t>
      </w:r>
    </w:p>
    <w:tbl>
      <w:tblPr>
        <w:tblW w:w="9071" w:type="dxa"/>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Layout w:type="fixed"/>
        <w:tblCellMar>
          <w:top w:w="57" w:type="dxa"/>
          <w:left w:w="0" w:type="dxa"/>
          <w:bottom w:w="28" w:type="dxa"/>
          <w:right w:w="0" w:type="dxa"/>
        </w:tblCellMar>
        <w:tblLook w:val="0000" w:firstRow="0" w:lastRow="0" w:firstColumn="0" w:lastColumn="0" w:noHBand="0" w:noVBand="0"/>
      </w:tblPr>
      <w:tblGrid>
        <w:gridCol w:w="1415"/>
        <w:gridCol w:w="7656"/>
      </w:tblGrid>
      <w:tr w:rsidR="000005F4" w14:paraId="0CF82FB7" w14:textId="77777777" w:rsidTr="000005F4">
        <w:trPr>
          <w:cantSplit/>
        </w:trPr>
        <w:tc>
          <w:tcPr>
            <w:tcW w:w="1415" w:type="dxa"/>
            <w:shd w:val="clear" w:color="auto" w:fill="auto"/>
          </w:tcPr>
          <w:p w14:paraId="1277B5D6" w14:textId="77777777" w:rsidR="000005F4" w:rsidRDefault="000005F4" w:rsidP="000005F4">
            <w:pPr>
              <w:pStyle w:val="TableHeading"/>
            </w:pPr>
          </w:p>
        </w:tc>
        <w:tc>
          <w:tcPr>
            <w:tcW w:w="7656" w:type="dxa"/>
            <w:shd w:val="solid" w:color="0067AB" w:fill="0067AB"/>
          </w:tcPr>
          <w:p w14:paraId="158791FC" w14:textId="77777777" w:rsidR="000005F4" w:rsidRDefault="000005F4" w:rsidP="000005F4">
            <w:pPr>
              <w:pStyle w:val="TableHeadingWhite"/>
            </w:pPr>
          </w:p>
        </w:tc>
      </w:tr>
      <w:tr w:rsidR="000005F4" w14:paraId="107CD4DD" w14:textId="77777777" w:rsidTr="000005F4">
        <w:tc>
          <w:tcPr>
            <w:tcW w:w="1415" w:type="dxa"/>
            <w:shd w:val="clear" w:color="auto" w:fill="auto"/>
          </w:tcPr>
          <w:p w14:paraId="284B37AE" w14:textId="77777777" w:rsidR="000005F4" w:rsidRPr="007B6DFE" w:rsidRDefault="000005F4" w:rsidP="000005F4">
            <w:pPr>
              <w:pStyle w:val="TableTextNoSpace"/>
              <w:rPr>
                <w:b/>
              </w:rPr>
            </w:pPr>
            <w:r>
              <w:rPr>
                <w:b/>
              </w:rPr>
              <w:t>Objectives</w:t>
            </w:r>
          </w:p>
        </w:tc>
        <w:tc>
          <w:tcPr>
            <w:tcW w:w="7656" w:type="dxa"/>
            <w:shd w:val="clear" w:color="auto" w:fill="auto"/>
          </w:tcPr>
          <w:p w14:paraId="68A3CA87" w14:textId="77777777" w:rsidR="000005F4" w:rsidRDefault="000005F4" w:rsidP="00D94488">
            <w:pPr>
              <w:pStyle w:val="TableBullet"/>
            </w:pPr>
            <w:r>
              <w:t xml:space="preserve">Horizon 2020 is the EU’s Research and Innovation funding programme, </w:t>
            </w:r>
            <w:r w:rsidRPr="00842E3B">
              <w:t>and combines all research and innovation funding previously provided through the Framework Programmes for Research and Technical Development, the innovation related activities of the Competitiveness and Innovation Framework Programme (CIP) and the European Institute of Innovation and Technology (EIT)</w:t>
            </w:r>
            <w:r>
              <w:t xml:space="preserve"> H2020 has three core pillars: </w:t>
            </w:r>
          </w:p>
          <w:p w14:paraId="6E9D7F59" w14:textId="77777777" w:rsidR="000005F4" w:rsidRPr="00AD591C" w:rsidRDefault="000005F4" w:rsidP="00D94488">
            <w:pPr>
              <w:pStyle w:val="TableBullet"/>
              <w:rPr>
                <w:lang w:val="en-US"/>
              </w:rPr>
            </w:pPr>
            <w:r>
              <w:rPr>
                <w:lang w:val="en-US"/>
              </w:rPr>
              <w:t xml:space="preserve">To </w:t>
            </w:r>
            <w:r w:rsidRPr="00AD591C">
              <w:rPr>
                <w:lang w:val="en-US"/>
              </w:rPr>
              <w:t>support basic research in science [Pillar 1 Excellent Science Base];</w:t>
            </w:r>
          </w:p>
          <w:p w14:paraId="2B2B5F29" w14:textId="77777777" w:rsidR="000005F4" w:rsidRPr="00AD591C" w:rsidRDefault="000005F4" w:rsidP="00D94488">
            <w:pPr>
              <w:pStyle w:val="TableBullet"/>
              <w:rPr>
                <w:lang w:val="en-US"/>
              </w:rPr>
            </w:pPr>
            <w:r>
              <w:rPr>
                <w:lang w:val="en-US"/>
              </w:rPr>
              <w:t xml:space="preserve">To </w:t>
            </w:r>
            <w:r w:rsidRPr="00AD591C">
              <w:rPr>
                <w:lang w:val="en-US"/>
              </w:rPr>
              <w:t>support collaborative research and innovation in industry [Pillar 2 Industrial Leadership and Competitive Frameworks];</w:t>
            </w:r>
          </w:p>
          <w:p w14:paraId="39EE7C0A" w14:textId="77777777" w:rsidR="000005F4" w:rsidRDefault="000005F4" w:rsidP="00D94488">
            <w:pPr>
              <w:pStyle w:val="TableBullet"/>
              <w:rPr>
                <w:lang w:val="en-US"/>
              </w:rPr>
            </w:pPr>
            <w:r>
              <w:rPr>
                <w:lang w:val="en-US"/>
              </w:rPr>
              <w:t xml:space="preserve">To </w:t>
            </w:r>
            <w:r w:rsidRPr="00AD591C">
              <w:rPr>
                <w:lang w:val="en-US"/>
              </w:rPr>
              <w:t>tackle the big societal challenges including health, ageing, energy, and climate change [Pillar 3 Tackling Societal Challenges].</w:t>
            </w:r>
          </w:p>
          <w:p w14:paraId="0D1964CD" w14:textId="77777777" w:rsidR="000005F4" w:rsidRPr="00AD591C" w:rsidRDefault="000005F4" w:rsidP="00D94488">
            <w:pPr>
              <w:pStyle w:val="TableBullet"/>
              <w:numPr>
                <w:ilvl w:val="0"/>
                <w:numId w:val="0"/>
              </w:numPr>
              <w:ind w:left="397"/>
              <w:rPr>
                <w:lang w:val="en-US"/>
              </w:rPr>
            </w:pPr>
          </w:p>
          <w:p w14:paraId="223CC5CC" w14:textId="77777777" w:rsidR="000005F4" w:rsidRPr="005456F6" w:rsidRDefault="000005F4" w:rsidP="00D94488">
            <w:pPr>
              <w:pStyle w:val="TableBullet"/>
            </w:pPr>
            <w:r>
              <w:t>H2020 funding is open to businesses, universities and research institutes involved in research and innovation. Under the programme, the EU will contribute to direct costs at 70% for closer to market innovation actions (but 100% if non-profit), and 100% for research actions, with a new single flat rate of 25% for overheads.</w:t>
            </w:r>
          </w:p>
        </w:tc>
      </w:tr>
      <w:tr w:rsidR="000005F4" w14:paraId="65E27FAB" w14:textId="77777777" w:rsidTr="000005F4">
        <w:trPr>
          <w:trHeight w:val="600"/>
        </w:trPr>
        <w:tc>
          <w:tcPr>
            <w:tcW w:w="1415" w:type="dxa"/>
            <w:shd w:val="clear" w:color="auto" w:fill="auto"/>
          </w:tcPr>
          <w:p w14:paraId="1FFEED24" w14:textId="77777777" w:rsidR="000005F4" w:rsidRPr="007B6DFE" w:rsidRDefault="000005F4" w:rsidP="000005F4">
            <w:pPr>
              <w:pStyle w:val="TableTextNoSpace"/>
              <w:rPr>
                <w:b/>
              </w:rPr>
            </w:pPr>
            <w:r w:rsidRPr="007B6DFE">
              <w:rPr>
                <w:b/>
              </w:rPr>
              <w:t>Funding available</w:t>
            </w:r>
          </w:p>
        </w:tc>
        <w:tc>
          <w:tcPr>
            <w:tcW w:w="7656" w:type="dxa"/>
            <w:shd w:val="clear" w:color="auto" w:fill="auto"/>
          </w:tcPr>
          <w:p w14:paraId="11DC432A" w14:textId="77777777" w:rsidR="000005F4" w:rsidRPr="00274360" w:rsidRDefault="000005F4" w:rsidP="00D94488">
            <w:pPr>
              <w:pStyle w:val="TableBullet"/>
              <w:rPr>
                <w:color w:val="222222"/>
              </w:rPr>
            </w:pPr>
            <w:r w:rsidRPr="000F6BD9">
              <w:t xml:space="preserve">Total H2020 competitive funds will amount to €79bn for 2014-2020 across the EU. </w:t>
            </w:r>
            <w:r w:rsidRPr="00274360">
              <w:t>The EU co-financing rate for Horizon 2020 is 70% for "Innovation actions", except where the beneficiary is an NGO, in which case the rate can be 100%. For "Research and Innovation actions" the co-financing rate is also 100%..</w:t>
            </w:r>
            <w:r w:rsidRPr="00274360">
              <w:rPr>
                <w:color w:val="222222"/>
              </w:rPr>
              <w:t xml:space="preserve"> </w:t>
            </w:r>
          </w:p>
          <w:p w14:paraId="4A0967DE" w14:textId="77777777" w:rsidR="000005F4" w:rsidRPr="00B8489F" w:rsidRDefault="000005F4" w:rsidP="00D94488">
            <w:pPr>
              <w:pStyle w:val="TableBullet"/>
            </w:pPr>
            <w:r w:rsidRPr="00274360">
              <w:rPr>
                <w:color w:val="222222"/>
              </w:rPr>
              <w:t>Calls often indicate a min-max budget. Smaller projects may be €2-3M,medium-size projects look for funding in the region of €3-5M with large projects €6-8M</w:t>
            </w:r>
          </w:p>
        </w:tc>
      </w:tr>
      <w:tr w:rsidR="000005F4" w14:paraId="27CA40F0" w14:textId="77777777" w:rsidTr="000005F4">
        <w:tc>
          <w:tcPr>
            <w:tcW w:w="1415" w:type="dxa"/>
            <w:shd w:val="clear" w:color="auto" w:fill="auto"/>
          </w:tcPr>
          <w:p w14:paraId="3D48C306" w14:textId="77777777" w:rsidR="000005F4" w:rsidRPr="007B6DFE" w:rsidRDefault="000005F4" w:rsidP="000005F4">
            <w:pPr>
              <w:pStyle w:val="TableTextNoSpace"/>
              <w:rPr>
                <w:b/>
              </w:rPr>
            </w:pPr>
            <w:r w:rsidRPr="007B6DFE">
              <w:rPr>
                <w:b/>
              </w:rPr>
              <w:t xml:space="preserve">Opportunities for Natura </w:t>
            </w:r>
            <w:r>
              <w:rPr>
                <w:b/>
              </w:rPr>
              <w:t>2000</w:t>
            </w:r>
          </w:p>
        </w:tc>
        <w:tc>
          <w:tcPr>
            <w:tcW w:w="7656" w:type="dxa"/>
            <w:shd w:val="clear" w:color="auto" w:fill="auto"/>
          </w:tcPr>
          <w:p w14:paraId="2B6E9958" w14:textId="77777777" w:rsidR="000005F4" w:rsidRDefault="000005F4" w:rsidP="000005F4">
            <w:pPr>
              <w:pStyle w:val="Bullet1"/>
              <w:numPr>
                <w:ilvl w:val="0"/>
                <w:numId w:val="0"/>
              </w:numPr>
              <w:ind w:left="340" w:hanging="340"/>
            </w:pPr>
            <w:r>
              <w:t xml:space="preserve"> In the context of Natura 2000 a number of H2020 funding articles/themes have</w:t>
            </w:r>
          </w:p>
          <w:p w14:paraId="4CFD887B" w14:textId="77777777" w:rsidR="000005F4" w:rsidRDefault="000005F4" w:rsidP="000005F4">
            <w:pPr>
              <w:pStyle w:val="Bullet1"/>
              <w:numPr>
                <w:ilvl w:val="0"/>
                <w:numId w:val="0"/>
              </w:numPr>
              <w:ind w:left="340" w:hanging="340"/>
            </w:pPr>
            <w:r>
              <w:t xml:space="preserve"> relevance to Horizon 2020: </w:t>
            </w:r>
          </w:p>
          <w:p w14:paraId="3569A369" w14:textId="77777777" w:rsidR="000005F4" w:rsidRDefault="000005F4" w:rsidP="00D94488">
            <w:pPr>
              <w:pStyle w:val="TableBullet"/>
            </w:pPr>
            <w:r>
              <w:t xml:space="preserve">Article 5.2/Theme 5 funds actions relating to climate action, resource efficiency and raw materials </w:t>
            </w:r>
          </w:p>
          <w:p w14:paraId="30AECCFC" w14:textId="77777777" w:rsidR="000005F4" w:rsidRDefault="000005F4" w:rsidP="00D94488">
            <w:pPr>
              <w:pStyle w:val="TableBullet"/>
            </w:pPr>
            <w:r>
              <w:t xml:space="preserve">Article 5.2/Theme 2 funds actions relating to food security, sustainable agriculture, maritime research and bioeconomy </w:t>
            </w:r>
          </w:p>
          <w:p w14:paraId="1D00CA4E" w14:textId="2BFAA35B" w:rsidR="000005F4" w:rsidRDefault="000005F4" w:rsidP="000005F4">
            <w:pPr>
              <w:pStyle w:val="Bullet1"/>
              <w:numPr>
                <w:ilvl w:val="0"/>
                <w:numId w:val="0"/>
              </w:numPr>
              <w:ind w:left="57"/>
            </w:pPr>
            <w:r>
              <w:t>Each of these societal challenges have some relevance to funding Natura 2000  management actions, and Themes 2&amp;5 have strong links to existing management needs identified by the PAF. Research support for sustainable agriculture, food and fisheries in particular could support diversificatio</w:t>
            </w:r>
            <w:r w:rsidR="00D94488">
              <w:t xml:space="preserve">n and experimentation with new </w:t>
            </w:r>
            <w:r>
              <w:t xml:space="preserve">management practices. </w:t>
            </w:r>
          </w:p>
          <w:p w14:paraId="6B9AAC20" w14:textId="49599DF2" w:rsidR="000005F4" w:rsidRPr="005456F6" w:rsidRDefault="000005F4" w:rsidP="00D94488">
            <w:pPr>
              <w:pStyle w:val="Bullet1"/>
              <w:numPr>
                <w:ilvl w:val="0"/>
                <w:numId w:val="0"/>
              </w:numPr>
              <w:ind w:left="57"/>
            </w:pPr>
            <w:r>
              <w:t>In addition, relevant research could potentially be funded under other areas of the</w:t>
            </w:r>
            <w:r w:rsidR="00370860">
              <w:t xml:space="preserve"> </w:t>
            </w:r>
            <w:r>
              <w:t>programme, such as Pillar 1 – Excellent Science – which provides cross-cutting</w:t>
            </w:r>
            <w:r w:rsidR="00370860">
              <w:t xml:space="preserve"> </w:t>
            </w:r>
            <w:r>
              <w:t xml:space="preserve">finance for scientists and research infrastructures. </w:t>
            </w:r>
          </w:p>
        </w:tc>
      </w:tr>
      <w:tr w:rsidR="000005F4" w14:paraId="4F3DE846" w14:textId="77777777" w:rsidTr="000005F4">
        <w:tc>
          <w:tcPr>
            <w:tcW w:w="1415" w:type="dxa"/>
            <w:shd w:val="clear" w:color="auto" w:fill="auto"/>
          </w:tcPr>
          <w:p w14:paraId="1529EDAA" w14:textId="77777777" w:rsidR="000005F4" w:rsidRPr="007B6DFE" w:rsidRDefault="000005F4" w:rsidP="000005F4">
            <w:pPr>
              <w:pStyle w:val="TableTextNoSpace"/>
              <w:rPr>
                <w:b/>
              </w:rPr>
            </w:pPr>
            <w:r w:rsidRPr="007B6DFE">
              <w:rPr>
                <w:b/>
              </w:rPr>
              <w:t>Limitations &amp; constraints</w:t>
            </w:r>
          </w:p>
        </w:tc>
        <w:tc>
          <w:tcPr>
            <w:tcW w:w="7656" w:type="dxa"/>
            <w:shd w:val="clear" w:color="auto" w:fill="auto"/>
          </w:tcPr>
          <w:p w14:paraId="048F4843" w14:textId="792ACED8" w:rsidR="000005F4" w:rsidRDefault="000005F4" w:rsidP="000005F4">
            <w:pPr>
              <w:pStyle w:val="TableBullet"/>
            </w:pPr>
            <w:r>
              <w:t xml:space="preserve">Unsuitable for small scale funding i.e. less than </w:t>
            </w:r>
            <w:r w:rsidR="00B964B9">
              <w:rPr>
                <w:rFonts w:cs="Arial"/>
              </w:rPr>
              <w:t>€</w:t>
            </w:r>
            <w:r>
              <w:t xml:space="preserve">1million </w:t>
            </w:r>
          </w:p>
          <w:p w14:paraId="07D3D9FB" w14:textId="77777777" w:rsidR="000005F4" w:rsidRDefault="000005F4" w:rsidP="000005F4">
            <w:pPr>
              <w:pStyle w:val="TableBullet"/>
            </w:pPr>
            <w:r>
              <w:t>Funding is limited to research and innovation actions</w:t>
            </w:r>
          </w:p>
          <w:p w14:paraId="655E2907" w14:textId="77777777" w:rsidR="000005F4" w:rsidRDefault="000005F4" w:rsidP="000005F4">
            <w:pPr>
              <w:pStyle w:val="TableBullet"/>
            </w:pPr>
            <w:r>
              <w:t>Evidence needs of Natura 2000 in Wales may not correspond to needs identified in H2020 work programmes</w:t>
            </w:r>
          </w:p>
          <w:p w14:paraId="6858F03F" w14:textId="77777777" w:rsidR="000005F4" w:rsidRDefault="000005F4" w:rsidP="000005F4">
            <w:pPr>
              <w:pStyle w:val="TableBullet"/>
            </w:pPr>
            <w:r>
              <w:t>Universities have limited experience of engaging with Natura 2000 management in Wales</w:t>
            </w:r>
          </w:p>
          <w:p w14:paraId="370580A5" w14:textId="77777777" w:rsidR="000005F4" w:rsidRDefault="000005F4" w:rsidP="000005F4">
            <w:pPr>
              <w:pStyle w:val="TableBullet"/>
            </w:pPr>
            <w:r>
              <w:t>Applying for EU research funding requires substantial administrative efforts and resources</w:t>
            </w:r>
          </w:p>
          <w:p w14:paraId="69251906" w14:textId="77777777" w:rsidR="000005F4" w:rsidRPr="00B8489F" w:rsidRDefault="000005F4" w:rsidP="000005F4">
            <w:pPr>
              <w:pStyle w:val="TableBullet"/>
              <w:jc w:val="left"/>
            </w:pPr>
            <w:r>
              <w:t xml:space="preserve">For most of the relevant instruments under Horizon 2020, with the notable exception of the SME Instrument, applicants are required to set up consortia involving a minimum of three legal entities from three Member States. </w:t>
            </w:r>
          </w:p>
        </w:tc>
      </w:tr>
      <w:tr w:rsidR="000005F4" w14:paraId="751C70AF" w14:textId="77777777" w:rsidTr="000005F4">
        <w:tc>
          <w:tcPr>
            <w:tcW w:w="1415" w:type="dxa"/>
            <w:shd w:val="clear" w:color="auto" w:fill="auto"/>
          </w:tcPr>
          <w:p w14:paraId="1504B141" w14:textId="77777777" w:rsidR="000005F4" w:rsidRPr="007B6DFE" w:rsidRDefault="000005F4" w:rsidP="000005F4">
            <w:pPr>
              <w:pStyle w:val="TableTextNoSpace"/>
              <w:rPr>
                <w:b/>
              </w:rPr>
            </w:pPr>
            <w:r w:rsidRPr="007B6DFE">
              <w:rPr>
                <w:b/>
              </w:rPr>
              <w:t>Increasing uptake &amp; integration</w:t>
            </w:r>
          </w:p>
        </w:tc>
        <w:tc>
          <w:tcPr>
            <w:tcW w:w="7656" w:type="dxa"/>
            <w:shd w:val="clear" w:color="auto" w:fill="auto"/>
          </w:tcPr>
          <w:p w14:paraId="7010CCB3" w14:textId="77777777" w:rsidR="000005F4" w:rsidRDefault="000005F4" w:rsidP="000005F4">
            <w:pPr>
              <w:pStyle w:val="TableBullet"/>
            </w:pPr>
            <w:r>
              <w:t>Engaging ‘near market’ initiatives, such as those already receiving funding under the Nature Fund and Ecosystem Resilience Fund</w:t>
            </w:r>
          </w:p>
          <w:p w14:paraId="4F89D0CF" w14:textId="77777777" w:rsidR="000005F4" w:rsidRPr="00B8489F" w:rsidRDefault="000005F4" w:rsidP="000005F4">
            <w:pPr>
              <w:pStyle w:val="TableBullet"/>
            </w:pPr>
            <w:r>
              <w:t xml:space="preserve">Engaging universities at an early stage of large-scale monitoring and evidence programmes (including partnerships in the marine and coastal environment) </w:t>
            </w:r>
          </w:p>
        </w:tc>
      </w:tr>
    </w:tbl>
    <w:p w14:paraId="5F1BE175" w14:textId="77777777" w:rsidR="000005F4" w:rsidRDefault="000005F4" w:rsidP="004A3815">
      <w:pPr>
        <w:pStyle w:val="Heading2NoNumb"/>
      </w:pPr>
      <w:bookmarkStart w:id="293" w:name="_Toc408851012"/>
      <w:bookmarkStart w:id="294" w:name="_Toc421880688"/>
      <w:r>
        <w:t>LIFE</w:t>
      </w:r>
      <w:bookmarkEnd w:id="293"/>
      <w:bookmarkEnd w:id="294"/>
      <w:r>
        <w:t xml:space="preserve"> </w:t>
      </w:r>
    </w:p>
    <w:tbl>
      <w:tblPr>
        <w:tblW w:w="9071" w:type="dxa"/>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Layout w:type="fixed"/>
        <w:tblCellMar>
          <w:top w:w="57" w:type="dxa"/>
          <w:left w:w="0" w:type="dxa"/>
          <w:bottom w:w="28" w:type="dxa"/>
          <w:right w:w="0" w:type="dxa"/>
        </w:tblCellMar>
        <w:tblLook w:val="0000" w:firstRow="0" w:lastRow="0" w:firstColumn="0" w:lastColumn="0" w:noHBand="0" w:noVBand="0"/>
      </w:tblPr>
      <w:tblGrid>
        <w:gridCol w:w="1415"/>
        <w:gridCol w:w="7656"/>
      </w:tblGrid>
      <w:tr w:rsidR="000005F4" w14:paraId="154A7DFC" w14:textId="77777777" w:rsidTr="000005F4">
        <w:trPr>
          <w:cantSplit/>
        </w:trPr>
        <w:tc>
          <w:tcPr>
            <w:tcW w:w="1415" w:type="dxa"/>
            <w:shd w:val="clear" w:color="auto" w:fill="auto"/>
          </w:tcPr>
          <w:p w14:paraId="4BA53752" w14:textId="77777777" w:rsidR="000005F4" w:rsidRDefault="000005F4" w:rsidP="000005F4">
            <w:pPr>
              <w:pStyle w:val="TableHeading"/>
            </w:pPr>
          </w:p>
        </w:tc>
        <w:tc>
          <w:tcPr>
            <w:tcW w:w="7656" w:type="dxa"/>
            <w:shd w:val="solid" w:color="0067AB" w:fill="0067AB"/>
          </w:tcPr>
          <w:p w14:paraId="1C481B42" w14:textId="77777777" w:rsidR="000005F4" w:rsidRDefault="000005F4" w:rsidP="000005F4">
            <w:pPr>
              <w:pStyle w:val="TableHeadingWhite"/>
            </w:pPr>
          </w:p>
        </w:tc>
      </w:tr>
      <w:tr w:rsidR="000005F4" w14:paraId="1AC5CEC3" w14:textId="77777777" w:rsidTr="000005F4">
        <w:tc>
          <w:tcPr>
            <w:tcW w:w="1415" w:type="dxa"/>
            <w:shd w:val="clear" w:color="auto" w:fill="auto"/>
          </w:tcPr>
          <w:p w14:paraId="65CFD934" w14:textId="77777777" w:rsidR="000005F4" w:rsidRPr="007B6DFE" w:rsidRDefault="000005F4" w:rsidP="000005F4">
            <w:pPr>
              <w:pStyle w:val="TableTextNoSpace"/>
              <w:rPr>
                <w:b/>
              </w:rPr>
            </w:pPr>
            <w:r w:rsidRPr="007B6DFE">
              <w:rPr>
                <w:b/>
              </w:rPr>
              <w:t>Objectives</w:t>
            </w:r>
          </w:p>
        </w:tc>
        <w:tc>
          <w:tcPr>
            <w:tcW w:w="7656" w:type="dxa"/>
            <w:shd w:val="clear" w:color="auto" w:fill="auto"/>
          </w:tcPr>
          <w:p w14:paraId="71CC839E" w14:textId="77777777" w:rsidR="000005F4" w:rsidRDefault="000005F4" w:rsidP="00D94488">
            <w:pPr>
              <w:pStyle w:val="TableBullet"/>
            </w:pPr>
            <w:r>
              <w:t>LIFE is the EU's financial instrument for the environment and climate action</w:t>
            </w:r>
          </w:p>
          <w:p w14:paraId="4DE23B89" w14:textId="521978AA" w:rsidR="000005F4" w:rsidRDefault="000005F4" w:rsidP="00D94488">
            <w:pPr>
              <w:pStyle w:val="TableBullet"/>
            </w:pPr>
            <w:r>
              <w:t>Sub-programme for Environment (75% of funds) Thematic Priorities include: nature and biodiversity, water (including the marine environment), waste, resource efficiency (including soil</w:t>
            </w:r>
            <w:r w:rsidR="00B964B9">
              <w:t xml:space="preserve"> </w:t>
            </w:r>
            <w:r>
              <w:t>&amp; forests, and</w:t>
            </w:r>
            <w:r w:rsidR="00B964B9">
              <w:t xml:space="preserve"> the</w:t>
            </w:r>
            <w:r>
              <w:t xml:space="preserve"> green circular economy</w:t>
            </w:r>
            <w:r w:rsidR="00B964B9">
              <w:t xml:space="preserve"> – which relates to resource efficiency and recycling</w:t>
            </w:r>
            <w:r>
              <w:t>), environment and health (including chemicals and noise), air quality and emissions (including the urban environment) and information and governance.</w:t>
            </w:r>
          </w:p>
          <w:p w14:paraId="7B12C96A" w14:textId="77777777" w:rsidR="000005F4" w:rsidRDefault="000005F4" w:rsidP="00D94488">
            <w:pPr>
              <w:pStyle w:val="TableBullet"/>
            </w:pPr>
            <w:r>
              <w:t>Sub programme for Climate Action (25% of funds) Priority areas include: adaptation, mitigation and governance&amp; information</w:t>
            </w:r>
          </w:p>
        </w:tc>
      </w:tr>
      <w:tr w:rsidR="000005F4" w14:paraId="4432546C" w14:textId="77777777" w:rsidTr="000005F4">
        <w:tc>
          <w:tcPr>
            <w:tcW w:w="1415" w:type="dxa"/>
            <w:shd w:val="clear" w:color="auto" w:fill="auto"/>
          </w:tcPr>
          <w:p w14:paraId="3199CE01" w14:textId="77777777" w:rsidR="000005F4" w:rsidRPr="007B6DFE" w:rsidRDefault="000005F4" w:rsidP="000005F4">
            <w:pPr>
              <w:pStyle w:val="TableTextNoSpace"/>
              <w:rPr>
                <w:b/>
              </w:rPr>
            </w:pPr>
            <w:r w:rsidRPr="007B6DFE">
              <w:rPr>
                <w:b/>
              </w:rPr>
              <w:t>Funding available</w:t>
            </w:r>
          </w:p>
        </w:tc>
        <w:tc>
          <w:tcPr>
            <w:tcW w:w="7656" w:type="dxa"/>
            <w:shd w:val="clear" w:color="auto" w:fill="auto"/>
          </w:tcPr>
          <w:p w14:paraId="7480DAEB" w14:textId="77777777" w:rsidR="000005F4" w:rsidRDefault="000005F4" w:rsidP="00D94488">
            <w:pPr>
              <w:pStyle w:val="TableBullet"/>
            </w:pPr>
            <w:r>
              <w:t xml:space="preserve">Total annual funds for 2014-2020 are expected to amount to </w:t>
            </w:r>
            <w:r w:rsidRPr="003F2962">
              <w:t>€404.6m</w:t>
            </w:r>
            <w:r>
              <w:t xml:space="preserve"> for the EU as a whole, a 43% increase on 2007-2013 allocations</w:t>
            </w:r>
          </w:p>
          <w:p w14:paraId="0E5B726B" w14:textId="77777777" w:rsidR="000005F4" w:rsidRDefault="000005F4" w:rsidP="000005F4">
            <w:pPr>
              <w:pStyle w:val="Bullet1"/>
              <w:numPr>
                <w:ilvl w:val="0"/>
                <w:numId w:val="0"/>
              </w:numPr>
            </w:pPr>
            <w:r>
              <w:t xml:space="preserve"> At least 81% of the budget for the Programme will go on the following projects:</w:t>
            </w:r>
          </w:p>
          <w:p w14:paraId="65412EE3" w14:textId="77777777" w:rsidR="000005F4" w:rsidRDefault="000005F4" w:rsidP="00D94488">
            <w:pPr>
              <w:pStyle w:val="TableBullet"/>
            </w:pPr>
            <w:r>
              <w:t>Traditional projects: best practice, innovation and demonstration projects, as well as dissemination/information projects and governance projects (similar to LIFE+, the 2007-2013 LIFE programme)</w:t>
            </w:r>
          </w:p>
          <w:p w14:paraId="10B0A744" w14:textId="3636E7DA" w:rsidR="000005F4" w:rsidRDefault="000005F4" w:rsidP="00D94488">
            <w:pPr>
              <w:pStyle w:val="TableBullet"/>
            </w:pPr>
            <w:r>
              <w:t xml:space="preserve">Integrated projects: projects aiming at the implementation on a large territorial scale </w:t>
            </w:r>
            <w:r w:rsidR="00B964B9">
              <w:t xml:space="preserve">of </w:t>
            </w:r>
            <w:r>
              <w:t>plans and strategies required by EU legislation in the areas of nature, water, waste, air</w:t>
            </w:r>
            <w:r w:rsidRPr="00E32E98">
              <w:rPr>
                <w:szCs w:val="20"/>
              </w:rPr>
              <w:t xml:space="preserve">. </w:t>
            </w:r>
            <w:r w:rsidRPr="00274360">
              <w:rPr>
                <w:szCs w:val="20"/>
              </w:rPr>
              <w:t>Integrated projects include a specific element to implement the PAFs</w:t>
            </w:r>
            <w:r>
              <w:rPr>
                <w:szCs w:val="20"/>
              </w:rPr>
              <w:t>.</w:t>
            </w:r>
            <w:r>
              <w:t xml:space="preserve"> </w:t>
            </w:r>
          </w:p>
          <w:p w14:paraId="640D8549" w14:textId="77777777" w:rsidR="000005F4" w:rsidRDefault="000005F4" w:rsidP="00D94488">
            <w:pPr>
              <w:pStyle w:val="TableBullet"/>
            </w:pPr>
            <w:r>
              <w:t xml:space="preserve">Preparatory projects : projects identified by the Commission to support specific needs for the implementation and development of EU environmental or climate policy and legislation </w:t>
            </w:r>
          </w:p>
          <w:p w14:paraId="75BF3A73" w14:textId="77777777" w:rsidR="000005F4" w:rsidRPr="00B8489F" w:rsidRDefault="000005F4" w:rsidP="00D94488">
            <w:pPr>
              <w:pStyle w:val="TableBullet"/>
            </w:pPr>
            <w:r>
              <w:t>Capacity building projects: financial support to the activities required to build the capacity of Member States with a view to enabling their more effective participation in LIFE</w:t>
            </w:r>
          </w:p>
        </w:tc>
      </w:tr>
      <w:tr w:rsidR="000005F4" w14:paraId="6C1EA4B9" w14:textId="77777777" w:rsidTr="000005F4">
        <w:tc>
          <w:tcPr>
            <w:tcW w:w="1415" w:type="dxa"/>
            <w:shd w:val="clear" w:color="auto" w:fill="auto"/>
          </w:tcPr>
          <w:p w14:paraId="59DD9CCF" w14:textId="77777777" w:rsidR="000005F4" w:rsidRPr="007B6DFE" w:rsidRDefault="000005F4" w:rsidP="000005F4">
            <w:pPr>
              <w:pStyle w:val="TableTextNoSpace"/>
              <w:rPr>
                <w:b/>
              </w:rPr>
            </w:pPr>
            <w:r w:rsidRPr="007B6DFE">
              <w:rPr>
                <w:b/>
              </w:rPr>
              <w:t xml:space="preserve">Opportunities for Natura </w:t>
            </w:r>
            <w:r>
              <w:rPr>
                <w:b/>
              </w:rPr>
              <w:t>2000</w:t>
            </w:r>
          </w:p>
        </w:tc>
        <w:tc>
          <w:tcPr>
            <w:tcW w:w="7656" w:type="dxa"/>
            <w:shd w:val="clear" w:color="auto" w:fill="auto"/>
          </w:tcPr>
          <w:p w14:paraId="25D5886B" w14:textId="77777777" w:rsidR="000005F4" w:rsidRDefault="000005F4" w:rsidP="000005F4">
            <w:pPr>
              <w:pStyle w:val="TableTextNoSpace"/>
            </w:pPr>
            <w:r>
              <w:t xml:space="preserve">Significant funding is available for individual projects – typically between EUR 0.5m and 5m. The </w:t>
            </w:r>
            <w:r w:rsidRPr="006B2291">
              <w:rPr>
                <w:rFonts w:cs="Arial"/>
                <w:szCs w:val="20"/>
              </w:rPr>
              <w:t xml:space="preserve">EU co-financing rate for "traditional" LIFE projects is 60% of the total eligible project costs. However a co-financing rate of up to 75% of the total eligible costs may be granted to </w:t>
            </w:r>
            <w:r w:rsidRPr="006B2291">
              <w:rPr>
                <w:rFonts w:cs="Arial"/>
                <w:i/>
                <w:iCs/>
                <w:szCs w:val="20"/>
              </w:rPr>
              <w:t xml:space="preserve">LIFE Nature and Biodiversity </w:t>
            </w:r>
            <w:r w:rsidRPr="006B2291">
              <w:rPr>
                <w:rFonts w:cs="Arial"/>
                <w:szCs w:val="20"/>
              </w:rPr>
              <w:t xml:space="preserve">proposals that focus on concrete conservation actions for </w:t>
            </w:r>
            <w:r w:rsidRPr="00274360">
              <w:rPr>
                <w:rFonts w:cs="Arial"/>
                <w:bCs/>
                <w:szCs w:val="20"/>
              </w:rPr>
              <w:t>priority</w:t>
            </w:r>
            <w:r w:rsidRPr="006B2291">
              <w:rPr>
                <w:rFonts w:cs="Arial"/>
                <w:b/>
                <w:bCs/>
                <w:szCs w:val="20"/>
              </w:rPr>
              <w:t xml:space="preserve"> </w:t>
            </w:r>
            <w:r w:rsidRPr="006B2291">
              <w:rPr>
                <w:rFonts w:cs="Arial"/>
                <w:szCs w:val="20"/>
              </w:rPr>
              <w:t>species or habitat types of the Birds and Habitats Directives, when actions in the project are necessary to achieve the conservation objective</w:t>
            </w:r>
            <w:r>
              <w:rPr>
                <w:rFonts w:cs="Arial"/>
                <w:szCs w:val="20"/>
              </w:rPr>
              <w:t>.</w:t>
            </w:r>
          </w:p>
          <w:p w14:paraId="0BDF34D6" w14:textId="4A71C2C7" w:rsidR="000005F4" w:rsidRDefault="000005F4" w:rsidP="000005F4">
            <w:pPr>
              <w:pStyle w:val="TableTextNoSpace"/>
            </w:pPr>
            <w:r>
              <w:t>Funding under the previous LIFE+ budget was allocated to a range of projects</w:t>
            </w:r>
            <w:r w:rsidR="00D735ED">
              <w:t xml:space="preserve"> in Wales, for example: </w:t>
            </w:r>
          </w:p>
          <w:p w14:paraId="0CFA9F8E" w14:textId="64A0F519" w:rsidR="000005F4" w:rsidRDefault="00B964B9" w:rsidP="000005F4">
            <w:pPr>
              <w:pStyle w:val="TableBullet"/>
            </w:pPr>
            <w:r>
              <w:t>The</w:t>
            </w:r>
            <w:r w:rsidR="000005F4">
              <w:t xml:space="preserve"> Anglesey Fens LIFE project</w:t>
            </w:r>
            <w:r w:rsidR="00D735ED">
              <w:t xml:space="preserve">, which </w:t>
            </w:r>
            <w:r w:rsidR="000005F4">
              <w:t>has been widely regarded as a highly successful recipient of LIFE funds</w:t>
            </w:r>
            <w:r w:rsidR="00D735ED">
              <w:t>. Key</w:t>
            </w:r>
            <w:r w:rsidR="000005F4">
              <w:t xml:space="preserve"> factors appear to have been the allocation of funds to a dedicated project officer, early engagement of a university partner in project monitoring and evaluation, and active input from a range of local and Wales-wide environmental NGOs throughout the lifecycle of the project </w:t>
            </w:r>
          </w:p>
          <w:p w14:paraId="05D233EC" w14:textId="4609B515" w:rsidR="000005F4" w:rsidRPr="008E33CB" w:rsidRDefault="000005F4" w:rsidP="00B45B8C">
            <w:pPr>
              <w:pStyle w:val="Bullet1"/>
              <w:numPr>
                <w:ilvl w:val="0"/>
                <w:numId w:val="0"/>
              </w:numPr>
              <w:ind w:left="57"/>
              <w:rPr>
                <w:lang w:val="en-US"/>
              </w:rPr>
            </w:pPr>
            <w:r>
              <w:t>According to the Welsh Government, a number of applications are under development for the 2014-2020 funding cycle</w:t>
            </w:r>
            <w:r w:rsidR="00D735ED">
              <w:t xml:space="preserve">. </w:t>
            </w:r>
            <w:r w:rsidRPr="00287D85">
              <w:t xml:space="preserve">There are emerging opportunities to link ‘integrated projects’ (which focus on programme or thematic-level measures) to traditional projects (for example, focusing on restoration of a specific habitat such as peatland). This can maximize the </w:t>
            </w:r>
            <w:r>
              <w:t>e</w:t>
            </w:r>
            <w:r w:rsidRPr="00287D85">
              <w:t>xchange of knowledge and best practice and conservation impact.</w:t>
            </w:r>
            <w:r>
              <w:rPr>
                <w:lang w:val="en-US"/>
              </w:rPr>
              <w:t xml:space="preserve"> </w:t>
            </w:r>
          </w:p>
        </w:tc>
      </w:tr>
      <w:tr w:rsidR="000005F4" w14:paraId="30AC3C45" w14:textId="77777777" w:rsidTr="000005F4">
        <w:tc>
          <w:tcPr>
            <w:tcW w:w="1415" w:type="dxa"/>
            <w:shd w:val="clear" w:color="auto" w:fill="auto"/>
          </w:tcPr>
          <w:p w14:paraId="6EA22BB0" w14:textId="77777777" w:rsidR="000005F4" w:rsidRPr="007B6DFE" w:rsidRDefault="000005F4" w:rsidP="000005F4">
            <w:pPr>
              <w:pStyle w:val="TableTextNoSpace"/>
              <w:rPr>
                <w:b/>
              </w:rPr>
            </w:pPr>
            <w:r w:rsidRPr="007B6DFE">
              <w:rPr>
                <w:b/>
              </w:rPr>
              <w:t>Limitations &amp; constraints</w:t>
            </w:r>
          </w:p>
        </w:tc>
        <w:tc>
          <w:tcPr>
            <w:tcW w:w="7656" w:type="dxa"/>
            <w:shd w:val="clear" w:color="auto" w:fill="auto"/>
          </w:tcPr>
          <w:p w14:paraId="1F506BDE" w14:textId="7D74C27D" w:rsidR="00D735ED" w:rsidRDefault="00D735ED" w:rsidP="00D735ED">
            <w:pPr>
              <w:pStyle w:val="TableBullet"/>
            </w:pPr>
            <w:r>
              <w:t xml:space="preserve">Smaller-scale projects are unlikely to be relevant. Typical LIFE projects are for between two and five years and projects seeking less than </w:t>
            </w:r>
            <w:r w:rsidRPr="003F2962">
              <w:t>€</w:t>
            </w:r>
            <w:r>
              <w:t>0.5m are rarely successful due to their perceived limited outputs.</w:t>
            </w:r>
          </w:p>
          <w:p w14:paraId="6B46F0F9" w14:textId="21B3A3AF" w:rsidR="00D735ED" w:rsidRDefault="00D735ED" w:rsidP="00D735ED">
            <w:pPr>
              <w:pStyle w:val="TableBullet"/>
            </w:pPr>
            <w:r>
              <w:t>A major limitation is the technical capacity necessary to produce a successful LIFE funding application. Stakeholders indicate that this typically requires 6-12 months of full-time input, which is a major commitment for larger organisations and largely unfeasible for smaller organisations.</w:t>
            </w:r>
          </w:p>
          <w:p w14:paraId="1B976BAF" w14:textId="035629C7" w:rsidR="00D735ED" w:rsidRDefault="00D735ED" w:rsidP="00D735ED">
            <w:pPr>
              <w:pStyle w:val="TableBullet"/>
            </w:pPr>
            <w:r>
              <w:t>Difficulties in attaining match funding are often reported. Sometimes a piecemeal approach to match financing is taken, blending a range of short-term and long-term funds,</w:t>
            </w:r>
            <w:r w:rsidR="00B45B8C">
              <w:t xml:space="preserve"> </w:t>
            </w:r>
            <w:r>
              <w:t>which can be problematic for programme delivery.</w:t>
            </w:r>
          </w:p>
          <w:p w14:paraId="070046E4" w14:textId="1B8D6E38" w:rsidR="000005F4" w:rsidRPr="00B8489F" w:rsidRDefault="00D735ED" w:rsidP="00B45B8C">
            <w:pPr>
              <w:pStyle w:val="TableBullet"/>
            </w:pPr>
            <w:r>
              <w:t xml:space="preserve">Difficulties in meeting the ongoing reporting and financial management and auditing during the lifetime of the projects. Many project participants are inexperienced in this area and underestimate the scale of the work and expertise required. </w:t>
            </w:r>
          </w:p>
        </w:tc>
      </w:tr>
      <w:tr w:rsidR="000005F4" w14:paraId="063E78BF" w14:textId="77777777" w:rsidTr="000005F4">
        <w:tc>
          <w:tcPr>
            <w:tcW w:w="1415" w:type="dxa"/>
            <w:shd w:val="clear" w:color="auto" w:fill="auto"/>
          </w:tcPr>
          <w:p w14:paraId="5A90F9AF" w14:textId="77777777" w:rsidR="000005F4" w:rsidRPr="007B6DFE" w:rsidRDefault="000005F4" w:rsidP="000005F4">
            <w:pPr>
              <w:pStyle w:val="TableTextNoSpace"/>
              <w:rPr>
                <w:b/>
              </w:rPr>
            </w:pPr>
            <w:r w:rsidRPr="007B6DFE">
              <w:rPr>
                <w:b/>
              </w:rPr>
              <w:t>Increasing uptake &amp; integration</w:t>
            </w:r>
          </w:p>
        </w:tc>
        <w:tc>
          <w:tcPr>
            <w:tcW w:w="7656" w:type="dxa"/>
            <w:shd w:val="clear" w:color="auto" w:fill="auto"/>
          </w:tcPr>
          <w:p w14:paraId="06C78785" w14:textId="7C71025B" w:rsidR="000005F4" w:rsidRDefault="000005F4" w:rsidP="000005F4">
            <w:pPr>
              <w:pStyle w:val="TableBullet"/>
            </w:pPr>
            <w:r>
              <w:t>Promoting leadership from conservation NGOs and other major funders (eg. encouraging NGOs to develop co-funded projects with the Heritage Lottery Fund, with whom many Welsh NGOs have strong relationships) could help strengthen the scope and sustainability of LIFE funding in Wales – one ongoing bid is being led by the Wildlife Trusts, for example</w:t>
            </w:r>
            <w:r w:rsidR="00D735ED">
              <w:t xml:space="preserve">. </w:t>
            </w:r>
          </w:p>
          <w:p w14:paraId="2FA69DBC" w14:textId="23BF01CF" w:rsidR="000005F4" w:rsidRDefault="00D735ED" w:rsidP="000005F4">
            <w:pPr>
              <w:pStyle w:val="TableBullet"/>
            </w:pPr>
            <w:r>
              <w:t>Integrating several Traditional LIFE projects</w:t>
            </w:r>
            <w:r w:rsidR="000005F4">
              <w:t xml:space="preserve"> under </w:t>
            </w:r>
            <w:r>
              <w:t xml:space="preserve">a </w:t>
            </w:r>
            <w:r w:rsidR="000005F4">
              <w:t>specific theme (eg. Peatland) is an efficient way to pool best practice, resources and knowledge</w:t>
            </w:r>
            <w:r>
              <w:t xml:space="preserve">. </w:t>
            </w:r>
          </w:p>
          <w:p w14:paraId="16746774" w14:textId="039B385C" w:rsidR="00D735ED" w:rsidRDefault="000005F4" w:rsidP="00B45B8C">
            <w:pPr>
              <w:pStyle w:val="TableBullet"/>
            </w:pPr>
            <w:r>
              <w:t xml:space="preserve">Ensuring that funding proposals include an allocation for dedicated project officers- this reduces requirements on other funds and </w:t>
            </w:r>
            <w:r w:rsidR="00D735ED">
              <w:t xml:space="preserve">can contribute to more effective project management </w:t>
            </w:r>
            <w:r>
              <w:t>- examples such as the Environment Wales Fund underline the success of this approach</w:t>
            </w:r>
            <w:r w:rsidR="00D735ED">
              <w:t>.</w:t>
            </w:r>
          </w:p>
          <w:p w14:paraId="25FDF36A" w14:textId="68C46F80" w:rsidR="000005F4" w:rsidRDefault="00D735ED" w:rsidP="00B45B8C">
            <w:pPr>
              <w:pStyle w:val="TableBullet"/>
            </w:pPr>
            <w:r>
              <w:t xml:space="preserve">Similarly, having a dedicated community/stakeholder liaison officer can strengthen the effectiveness of overall programme management through local engagement and support. </w:t>
            </w:r>
          </w:p>
          <w:p w14:paraId="1CFFC352" w14:textId="77777777" w:rsidR="00D735ED" w:rsidRDefault="00D735ED" w:rsidP="00B45B8C">
            <w:pPr>
              <w:pStyle w:val="TableBullet"/>
            </w:pPr>
            <w:r>
              <w:t>Wider dissemination of the BetaEurope support service to prospective applicants, and ensuring the service is useful and effective.</w:t>
            </w:r>
          </w:p>
          <w:p w14:paraId="1AF4E636" w14:textId="52F67F14" w:rsidR="00D735ED" w:rsidRDefault="00D735ED" w:rsidP="00B45B8C">
            <w:pPr>
              <w:pStyle w:val="TableBullet"/>
            </w:pPr>
            <w:r>
              <w:t xml:space="preserve">Wider dissemination of financial management and reporting advice and best practice. - </w:t>
            </w:r>
          </w:p>
          <w:p w14:paraId="6983F442" w14:textId="1916EFFC" w:rsidR="000005F4" w:rsidRPr="00B8489F" w:rsidRDefault="00D735ED" w:rsidP="00B45B8C">
            <w:pPr>
              <w:pStyle w:val="TableBullet"/>
            </w:pPr>
            <w:r>
              <w:t>Better use of the LIFE programme toolkit, and development of UK/Wales-specific examples. Dissemination of best practice.</w:t>
            </w:r>
          </w:p>
        </w:tc>
      </w:tr>
      <w:tr w:rsidR="000005F4" w14:paraId="797EB03C" w14:textId="77777777" w:rsidTr="000005F4">
        <w:tc>
          <w:tcPr>
            <w:tcW w:w="1415" w:type="dxa"/>
            <w:shd w:val="clear" w:color="auto" w:fill="auto"/>
          </w:tcPr>
          <w:p w14:paraId="25AAF907" w14:textId="0AB19380" w:rsidR="000005F4" w:rsidRPr="007B6DFE" w:rsidRDefault="000005F4" w:rsidP="000005F4">
            <w:pPr>
              <w:pStyle w:val="TableTextNoSpace"/>
              <w:rPr>
                <w:b/>
              </w:rPr>
            </w:pPr>
            <w:r w:rsidRPr="007B6DFE">
              <w:rPr>
                <w:b/>
              </w:rPr>
              <w:t>Useful references &amp; links</w:t>
            </w:r>
          </w:p>
        </w:tc>
        <w:tc>
          <w:tcPr>
            <w:tcW w:w="7656" w:type="dxa"/>
            <w:shd w:val="clear" w:color="auto" w:fill="auto"/>
          </w:tcPr>
          <w:p w14:paraId="2B203984" w14:textId="77777777" w:rsidR="000005F4" w:rsidRPr="00846A39" w:rsidRDefault="000005F4" w:rsidP="00B45B8C">
            <w:pPr>
              <w:pStyle w:val="TableTextNoSpace"/>
              <w:jc w:val="left"/>
              <w:rPr>
                <w:szCs w:val="18"/>
                <w:lang w:val="en-US"/>
              </w:rPr>
            </w:pPr>
            <w:r>
              <w:rPr>
                <w:szCs w:val="18"/>
              </w:rPr>
              <w:t xml:space="preserve"> EU LIFE Programme toolkit </w:t>
            </w:r>
            <w:hyperlink r:id="rId87" w:history="1">
              <w:r w:rsidRPr="00846A39">
                <w:rPr>
                  <w:rStyle w:val="Hyperlink"/>
                  <w:szCs w:val="18"/>
                </w:rPr>
                <w:t>http://ec.europa.eu/environment/life/toolkit/pmtools/index.htm</w:t>
              </w:r>
            </w:hyperlink>
          </w:p>
          <w:p w14:paraId="0E4B4ABB" w14:textId="77777777" w:rsidR="000005F4" w:rsidRPr="002B5CE0" w:rsidRDefault="000005F4" w:rsidP="000005F4">
            <w:pPr>
              <w:pStyle w:val="TableTextNoSpace"/>
              <w:ind w:left="0"/>
              <w:rPr>
                <w:szCs w:val="18"/>
              </w:rPr>
            </w:pPr>
          </w:p>
        </w:tc>
      </w:tr>
    </w:tbl>
    <w:p w14:paraId="0C3BF8DE" w14:textId="77777777" w:rsidR="000005F4" w:rsidRPr="00096C64" w:rsidRDefault="000005F4" w:rsidP="000005F4">
      <w:pPr>
        <w:pStyle w:val="BodyText"/>
      </w:pPr>
    </w:p>
    <w:bookmarkEnd w:id="285"/>
    <w:p w14:paraId="23E7FB3A" w14:textId="77777777" w:rsidR="000005F4" w:rsidRPr="000005F4" w:rsidRDefault="000005F4" w:rsidP="000005F4"/>
    <w:p w14:paraId="1DB4B427" w14:textId="51B63982" w:rsidR="000005F4" w:rsidRDefault="000005F4" w:rsidP="000005F4">
      <w:pPr>
        <w:pStyle w:val="AnnexHeading"/>
      </w:pPr>
      <w:bookmarkStart w:id="295" w:name="_Toc407618019"/>
      <w:bookmarkStart w:id="296" w:name="_Toc408094027"/>
      <w:bookmarkStart w:id="297" w:name="_Toc408138029"/>
      <w:bookmarkStart w:id="298" w:name="_Toc408851013"/>
      <w:bookmarkStart w:id="299" w:name="_Toc421880689"/>
      <w:r>
        <w:t>Review of other sector plans, strategies and public funds</w:t>
      </w:r>
      <w:bookmarkEnd w:id="295"/>
      <w:bookmarkEnd w:id="296"/>
      <w:bookmarkEnd w:id="297"/>
      <w:bookmarkEnd w:id="298"/>
      <w:bookmarkEnd w:id="299"/>
      <w:r>
        <w:t xml:space="preserve"> </w:t>
      </w:r>
    </w:p>
    <w:p w14:paraId="3870108A" w14:textId="77777777" w:rsidR="000005F4" w:rsidRDefault="000005F4" w:rsidP="000005F4">
      <w:pPr>
        <w:pStyle w:val="Heading2NoNumb"/>
      </w:pPr>
      <w:bookmarkStart w:id="300" w:name="_Toc408094028"/>
      <w:bookmarkStart w:id="301" w:name="_Toc408138030"/>
      <w:bookmarkStart w:id="302" w:name="_Toc408851014"/>
      <w:bookmarkStart w:id="303" w:name="_Toc421880690"/>
      <w:r>
        <w:t>River Basin Management</w:t>
      </w:r>
      <w:bookmarkEnd w:id="300"/>
      <w:bookmarkEnd w:id="301"/>
      <w:bookmarkEnd w:id="302"/>
      <w:bookmarkEnd w:id="303"/>
      <w:r>
        <w:t xml:space="preserve"> </w:t>
      </w:r>
    </w:p>
    <w:tbl>
      <w:tblPr>
        <w:tblW w:w="9071" w:type="dxa"/>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Layout w:type="fixed"/>
        <w:tblCellMar>
          <w:top w:w="57" w:type="dxa"/>
          <w:left w:w="0" w:type="dxa"/>
          <w:bottom w:w="28" w:type="dxa"/>
          <w:right w:w="0" w:type="dxa"/>
        </w:tblCellMar>
        <w:tblLook w:val="0000" w:firstRow="0" w:lastRow="0" w:firstColumn="0" w:lastColumn="0" w:noHBand="0" w:noVBand="0"/>
      </w:tblPr>
      <w:tblGrid>
        <w:gridCol w:w="1704"/>
        <w:gridCol w:w="7367"/>
      </w:tblGrid>
      <w:tr w:rsidR="000005F4" w14:paraId="4C725AD6" w14:textId="77777777" w:rsidTr="000005F4">
        <w:trPr>
          <w:cantSplit/>
        </w:trPr>
        <w:tc>
          <w:tcPr>
            <w:tcW w:w="1704" w:type="dxa"/>
            <w:shd w:val="clear" w:color="auto" w:fill="auto"/>
          </w:tcPr>
          <w:p w14:paraId="3E3745D7" w14:textId="77777777" w:rsidR="000005F4" w:rsidRDefault="000005F4" w:rsidP="000005F4">
            <w:pPr>
              <w:pStyle w:val="TableHeading"/>
            </w:pPr>
          </w:p>
        </w:tc>
        <w:tc>
          <w:tcPr>
            <w:tcW w:w="7367" w:type="dxa"/>
            <w:shd w:val="solid" w:color="0067AB" w:fill="0067AB"/>
          </w:tcPr>
          <w:p w14:paraId="697F1C6C" w14:textId="77777777" w:rsidR="000005F4" w:rsidRDefault="000005F4" w:rsidP="000005F4">
            <w:pPr>
              <w:pStyle w:val="TableHeadingWhite"/>
            </w:pPr>
          </w:p>
        </w:tc>
      </w:tr>
      <w:tr w:rsidR="000005F4" w14:paraId="2EC6032B" w14:textId="77777777" w:rsidTr="000005F4">
        <w:tc>
          <w:tcPr>
            <w:tcW w:w="1704" w:type="dxa"/>
            <w:shd w:val="clear" w:color="auto" w:fill="auto"/>
          </w:tcPr>
          <w:p w14:paraId="5A13AA65" w14:textId="77777777" w:rsidR="000005F4" w:rsidRPr="00781F02" w:rsidRDefault="000005F4" w:rsidP="000005F4">
            <w:pPr>
              <w:pStyle w:val="TableTextNoSpace"/>
              <w:rPr>
                <w:b/>
              </w:rPr>
            </w:pPr>
            <w:r w:rsidRPr="004C5446">
              <w:rPr>
                <w:b/>
              </w:rPr>
              <w:t>Background &amp; relevance</w:t>
            </w:r>
          </w:p>
        </w:tc>
        <w:tc>
          <w:tcPr>
            <w:tcW w:w="7367" w:type="dxa"/>
            <w:shd w:val="clear" w:color="auto" w:fill="auto"/>
          </w:tcPr>
          <w:p w14:paraId="3F7CB8B0" w14:textId="77777777" w:rsidR="000005F4" w:rsidRDefault="000005F4" w:rsidP="000005F4">
            <w:pPr>
              <w:pStyle w:val="Bullet1"/>
              <w:numPr>
                <w:ilvl w:val="0"/>
                <w:numId w:val="0"/>
              </w:numPr>
              <w:ind w:left="57"/>
            </w:pPr>
            <w:r w:rsidRPr="004C5446">
              <w:t>Wales has 3 River Basin Districts (RBDs) under the Water Framework Directive. Each RBD is required to submit a River Basin Management Plan for the 2015-2021 period, outlining measures for meeting ‘good chemical and ecological status’ in water bodies by this date. The Welsh Government has a legal requirement to meet these objectives, and water companies have a statutory requirement under the pricing review structure. The RBMP process identifies measure to protect and restore the water environment. It includes actions to achieve objectives for Natura 2000 sites</w:t>
            </w:r>
          </w:p>
        </w:tc>
      </w:tr>
      <w:tr w:rsidR="000005F4" w14:paraId="5F1F7A4C" w14:textId="77777777" w:rsidTr="000005F4">
        <w:tc>
          <w:tcPr>
            <w:tcW w:w="1704" w:type="dxa"/>
            <w:shd w:val="clear" w:color="auto" w:fill="auto"/>
          </w:tcPr>
          <w:p w14:paraId="7D744A2E" w14:textId="77777777" w:rsidR="000005F4" w:rsidRPr="00781F02" w:rsidRDefault="000005F4" w:rsidP="000005F4">
            <w:pPr>
              <w:pStyle w:val="TableTextNoSpace"/>
              <w:rPr>
                <w:b/>
              </w:rPr>
            </w:pPr>
            <w:r w:rsidRPr="00781F02">
              <w:rPr>
                <w:b/>
              </w:rPr>
              <w:t>Funding available</w:t>
            </w:r>
          </w:p>
        </w:tc>
        <w:tc>
          <w:tcPr>
            <w:tcW w:w="7367" w:type="dxa"/>
            <w:shd w:val="clear" w:color="auto" w:fill="auto"/>
          </w:tcPr>
          <w:p w14:paraId="714EC470" w14:textId="77777777" w:rsidR="000005F4" w:rsidRDefault="000005F4" w:rsidP="000005F4">
            <w:pPr>
              <w:pStyle w:val="Bullet1"/>
              <w:numPr>
                <w:ilvl w:val="0"/>
                <w:numId w:val="0"/>
              </w:numPr>
              <w:ind w:left="340" w:hanging="340"/>
            </w:pPr>
            <w:r>
              <w:t xml:space="preserve"> Regulatory drivers under the WFD have led to a range of funds:</w:t>
            </w:r>
          </w:p>
          <w:p w14:paraId="75D2F518" w14:textId="77777777" w:rsidR="000005F4" w:rsidRDefault="000005F4" w:rsidP="00B45B8C">
            <w:pPr>
              <w:pStyle w:val="TableBullet"/>
            </w:pPr>
            <w:r>
              <w:t xml:space="preserve">Dwr Cymru operates an annual £550,000 funding scheme </w:t>
            </w:r>
          </w:p>
          <w:p w14:paraId="39119607" w14:textId="2CCDCD08" w:rsidR="000005F4" w:rsidRDefault="000005F4" w:rsidP="00B45B8C">
            <w:pPr>
              <w:pStyle w:val="TableBullet"/>
            </w:pPr>
            <w:r>
              <w:t xml:space="preserve">NRW also </w:t>
            </w:r>
            <w:r w:rsidR="00B45B8C">
              <w:t>o</w:t>
            </w:r>
            <w:r>
              <w:t>perates a</w:t>
            </w:r>
            <w:r w:rsidR="00B45B8C">
              <w:t>n</w:t>
            </w:r>
            <w:r>
              <w:t xml:space="preserve"> annual £550,000 WFD funding scheme </w:t>
            </w:r>
          </w:p>
          <w:p w14:paraId="5880D881" w14:textId="142D94EE" w:rsidR="000005F4" w:rsidRDefault="000005F4" w:rsidP="00B45B8C">
            <w:pPr>
              <w:pStyle w:val="TableBullet"/>
            </w:pPr>
            <w:r>
              <w:t xml:space="preserve">Most of the projects funded address a specific management issue </w:t>
            </w:r>
            <w:r w:rsidR="00D735ED">
              <w:t xml:space="preserve">(eg. phosphorus </w:t>
            </w:r>
            <w:r>
              <w:t xml:space="preserve">loading, </w:t>
            </w:r>
            <w:r w:rsidR="00D735ED">
              <w:t>acidification, barriers to fish migration and diffuse pollution) but many also have a focus on community engagement and education through conservation work. Additional funds also include:</w:t>
            </w:r>
            <w:r w:rsidR="00B45B8C">
              <w:t xml:space="preserve"> </w:t>
            </w:r>
            <w:r>
              <w:t xml:space="preserve">A Dwr Cyrmu specialist fund to tackle invasive species on its land areas (£50,000 total) </w:t>
            </w:r>
          </w:p>
          <w:p w14:paraId="61FEAB92" w14:textId="77777777" w:rsidR="000005F4" w:rsidRDefault="000005F4" w:rsidP="00B45B8C">
            <w:pPr>
              <w:pStyle w:val="TableBullet"/>
            </w:pPr>
            <w:r>
              <w:t xml:space="preserve">Glastir Efficiency (capital) Grants for Priority Water Catchments </w:t>
            </w:r>
          </w:p>
          <w:p w14:paraId="0208F0A9" w14:textId="77777777" w:rsidR="000005F4" w:rsidRDefault="000005F4" w:rsidP="00B45B8C">
            <w:pPr>
              <w:pStyle w:val="TableBullet"/>
            </w:pPr>
            <w:r>
              <w:t xml:space="preserve">Catchment Sensitive Farming – providing up to £10,000 for capital works to tackle diffuse pollution </w:t>
            </w:r>
          </w:p>
          <w:p w14:paraId="2C053719" w14:textId="77777777" w:rsidR="000005F4" w:rsidRPr="00E452A2" w:rsidRDefault="000005F4" w:rsidP="00B45B8C">
            <w:pPr>
              <w:pStyle w:val="TableBullet"/>
            </w:pPr>
            <w:r>
              <w:t xml:space="preserve">Various small funds administered by the Rivers Trusts </w:t>
            </w:r>
          </w:p>
        </w:tc>
      </w:tr>
      <w:tr w:rsidR="000005F4" w14:paraId="6EC5A8EA" w14:textId="77777777" w:rsidTr="000005F4">
        <w:tc>
          <w:tcPr>
            <w:tcW w:w="1704" w:type="dxa"/>
            <w:shd w:val="clear" w:color="auto" w:fill="auto"/>
          </w:tcPr>
          <w:p w14:paraId="55A399A3" w14:textId="77777777" w:rsidR="000005F4" w:rsidRPr="00781F02" w:rsidRDefault="000005F4" w:rsidP="000005F4">
            <w:pPr>
              <w:pStyle w:val="TableTextNoSpace"/>
              <w:rPr>
                <w:b/>
              </w:rPr>
            </w:pPr>
            <w:r w:rsidRPr="00781F02">
              <w:rPr>
                <w:b/>
              </w:rPr>
              <w:t>Opportunities for Natura</w:t>
            </w:r>
            <w:r>
              <w:rPr>
                <w:b/>
              </w:rPr>
              <w:t xml:space="preserve"> 2000 </w:t>
            </w:r>
          </w:p>
        </w:tc>
        <w:tc>
          <w:tcPr>
            <w:tcW w:w="7367" w:type="dxa"/>
            <w:shd w:val="clear" w:color="auto" w:fill="auto"/>
          </w:tcPr>
          <w:p w14:paraId="0049EEDD" w14:textId="77777777" w:rsidR="000005F4" w:rsidRDefault="000005F4" w:rsidP="000005F4">
            <w:pPr>
              <w:pStyle w:val="Bullet1"/>
            </w:pPr>
            <w:r>
              <w:t>WFD objectives can be a major catalyst for investment in ecological restoration</w:t>
            </w:r>
          </w:p>
          <w:p w14:paraId="2F5D564C" w14:textId="77777777" w:rsidR="000005F4" w:rsidRDefault="000005F4" w:rsidP="000005F4">
            <w:pPr>
              <w:pStyle w:val="Bullet1"/>
              <w:numPr>
                <w:ilvl w:val="0"/>
                <w:numId w:val="0"/>
              </w:numPr>
              <w:ind w:left="340"/>
            </w:pPr>
            <w:r>
              <w:t xml:space="preserve">in terrestrial, freshwater and wetland habitats  </w:t>
            </w:r>
          </w:p>
          <w:p w14:paraId="2AC47C6D" w14:textId="77777777" w:rsidR="000005F4" w:rsidRDefault="000005F4" w:rsidP="000005F4">
            <w:pPr>
              <w:pStyle w:val="Bullet1"/>
            </w:pPr>
            <w:r>
              <w:t xml:space="preserve">Funding sources are relatively large in scale and lifespan </w:t>
            </w:r>
          </w:p>
          <w:p w14:paraId="4EE62927" w14:textId="77777777" w:rsidR="000005F4" w:rsidRPr="00E452A2" w:rsidRDefault="000005F4" w:rsidP="000005F4">
            <w:pPr>
              <w:pStyle w:val="Bullet1"/>
            </w:pPr>
            <w:r>
              <w:t xml:space="preserve">Investments usually bring co-benefits for environmental education and community engagement </w:t>
            </w:r>
          </w:p>
        </w:tc>
      </w:tr>
      <w:tr w:rsidR="000005F4" w14:paraId="454F00B3" w14:textId="77777777" w:rsidTr="000005F4">
        <w:tc>
          <w:tcPr>
            <w:tcW w:w="1704" w:type="dxa"/>
            <w:shd w:val="clear" w:color="auto" w:fill="auto"/>
          </w:tcPr>
          <w:p w14:paraId="2FEDFA7E" w14:textId="77777777" w:rsidR="000005F4" w:rsidRPr="00781F02" w:rsidRDefault="000005F4" w:rsidP="000005F4">
            <w:pPr>
              <w:pStyle w:val="TableTextNoSpace"/>
              <w:rPr>
                <w:b/>
              </w:rPr>
            </w:pPr>
            <w:r w:rsidRPr="00781F02">
              <w:rPr>
                <w:b/>
              </w:rPr>
              <w:t>Limitations &amp; constraints</w:t>
            </w:r>
          </w:p>
        </w:tc>
        <w:tc>
          <w:tcPr>
            <w:tcW w:w="7367" w:type="dxa"/>
            <w:shd w:val="clear" w:color="auto" w:fill="auto"/>
          </w:tcPr>
          <w:p w14:paraId="7D845FAB" w14:textId="77777777" w:rsidR="00D735ED" w:rsidRDefault="00D735ED" w:rsidP="007552E3">
            <w:pPr>
              <w:pStyle w:val="TableBullet"/>
            </w:pPr>
            <w:r>
              <w:t>NRW/Habitats Directive management cycles and the price review cycle are not aligned to maximise investment from water companies.</w:t>
            </w:r>
          </w:p>
          <w:p w14:paraId="5A570E7E" w14:textId="33B72E73" w:rsidR="00D735ED" w:rsidRDefault="00D735ED" w:rsidP="007552E3">
            <w:pPr>
              <w:pStyle w:val="TableBullet"/>
            </w:pPr>
            <w:r>
              <w:t>Investment in terrestrial conservation in relation to the WFD is poorly defined under Welsh legislation so regulatory drivers are weak.</w:t>
            </w:r>
          </w:p>
          <w:p w14:paraId="3F15E069" w14:textId="138BA7C0" w:rsidR="000005F4" w:rsidRPr="00E452A2" w:rsidRDefault="00D735ED" w:rsidP="007552E3">
            <w:pPr>
              <w:pStyle w:val="TableBullet"/>
            </w:pPr>
            <w:r>
              <w:t xml:space="preserve">Investment in natural solutions to River Basin Management is underdeveloped in Wales in comparison to elsewhere in the UK.   </w:t>
            </w:r>
          </w:p>
        </w:tc>
      </w:tr>
      <w:tr w:rsidR="000005F4" w14:paraId="78781D0F" w14:textId="77777777" w:rsidTr="000005F4">
        <w:tc>
          <w:tcPr>
            <w:tcW w:w="1704" w:type="dxa"/>
            <w:shd w:val="clear" w:color="auto" w:fill="auto"/>
          </w:tcPr>
          <w:p w14:paraId="02DAAF31" w14:textId="77777777" w:rsidR="000005F4" w:rsidRDefault="000005F4" w:rsidP="000005F4">
            <w:pPr>
              <w:pStyle w:val="TableTextNoSpace"/>
              <w:rPr>
                <w:b/>
              </w:rPr>
            </w:pPr>
            <w:r w:rsidRPr="007B6DFE">
              <w:rPr>
                <w:b/>
              </w:rPr>
              <w:t>Increasing uptake &amp;</w:t>
            </w:r>
          </w:p>
          <w:p w14:paraId="1A7FAE50" w14:textId="77777777" w:rsidR="000005F4" w:rsidRPr="009F1463" w:rsidRDefault="000005F4" w:rsidP="000005F4">
            <w:pPr>
              <w:pStyle w:val="TableTextNoSpace"/>
              <w:rPr>
                <w:b/>
              </w:rPr>
            </w:pPr>
            <w:r w:rsidRPr="007B6DFE">
              <w:rPr>
                <w:b/>
              </w:rPr>
              <w:t>integr</w:t>
            </w:r>
            <w:r>
              <w:rPr>
                <w:b/>
              </w:rPr>
              <w:t>a</w:t>
            </w:r>
            <w:r w:rsidRPr="007B6DFE">
              <w:rPr>
                <w:b/>
              </w:rPr>
              <w:t>tion</w:t>
            </w:r>
          </w:p>
        </w:tc>
        <w:tc>
          <w:tcPr>
            <w:tcW w:w="7367" w:type="dxa"/>
            <w:shd w:val="clear" w:color="auto" w:fill="auto"/>
          </w:tcPr>
          <w:p w14:paraId="484B7E82" w14:textId="157DD044" w:rsidR="00D735ED" w:rsidRDefault="00D735ED" w:rsidP="007552E3">
            <w:pPr>
              <w:pStyle w:val="TableBullet"/>
            </w:pPr>
            <w:r>
              <w:t xml:space="preserve">Continue to strengthen links between Natura 2000 management actions and River Basin Management Plan measures in the NRW Actions Database. </w:t>
            </w:r>
          </w:p>
          <w:p w14:paraId="13411047" w14:textId="77777777" w:rsidR="00D735ED" w:rsidRDefault="00D735ED" w:rsidP="007552E3">
            <w:pPr>
              <w:pStyle w:val="TableBullet"/>
            </w:pPr>
            <w:r>
              <w:t>Wider use of match funding against other large funds (e.g. the RDP, WREN).</w:t>
            </w:r>
          </w:p>
          <w:p w14:paraId="1C154EAE" w14:textId="7D8ADD36" w:rsidR="000005F4" w:rsidRPr="00E452A2" w:rsidRDefault="00D735ED" w:rsidP="007552E3">
            <w:pPr>
              <w:pStyle w:val="TableBullet"/>
            </w:pPr>
            <w:r>
              <w:t>Development of a discretionary ‘funding pot’ for WFD investments.</w:t>
            </w:r>
          </w:p>
        </w:tc>
      </w:tr>
    </w:tbl>
    <w:p w14:paraId="32FFBCF7" w14:textId="77777777" w:rsidR="000005F4" w:rsidRDefault="000005F4" w:rsidP="000005F4">
      <w:pPr>
        <w:pStyle w:val="Heading2NoNumb"/>
      </w:pPr>
      <w:bookmarkStart w:id="304" w:name="_Toc408094029"/>
      <w:bookmarkStart w:id="305" w:name="_Toc408138031"/>
      <w:bookmarkStart w:id="306" w:name="_Toc408851015"/>
      <w:bookmarkStart w:id="307" w:name="_Toc421880691"/>
      <w:r>
        <w:t>Flood and Coastal Erosion Risk Management (FCERM)</w:t>
      </w:r>
      <w:bookmarkEnd w:id="304"/>
      <w:bookmarkEnd w:id="305"/>
      <w:bookmarkEnd w:id="306"/>
      <w:bookmarkEnd w:id="307"/>
    </w:p>
    <w:tbl>
      <w:tblPr>
        <w:tblW w:w="9071" w:type="dxa"/>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Layout w:type="fixed"/>
        <w:tblCellMar>
          <w:top w:w="57" w:type="dxa"/>
          <w:left w:w="0" w:type="dxa"/>
          <w:bottom w:w="28" w:type="dxa"/>
          <w:right w:w="0" w:type="dxa"/>
        </w:tblCellMar>
        <w:tblLook w:val="0000" w:firstRow="0" w:lastRow="0" w:firstColumn="0" w:lastColumn="0" w:noHBand="0" w:noVBand="0"/>
      </w:tblPr>
      <w:tblGrid>
        <w:gridCol w:w="1704"/>
        <w:gridCol w:w="7367"/>
      </w:tblGrid>
      <w:tr w:rsidR="000005F4" w14:paraId="4B59291F" w14:textId="77777777" w:rsidTr="000005F4">
        <w:trPr>
          <w:cantSplit/>
        </w:trPr>
        <w:tc>
          <w:tcPr>
            <w:tcW w:w="1704" w:type="dxa"/>
            <w:shd w:val="clear" w:color="auto" w:fill="auto"/>
          </w:tcPr>
          <w:p w14:paraId="18011498" w14:textId="77777777" w:rsidR="000005F4" w:rsidRDefault="000005F4" w:rsidP="000005F4">
            <w:pPr>
              <w:pStyle w:val="TableHeading"/>
            </w:pPr>
          </w:p>
        </w:tc>
        <w:tc>
          <w:tcPr>
            <w:tcW w:w="7367" w:type="dxa"/>
            <w:shd w:val="solid" w:color="0067AB" w:fill="0067AB"/>
          </w:tcPr>
          <w:p w14:paraId="7C7FBBEB" w14:textId="77777777" w:rsidR="000005F4" w:rsidRDefault="000005F4" w:rsidP="000005F4">
            <w:pPr>
              <w:pStyle w:val="TableHeadingWhite"/>
            </w:pPr>
          </w:p>
        </w:tc>
      </w:tr>
      <w:tr w:rsidR="000005F4" w14:paraId="059A3D5C" w14:textId="77777777" w:rsidTr="000005F4">
        <w:tc>
          <w:tcPr>
            <w:tcW w:w="1704" w:type="dxa"/>
            <w:shd w:val="clear" w:color="auto" w:fill="auto"/>
          </w:tcPr>
          <w:p w14:paraId="368B62C1" w14:textId="77777777" w:rsidR="000005F4" w:rsidRPr="00781F02" w:rsidRDefault="000005F4" w:rsidP="000005F4">
            <w:pPr>
              <w:pStyle w:val="TableTextNoSpace"/>
              <w:rPr>
                <w:b/>
              </w:rPr>
            </w:pPr>
            <w:r w:rsidRPr="00781F02">
              <w:rPr>
                <w:b/>
              </w:rPr>
              <w:t>Background &amp; relevance</w:t>
            </w:r>
          </w:p>
        </w:tc>
        <w:tc>
          <w:tcPr>
            <w:tcW w:w="7367" w:type="dxa"/>
            <w:shd w:val="clear" w:color="auto" w:fill="auto"/>
          </w:tcPr>
          <w:p w14:paraId="1C584D73" w14:textId="3F190969" w:rsidR="000005F4" w:rsidRDefault="000005F4" w:rsidP="000005F4">
            <w:pPr>
              <w:pStyle w:val="TableTextNoSpace"/>
            </w:pPr>
            <w:r>
              <w:t xml:space="preserve">A growing range of funds are available to support investment in coastal restoration and managed realignment projects as part of coastal defence investments- in many cases, these investments may overlap with coastal and wetland Natura 2000 sites. Flood defence measures (which are mostly funded through £700m of annual UK Government investments) are increasingly recognising the effectiveness of ecosystem restoration and ‘working with natural processes’ as an alternative to engineered solutions. </w:t>
            </w:r>
            <w:r w:rsidR="00D735ED">
              <w:t>NRW</w:t>
            </w:r>
            <w:r>
              <w:t xml:space="preserve"> owns and maintains over 504km of river and coastal flood defence.</w:t>
            </w:r>
          </w:p>
          <w:p w14:paraId="029FE543" w14:textId="77777777" w:rsidR="000005F4" w:rsidRDefault="000005F4" w:rsidP="000005F4">
            <w:pPr>
              <w:pStyle w:val="TableTextNoSpace"/>
              <w:ind w:left="0"/>
            </w:pPr>
            <w:r>
              <w:t>The plan and policy framework includes:</w:t>
            </w:r>
          </w:p>
          <w:p w14:paraId="4B2ADC75" w14:textId="77777777" w:rsidR="000005F4" w:rsidRPr="001D17EB" w:rsidRDefault="000005F4" w:rsidP="000005F4">
            <w:pPr>
              <w:pStyle w:val="BodyText"/>
              <w:ind w:left="0"/>
            </w:pPr>
            <w:r w:rsidRPr="001D17EB">
              <w:t xml:space="preserve">The </w:t>
            </w:r>
            <w:r w:rsidRPr="001D17EB">
              <w:rPr>
                <w:b/>
              </w:rPr>
              <w:t>National Strategy</w:t>
            </w:r>
            <w:r w:rsidRPr="001D17EB">
              <w:t xml:space="preserve"> for FCERM provides a national framework. The Welsh Government has stated that the National Strategy represents a change in the way in which FCERM is dealt with in Wales, moving from dealing with defence and drainage alone, to dealing with sustainable and innovative approaches and working with natural processes rather than against them. </w:t>
            </w:r>
          </w:p>
          <w:p w14:paraId="46585949" w14:textId="77777777" w:rsidR="000005F4" w:rsidRDefault="000005F4" w:rsidP="000005F4">
            <w:pPr>
              <w:pStyle w:val="BodyText"/>
              <w:ind w:left="0"/>
            </w:pPr>
            <w:r w:rsidRPr="001D17EB">
              <w:rPr>
                <w:b/>
              </w:rPr>
              <w:t xml:space="preserve">Shoreline Management Plans </w:t>
            </w:r>
            <w:r w:rsidRPr="001D17EB">
              <w:t>(SMPs)</w:t>
            </w:r>
            <w:r w:rsidRPr="002E285D">
              <w:t xml:space="preserve"> are large-scale assessments of the risks associated with coastal processes and aim to reduce these risks to people and the developed, historic and natural environments – they are high level planning documents that provide a ‘route map’ for managing coastal flooding and erosion risks. </w:t>
            </w:r>
            <w:r>
              <w:t>There are four SMPs in Wales</w:t>
            </w:r>
            <w:r w:rsidRPr="002E285D">
              <w:t>.</w:t>
            </w:r>
            <w:r>
              <w:t xml:space="preserve"> </w:t>
            </w:r>
            <w:r w:rsidRPr="002E285D">
              <w:t>An SMP policy describes how a stretch of shoreline is most likely to be managed to address flood and/or erosion over the long term</w:t>
            </w:r>
            <w:r>
              <w:rPr>
                <w:lang w:val="en" w:eastAsia="en-GB"/>
              </w:rPr>
              <w:t xml:space="preserve"> (100 years)</w:t>
            </w:r>
            <w:r w:rsidRPr="00696D44">
              <w:rPr>
                <w:lang w:val="en" w:eastAsia="en-GB"/>
              </w:rPr>
              <w:t xml:space="preserve">. </w:t>
            </w:r>
            <w:r>
              <w:t>The SMP Action Plan is the key SMP implementation document. These plans should identify all actions required to deliver the policy options set out in the SMP. SMPs were developed by Coastal Groups (including as a minimum Local Authorities and NRW).</w:t>
            </w:r>
          </w:p>
          <w:p w14:paraId="46661BC3" w14:textId="77777777" w:rsidR="000005F4" w:rsidRDefault="000005F4" w:rsidP="000005F4">
            <w:pPr>
              <w:pStyle w:val="BodyText"/>
              <w:ind w:left="0"/>
            </w:pPr>
            <w:r>
              <w:rPr>
                <w:b/>
              </w:rPr>
              <w:t xml:space="preserve">Catchment Flood Management Plans (CFMPs) </w:t>
            </w:r>
            <w:r>
              <w:rPr>
                <w:lang w:val="en"/>
              </w:rPr>
              <w:t xml:space="preserve">consider all types of inland flooding, from rivers, groundwater, surface water and tidal flooding. They consider the </w:t>
            </w:r>
            <w:r w:rsidRPr="001D17EB">
              <w:t>scale and extent of flooding now and in the future, and set policies for managing flood risk within the catchments.</w:t>
            </w:r>
            <w:r>
              <w:rPr>
                <w:lang w:val="en"/>
              </w:rPr>
              <w:t xml:space="preserve"> In this sense they operate at a similar strategic level to SMPs. CFMPs are about to be superseded by </w:t>
            </w:r>
            <w:r w:rsidRPr="001D17EB">
              <w:rPr>
                <w:b/>
              </w:rPr>
              <w:t>Flood Risk Management Plans (FRMPs)</w:t>
            </w:r>
            <w:r w:rsidRPr="00190A3C">
              <w:t>,</w:t>
            </w:r>
            <w:r>
              <w:rPr>
                <w:b/>
              </w:rPr>
              <w:t xml:space="preserve"> </w:t>
            </w:r>
            <w:r>
              <w:t>which stem from the European Flood Directive and will be statutory plans (and so carry more weight than CFMPs which are non-statutory). They will largely draw on the existing information already set out in the CFMPs. The Wales FRMPs are currently out for consultation and will be revised and finalised by December 2015. They will be formally reviewed every six years.</w:t>
            </w:r>
          </w:p>
          <w:p w14:paraId="5643E44D" w14:textId="11B835EE" w:rsidR="000005F4" w:rsidRPr="00E452A2" w:rsidRDefault="000005F4" w:rsidP="00D735ED">
            <w:pPr>
              <w:pStyle w:val="TableTextNoSpace"/>
            </w:pPr>
            <w:r>
              <w:t xml:space="preserve">SMPs and CFMPs/FRMPs provide the drive for </w:t>
            </w:r>
            <w:r w:rsidRPr="001D17EB">
              <w:rPr>
                <w:b/>
              </w:rPr>
              <w:t xml:space="preserve">local level </w:t>
            </w:r>
            <w:r>
              <w:rPr>
                <w:b/>
              </w:rPr>
              <w:t xml:space="preserve">strategies, </w:t>
            </w:r>
            <w:r>
              <w:t xml:space="preserve">or more commonly </w:t>
            </w:r>
            <w:r>
              <w:rPr>
                <w:b/>
              </w:rPr>
              <w:t>local level schemes</w:t>
            </w:r>
            <w:r>
              <w:t xml:space="preserve">. The </w:t>
            </w:r>
            <w:r w:rsidR="00D735ED">
              <w:t>development of options</w:t>
            </w:r>
            <w:r>
              <w:t xml:space="preserve"> will identify the preferred approach to coastal risk management proposing the best type of engineering scheme, taking account of economic and environmental issues, and any compensatory habitat requirements.</w:t>
            </w:r>
          </w:p>
        </w:tc>
      </w:tr>
      <w:tr w:rsidR="000005F4" w14:paraId="3782A9CF" w14:textId="77777777" w:rsidTr="000005F4">
        <w:tc>
          <w:tcPr>
            <w:tcW w:w="1704" w:type="dxa"/>
            <w:shd w:val="clear" w:color="auto" w:fill="auto"/>
          </w:tcPr>
          <w:p w14:paraId="0930AEAB" w14:textId="77777777" w:rsidR="000005F4" w:rsidRPr="00781F02" w:rsidRDefault="000005F4" w:rsidP="000005F4">
            <w:pPr>
              <w:pStyle w:val="TableTextNoSpace"/>
              <w:rPr>
                <w:b/>
              </w:rPr>
            </w:pPr>
            <w:r w:rsidRPr="00781F02">
              <w:rPr>
                <w:b/>
              </w:rPr>
              <w:t>Funding available</w:t>
            </w:r>
          </w:p>
        </w:tc>
        <w:tc>
          <w:tcPr>
            <w:tcW w:w="7367" w:type="dxa"/>
            <w:shd w:val="clear" w:color="auto" w:fill="auto"/>
          </w:tcPr>
          <w:p w14:paraId="224A01AB" w14:textId="7AA8D440" w:rsidR="000005F4" w:rsidRDefault="000005F4" w:rsidP="00B45B8C">
            <w:pPr>
              <w:pStyle w:val="TableTextNoSpace"/>
            </w:pPr>
            <w:r>
              <w:t>Between 2011 and 2014, £165m was invested by the Welsh Government in 340 flood and coastal defence schemes. This includes:</w:t>
            </w:r>
          </w:p>
          <w:p w14:paraId="0C2ED0D2" w14:textId="77777777" w:rsidR="000005F4" w:rsidRDefault="000005F4" w:rsidP="0069296B">
            <w:pPr>
              <w:pStyle w:val="TableBullet"/>
            </w:pPr>
            <w:r>
              <w:t xml:space="preserve">£39m allocated through Local Authorities in the form of capital grant aid </w:t>
            </w:r>
          </w:p>
          <w:p w14:paraId="7B0DB7A4" w14:textId="77777777" w:rsidR="000005F4" w:rsidRDefault="000005F4" w:rsidP="0069296B">
            <w:pPr>
              <w:pStyle w:val="TableBullet"/>
            </w:pPr>
            <w:r>
              <w:t xml:space="preserve">Match funding against NRW investment and ERDF Funds- such as Lower Swansea Vale realignment project </w:t>
            </w:r>
          </w:p>
          <w:p w14:paraId="584B06FD" w14:textId="77777777" w:rsidR="000005F4" w:rsidRDefault="000005F4" w:rsidP="000005F4">
            <w:pPr>
              <w:pStyle w:val="Bullet1"/>
              <w:numPr>
                <w:ilvl w:val="0"/>
                <w:numId w:val="0"/>
              </w:numPr>
            </w:pPr>
            <w:r>
              <w:t xml:space="preserve"> Additional examples of funding for flood risk management include:</w:t>
            </w:r>
          </w:p>
          <w:p w14:paraId="5157EDDA" w14:textId="77777777" w:rsidR="000005F4" w:rsidRDefault="000005F4" w:rsidP="0069296B">
            <w:pPr>
              <w:pStyle w:val="TableBullet"/>
            </w:pPr>
            <w:r w:rsidRPr="008A3DC6">
              <w:t>Dŵr Cymru</w:t>
            </w:r>
            <w:r>
              <w:t xml:space="preserve"> is investing £40m in Sustainable Urban Drainage Systems as part of its RainScape Programme, including wetland restoration/creation works</w:t>
            </w:r>
          </w:p>
          <w:p w14:paraId="354CAB26" w14:textId="77777777" w:rsidR="000005F4" w:rsidRDefault="000005F4" w:rsidP="0069296B">
            <w:pPr>
              <w:pStyle w:val="TableBullet"/>
            </w:pPr>
            <w:r>
              <w:t xml:space="preserve">Internal Drainage Boards allocate funds from drainage rates on agricultural land and buildings, special levies on local authorities and NRW funding </w:t>
            </w:r>
          </w:p>
          <w:p w14:paraId="594E9A4F" w14:textId="77777777" w:rsidR="000005F4" w:rsidRPr="00E452A2" w:rsidRDefault="000005F4" w:rsidP="000005F4">
            <w:pPr>
              <w:pStyle w:val="TableTextNoSpace"/>
            </w:pPr>
            <w:r w:rsidRPr="00190A3C">
              <w:t xml:space="preserve">NRW’s capital programme is typically around £20million/year. Projects may range from small studies for up to £10k to major capital works of £2m to £6m. </w:t>
            </w:r>
            <w:r>
              <w:t>F</w:t>
            </w:r>
            <w:r w:rsidRPr="00190A3C">
              <w:t>unding decisions are principally made on the viability of the benefit-cost ratio (BCR). Another important determinant is the NRW Communities at Risk Register which NRW use</w:t>
            </w:r>
            <w:r>
              <w:t>s</w:t>
            </w:r>
            <w:r w:rsidRPr="00190A3C">
              <w:t xml:space="preserve"> to prioritise </w:t>
            </w:r>
            <w:r>
              <w:t>its</w:t>
            </w:r>
            <w:r w:rsidRPr="00190A3C">
              <w:t xml:space="preserve"> investment programme at an all-Wales level so as to target investment in the most at risk communities</w:t>
            </w:r>
            <w:r>
              <w:t>.</w:t>
            </w:r>
          </w:p>
        </w:tc>
      </w:tr>
      <w:tr w:rsidR="000005F4" w14:paraId="5BE53658" w14:textId="77777777" w:rsidTr="000005F4">
        <w:tc>
          <w:tcPr>
            <w:tcW w:w="1704" w:type="dxa"/>
            <w:shd w:val="clear" w:color="auto" w:fill="auto"/>
          </w:tcPr>
          <w:p w14:paraId="2AB92D43" w14:textId="77777777" w:rsidR="000005F4" w:rsidRPr="00781F02" w:rsidRDefault="000005F4" w:rsidP="000005F4">
            <w:pPr>
              <w:pStyle w:val="TableTextNoSpace"/>
              <w:rPr>
                <w:b/>
              </w:rPr>
            </w:pPr>
            <w:r w:rsidRPr="00781F02">
              <w:rPr>
                <w:b/>
              </w:rPr>
              <w:t>Opportunities for Natura</w:t>
            </w:r>
            <w:r>
              <w:rPr>
                <w:b/>
              </w:rPr>
              <w:t xml:space="preserve"> 2000 </w:t>
            </w:r>
          </w:p>
        </w:tc>
        <w:tc>
          <w:tcPr>
            <w:tcW w:w="7367" w:type="dxa"/>
            <w:shd w:val="clear" w:color="auto" w:fill="auto"/>
          </w:tcPr>
          <w:p w14:paraId="1D0A2C9F" w14:textId="77777777" w:rsidR="000005F4" w:rsidRDefault="000005F4" w:rsidP="000005F4">
            <w:pPr>
              <w:pStyle w:val="BodyText"/>
              <w:ind w:left="57" w:right="57"/>
            </w:pPr>
            <w:r>
              <w:rPr>
                <w:b/>
              </w:rPr>
              <w:t xml:space="preserve">Incorporating Natura 2000 needs into scheme design and implementation: </w:t>
            </w:r>
            <w:r>
              <w:t>There is a statutory obligation, through the Habitats Regulation, to avoid negative impacts to Natura 2000 sites and also a policy desire to seek environmental benefit. In general the economic benefits of FCERM schemes significantly exceed the additional costs of environmental risk avoidance, or environmental enhancement. There is therefore significant opportunity for building in such elements to FCERM schemes without affecting the financial viability of the scheme – although it should be noted that this will be context- and scheme-specific. Environmental enhancement can improve the BCR through inclusion of the value of ecosystem service benefits delivered (FCERM appraisal guidance enables this).</w:t>
            </w:r>
          </w:p>
          <w:p w14:paraId="2A5E9BF7" w14:textId="4F5866B8" w:rsidR="000005F4" w:rsidRDefault="000005F4" w:rsidP="000005F4">
            <w:pPr>
              <w:pStyle w:val="BodyText"/>
              <w:ind w:left="57" w:right="57"/>
            </w:pPr>
            <w:r>
              <w:t xml:space="preserve">FCERM schemes are perceived the most obvious route for integrating Natura 2000 management needs. However the more significant opportunity may be at a more strategic level. Notably where there are big strategic planning opportunities e.g. areas identified for managed realignment, there is likely to be benefit in all relevant parties seeking to establish a common vision and spending time trying to identify win-win opportunities. </w:t>
            </w:r>
            <w:r w:rsidR="00D735ED">
              <w:t xml:space="preserve">A key opportunity in this regard is the National Habitat Creation Programme. </w:t>
            </w:r>
          </w:p>
          <w:p w14:paraId="233520B0" w14:textId="77777777" w:rsidR="000005F4" w:rsidRDefault="000005F4" w:rsidP="000005F4">
            <w:pPr>
              <w:pStyle w:val="BodyText"/>
              <w:ind w:left="57" w:right="57"/>
              <w:rPr>
                <w:rFonts w:cs="Arial"/>
                <w:szCs w:val="20"/>
              </w:rPr>
            </w:pPr>
            <w:r w:rsidRPr="001E5941">
              <w:rPr>
                <w:b/>
              </w:rPr>
              <w:t>National Habitat Creation Programme (NHCP)</w:t>
            </w:r>
            <w:r>
              <w:rPr>
                <w:b/>
              </w:rPr>
              <w:t xml:space="preserve">: </w:t>
            </w:r>
            <w:r>
              <w:t xml:space="preserve">the NHCP is in place to provide compensation for Natura 2000 habitat that is expected to be lost via FCERM future schemes, most notably via coastal squeeze, as identified in the SMPs. It is in essence an offsetting scheme to ensure the ecological coherence of the Natura 2000 network in the face of unavoidable residual impacts of FCERM. The Programme is being delivered by NRW. Funding the delivery of each habitat creation scheme is achieved on a case-by-case basis. The funding sources have not yet been fully explored and/or finalised, but may include: </w:t>
            </w:r>
          </w:p>
          <w:p w14:paraId="4833D6B4" w14:textId="77777777" w:rsidR="000005F4" w:rsidRDefault="000005F4" w:rsidP="000005F4">
            <w:pPr>
              <w:pStyle w:val="TableBullet"/>
            </w:pPr>
            <w:r w:rsidRPr="00251E58">
              <w:t xml:space="preserve">Core FCERM funding; </w:t>
            </w:r>
          </w:p>
          <w:p w14:paraId="07C09E45" w14:textId="77777777" w:rsidR="000005F4" w:rsidRPr="00251E58" w:rsidRDefault="000005F4" w:rsidP="000005F4">
            <w:pPr>
              <w:pStyle w:val="TableBullet"/>
            </w:pPr>
            <w:r w:rsidRPr="00251E58">
              <w:t xml:space="preserve">Welsh Government central funding (although a proper mechanism has not yet been established); </w:t>
            </w:r>
          </w:p>
          <w:p w14:paraId="03847F9B" w14:textId="77777777" w:rsidR="000005F4" w:rsidRDefault="000005F4" w:rsidP="000005F4">
            <w:pPr>
              <w:pStyle w:val="TableBullet"/>
              <w:rPr>
                <w:rFonts w:cs="Arial"/>
                <w:szCs w:val="20"/>
              </w:rPr>
            </w:pPr>
            <w:r>
              <w:rPr>
                <w:rFonts w:cs="Arial"/>
                <w:szCs w:val="20"/>
              </w:rPr>
              <w:t>Partnership funding (seeking contributions from partners causing/benefiting from coastal squeeze issue)</w:t>
            </w:r>
          </w:p>
          <w:p w14:paraId="0D201C2D" w14:textId="77777777" w:rsidR="000005F4" w:rsidRDefault="000005F4" w:rsidP="000005F4">
            <w:pPr>
              <w:pStyle w:val="TableBullet"/>
              <w:rPr>
                <w:rFonts w:cs="Arial"/>
                <w:szCs w:val="20"/>
              </w:rPr>
            </w:pPr>
            <w:r>
              <w:rPr>
                <w:rFonts w:cs="Arial"/>
                <w:szCs w:val="20"/>
              </w:rPr>
              <w:t>Alternative</w:t>
            </w:r>
            <w:r w:rsidRPr="00251E58">
              <w:rPr>
                <w:rFonts w:cs="Arial"/>
                <w:szCs w:val="20"/>
              </w:rPr>
              <w:t xml:space="preserve"> funding sources e.g. EU funds, accessed by partnering with third sector organisations who may help to design the habitat creation scheme.  </w:t>
            </w:r>
          </w:p>
          <w:p w14:paraId="23E5AD09" w14:textId="77777777" w:rsidR="000005F4" w:rsidRDefault="000005F4" w:rsidP="000005F4">
            <w:pPr>
              <w:pStyle w:val="BodyText"/>
              <w:ind w:left="57" w:right="57"/>
            </w:pPr>
            <w:r>
              <w:t>Habitat creation offers an opportunity to design new habitat so as to maximise its ecological value. More importantly, as much habitat creation will be at a large scale, there is an opportunity to take a more strategic approach and seek to integrate a broader set of issues into the scheme design. For example, this may seek to address pressures that are present on adjoining habitats as a package (e.g. controlling grazing); and by seeking to replace minor habitats that have been lost via coastal squeeze and hydro morphological pressures (notably transitional and micro habitats). In order to deliver such opportunities there is a need for detailed site knowledge and strategic level engagement between relevant parties.</w:t>
            </w:r>
          </w:p>
          <w:p w14:paraId="0AFCED08" w14:textId="77777777" w:rsidR="007552E3" w:rsidRPr="007F6EB1" w:rsidRDefault="007552E3" w:rsidP="007552E3">
            <w:pPr>
              <w:pStyle w:val="BodyText"/>
              <w:ind w:left="57" w:right="57"/>
            </w:pPr>
            <w:r>
              <w:rPr>
                <w:b/>
              </w:rPr>
              <w:t xml:space="preserve">Working with Natural Processes: </w:t>
            </w:r>
            <w:r>
              <w:t>A key priority for NRW is the use of natural processes for FCERM, linked in part to the anticipated lower ongoing maintenance costs associated with such schemes, particularly in the face of sea level rise. Such solutions often require the use of larger areas covering more habitat types so potentially offer more opportunities for environmental enhancement actions and taking a broader, strategic view (as alluded to above). NRW has a working group building an understanding of working with natural processes as such ideas are not the norm. Linked to this is the consideration of remote FCERM actions which seek to tackle flood risk at source. For example, peatland wetting in upland bogs can slow water flows, which can complement other downstream flood defence measures. Understanding the role of Natura 2000 sites within the flood dynamics of an area in relation to communities at risk from flooding is an avenue (being considered by NRW) to identify such opportunities.</w:t>
            </w:r>
          </w:p>
          <w:p w14:paraId="3D2BFF12" w14:textId="77777777" w:rsidR="000005F4" w:rsidRPr="00E452A2" w:rsidRDefault="000005F4" w:rsidP="000005F4">
            <w:pPr>
              <w:pStyle w:val="Bullet1"/>
              <w:numPr>
                <w:ilvl w:val="0"/>
                <w:numId w:val="0"/>
              </w:numPr>
              <w:ind w:left="57"/>
            </w:pPr>
            <w:r w:rsidRPr="00251E58">
              <w:rPr>
                <w:b/>
              </w:rPr>
              <w:t>FCERM BAP Habitat Targets Fund</w:t>
            </w:r>
            <w:r>
              <w:t xml:space="preserve">. NRW spends around £100k/year on biodiversity projects that link to its FCERM BAP habitat creation target (which is around 30ha/year). These are typically partnership projects with NGOs </w:t>
            </w:r>
          </w:p>
        </w:tc>
      </w:tr>
      <w:tr w:rsidR="000005F4" w14:paraId="69EB90EB" w14:textId="77777777" w:rsidTr="000005F4">
        <w:tc>
          <w:tcPr>
            <w:tcW w:w="1704" w:type="dxa"/>
            <w:shd w:val="clear" w:color="auto" w:fill="auto"/>
          </w:tcPr>
          <w:p w14:paraId="0362C1E3" w14:textId="77777777" w:rsidR="000005F4" w:rsidRPr="00781F02" w:rsidRDefault="000005F4" w:rsidP="000005F4">
            <w:pPr>
              <w:pStyle w:val="TableTextNoSpace"/>
              <w:rPr>
                <w:b/>
              </w:rPr>
            </w:pPr>
            <w:r w:rsidRPr="00781F02">
              <w:rPr>
                <w:b/>
              </w:rPr>
              <w:t>Limitations &amp; constraints</w:t>
            </w:r>
          </w:p>
        </w:tc>
        <w:tc>
          <w:tcPr>
            <w:tcW w:w="7367" w:type="dxa"/>
            <w:shd w:val="clear" w:color="auto" w:fill="auto"/>
          </w:tcPr>
          <w:p w14:paraId="3B6526D0" w14:textId="13963EBA" w:rsidR="0027409A" w:rsidRDefault="0027409A" w:rsidP="0027409A">
            <w:pPr>
              <w:pStyle w:val="BodyText"/>
              <w:ind w:left="57" w:right="57"/>
            </w:pPr>
            <w:r>
              <w:t>The principal limitation is that a proposed FCERM scheme must make sense on FCERM grounds. That is it must provide a suitable cost-benefit ratio based on FCERM benefits. There is clearly therefore a limit to how much additional cost can be imposed on a FCERM project to provide environmental co-benefits.</w:t>
            </w:r>
          </w:p>
          <w:p w14:paraId="7A571359" w14:textId="77777777" w:rsidR="000005F4" w:rsidRDefault="000005F4" w:rsidP="000005F4">
            <w:pPr>
              <w:pStyle w:val="BodyText"/>
              <w:ind w:left="57" w:right="57"/>
            </w:pPr>
            <w:r>
              <w:t xml:space="preserve">For the NHCP, standard limitations for offsetting will apply e.g. getting agreement from land owners. </w:t>
            </w:r>
          </w:p>
          <w:p w14:paraId="798E4147" w14:textId="77777777" w:rsidR="000005F4" w:rsidRDefault="000005F4" w:rsidP="000005F4">
            <w:pPr>
              <w:pStyle w:val="BodyText"/>
              <w:ind w:left="57" w:right="57"/>
            </w:pPr>
            <w:r>
              <w:t>FCERM actions are often infrastructure-based. Whilst they will include consideration of ongoing maintenance costs for the FCERM infrastructure, they are less likely to be appropriate for ongoing Natura 2000 habitat management, unless this in itself is providing FCERM benefit – this may be the case where the FCERM approach is one of ‘working with natural processes’.</w:t>
            </w:r>
          </w:p>
          <w:p w14:paraId="616B3C0C" w14:textId="77777777" w:rsidR="000005F4" w:rsidRPr="00E452A2" w:rsidRDefault="000005F4" w:rsidP="000005F4">
            <w:pPr>
              <w:pStyle w:val="Bullet1"/>
              <w:numPr>
                <w:ilvl w:val="0"/>
                <w:numId w:val="0"/>
              </w:numPr>
              <w:ind w:left="57"/>
            </w:pPr>
            <w:r>
              <w:t>Will only be relevant for Natura 2000 sites where there are FCERM issues that need addressing.</w:t>
            </w:r>
          </w:p>
        </w:tc>
      </w:tr>
      <w:tr w:rsidR="000005F4" w14:paraId="59A349DC" w14:textId="77777777" w:rsidTr="000005F4">
        <w:tc>
          <w:tcPr>
            <w:tcW w:w="1704" w:type="dxa"/>
            <w:shd w:val="clear" w:color="auto" w:fill="auto"/>
          </w:tcPr>
          <w:p w14:paraId="0D236B2E" w14:textId="77777777" w:rsidR="000005F4" w:rsidRDefault="000005F4" w:rsidP="000005F4">
            <w:pPr>
              <w:pStyle w:val="TableTextNoSpace"/>
              <w:rPr>
                <w:b/>
              </w:rPr>
            </w:pPr>
            <w:r w:rsidRPr="007B6DFE">
              <w:rPr>
                <w:b/>
              </w:rPr>
              <w:t>Increasing uptake &amp;</w:t>
            </w:r>
          </w:p>
          <w:p w14:paraId="22D37517" w14:textId="77777777" w:rsidR="000005F4" w:rsidRPr="009F1463" w:rsidRDefault="000005F4" w:rsidP="000005F4">
            <w:pPr>
              <w:pStyle w:val="TableTextNoSpace"/>
              <w:rPr>
                <w:b/>
              </w:rPr>
            </w:pPr>
            <w:r w:rsidRPr="007B6DFE">
              <w:rPr>
                <w:b/>
              </w:rPr>
              <w:t>integr</w:t>
            </w:r>
            <w:r>
              <w:rPr>
                <w:b/>
              </w:rPr>
              <w:t>a</w:t>
            </w:r>
            <w:r w:rsidRPr="007B6DFE">
              <w:rPr>
                <w:b/>
              </w:rPr>
              <w:t>tion</w:t>
            </w:r>
          </w:p>
        </w:tc>
        <w:tc>
          <w:tcPr>
            <w:tcW w:w="7367" w:type="dxa"/>
            <w:shd w:val="clear" w:color="auto" w:fill="auto"/>
          </w:tcPr>
          <w:p w14:paraId="253FC1BC" w14:textId="4B9BA91E" w:rsidR="000005F4" w:rsidRDefault="000005F4" w:rsidP="000005F4">
            <w:pPr>
              <w:pStyle w:val="BodyText"/>
              <w:ind w:left="57" w:right="57"/>
            </w:pPr>
            <w:r w:rsidRPr="00CC0BE2">
              <w:t xml:space="preserve">The NRW Environmental Assessment Unit looks at every strategy and scheme from the </w:t>
            </w:r>
            <w:r w:rsidR="00A60F44">
              <w:t>identification of options</w:t>
            </w:r>
            <w:r w:rsidRPr="00CC0BE2">
              <w:t xml:space="preserve"> </w:t>
            </w:r>
            <w:r w:rsidR="0069296B">
              <w:t xml:space="preserve">stage </w:t>
            </w:r>
            <w:r w:rsidRPr="00CC0BE2">
              <w:t>to identify opportunities for both risk avoidance and environmental enhancement</w:t>
            </w:r>
            <w:r>
              <w:t xml:space="preserve">. A similar process occurs using in-house staff for LA strategies and schemes. Consultation with other parties occurs on strategies and schemes at </w:t>
            </w:r>
            <w:r w:rsidR="00A60F44">
              <w:t>the identification of options</w:t>
            </w:r>
            <w:r w:rsidR="0069296B">
              <w:t xml:space="preserve"> stage</w:t>
            </w:r>
            <w:r>
              <w:t>. Typically consultation responses focus on the negative impacts of the strategy or scheme (i.e. environmental risk avoidance), with a generally more limited response with regard to positive opportunities for environmental enhancement. Improving the flow of positive ideas is an opportunity for increasing the integration of Natura 2000 management needs into FCERM strategies and schemes. This is of particular relevance for the concept of ‘working with natural processes’.</w:t>
            </w:r>
          </w:p>
          <w:p w14:paraId="19F7FCA0" w14:textId="77777777" w:rsidR="000005F4" w:rsidRPr="00E452A2" w:rsidRDefault="000005F4" w:rsidP="000005F4">
            <w:pPr>
              <w:pStyle w:val="Bullet1"/>
              <w:numPr>
                <w:ilvl w:val="0"/>
                <w:numId w:val="0"/>
              </w:numPr>
              <w:ind w:left="57"/>
            </w:pPr>
            <w:r>
              <w:t xml:space="preserve"> Strategic level engagement at a landscape level to integrate FCERM activities with neighbouring areas is particularly relevant for the NHCP, but also for large and small individual FCERM schemes.</w:t>
            </w:r>
          </w:p>
        </w:tc>
      </w:tr>
    </w:tbl>
    <w:p w14:paraId="68555E8D" w14:textId="77777777" w:rsidR="000005F4" w:rsidRDefault="000005F4" w:rsidP="000005F4">
      <w:pPr>
        <w:pStyle w:val="Heading2NoNumb"/>
      </w:pPr>
      <w:bookmarkStart w:id="308" w:name="_Toc408094030"/>
      <w:bookmarkStart w:id="309" w:name="_Toc408138032"/>
      <w:bookmarkStart w:id="310" w:name="_Toc408851016"/>
      <w:bookmarkStart w:id="311" w:name="_Toc421880692"/>
      <w:r>
        <w:t>Marine planning</w:t>
      </w:r>
      <w:bookmarkEnd w:id="308"/>
      <w:bookmarkEnd w:id="309"/>
      <w:r>
        <w:t xml:space="preserve"> and fisheries</w:t>
      </w:r>
      <w:bookmarkEnd w:id="310"/>
      <w:bookmarkEnd w:id="311"/>
    </w:p>
    <w:tbl>
      <w:tblPr>
        <w:tblW w:w="9071" w:type="dxa"/>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Layout w:type="fixed"/>
        <w:tblCellMar>
          <w:top w:w="57" w:type="dxa"/>
          <w:left w:w="0" w:type="dxa"/>
          <w:bottom w:w="28" w:type="dxa"/>
          <w:right w:w="0" w:type="dxa"/>
        </w:tblCellMar>
        <w:tblLook w:val="0000" w:firstRow="0" w:lastRow="0" w:firstColumn="0" w:lastColumn="0" w:noHBand="0" w:noVBand="0"/>
      </w:tblPr>
      <w:tblGrid>
        <w:gridCol w:w="1704"/>
        <w:gridCol w:w="7367"/>
      </w:tblGrid>
      <w:tr w:rsidR="000005F4" w14:paraId="0959DA80" w14:textId="77777777" w:rsidTr="000005F4">
        <w:trPr>
          <w:cantSplit/>
        </w:trPr>
        <w:tc>
          <w:tcPr>
            <w:tcW w:w="1704" w:type="dxa"/>
            <w:shd w:val="clear" w:color="auto" w:fill="auto"/>
          </w:tcPr>
          <w:p w14:paraId="2E193B10" w14:textId="77777777" w:rsidR="000005F4" w:rsidRDefault="000005F4" w:rsidP="000005F4">
            <w:pPr>
              <w:pStyle w:val="TableHeading"/>
            </w:pPr>
          </w:p>
        </w:tc>
        <w:tc>
          <w:tcPr>
            <w:tcW w:w="7367" w:type="dxa"/>
            <w:shd w:val="solid" w:color="0067AB" w:fill="0067AB"/>
          </w:tcPr>
          <w:p w14:paraId="18FBA79C" w14:textId="77777777" w:rsidR="000005F4" w:rsidRDefault="000005F4" w:rsidP="000005F4">
            <w:pPr>
              <w:pStyle w:val="TableHeadingWhite"/>
            </w:pPr>
          </w:p>
        </w:tc>
      </w:tr>
      <w:tr w:rsidR="000005F4" w14:paraId="2A64015B" w14:textId="77777777" w:rsidTr="000005F4">
        <w:tc>
          <w:tcPr>
            <w:tcW w:w="1704" w:type="dxa"/>
            <w:shd w:val="clear" w:color="auto" w:fill="auto"/>
          </w:tcPr>
          <w:p w14:paraId="57201746" w14:textId="77777777" w:rsidR="000005F4" w:rsidRPr="00781F02" w:rsidRDefault="000005F4" w:rsidP="000005F4">
            <w:pPr>
              <w:pStyle w:val="TableTextNoSpace"/>
              <w:rPr>
                <w:b/>
              </w:rPr>
            </w:pPr>
            <w:r w:rsidRPr="00781F02">
              <w:rPr>
                <w:b/>
              </w:rPr>
              <w:t>Background &amp; relevance</w:t>
            </w:r>
          </w:p>
        </w:tc>
        <w:tc>
          <w:tcPr>
            <w:tcW w:w="7367" w:type="dxa"/>
            <w:shd w:val="clear" w:color="auto" w:fill="auto"/>
          </w:tcPr>
          <w:p w14:paraId="0529A9CE" w14:textId="77777777" w:rsidR="000005F4" w:rsidRPr="00E452A2" w:rsidRDefault="000005F4" w:rsidP="000005F4">
            <w:pPr>
              <w:pStyle w:val="TableTextNoSpace"/>
            </w:pPr>
            <w:r w:rsidRPr="00BF5982">
              <w:t>Marine Spatial Plans (MSPs) are a key element of the Marine Strategy Framework Directive, and require competing socio-ecological and economic needs from seas to be balanced within a coherent planning framework. The Marine and Coastal Access Act (2009) set a new framework for planning the management of marine and coastal waters on such a spatial basis</w:t>
            </w:r>
            <w:r>
              <w:t xml:space="preserve"> </w:t>
            </w:r>
            <w:r w:rsidRPr="00BF5982">
              <w:t>- Welsh ministers are responsible for developing marine plans, which have recently been adopted and extend to 2030</w:t>
            </w:r>
            <w:r>
              <w:t>. However, in recognition that fisheries are key stakeholders with regard to ongoing management of Marine Protected Areas, many of the opportunities for Natura 2000 pertain to sustainable management and diversification of fisheries.</w:t>
            </w:r>
          </w:p>
        </w:tc>
      </w:tr>
      <w:tr w:rsidR="000005F4" w14:paraId="6FA9AAA9" w14:textId="77777777" w:rsidTr="000005F4">
        <w:tc>
          <w:tcPr>
            <w:tcW w:w="1704" w:type="dxa"/>
            <w:shd w:val="clear" w:color="auto" w:fill="auto"/>
          </w:tcPr>
          <w:p w14:paraId="5994B867" w14:textId="77777777" w:rsidR="000005F4" w:rsidRPr="00781F02" w:rsidRDefault="000005F4" w:rsidP="000005F4">
            <w:pPr>
              <w:pStyle w:val="TableTextNoSpace"/>
              <w:rPr>
                <w:b/>
              </w:rPr>
            </w:pPr>
            <w:r w:rsidRPr="00781F02">
              <w:rPr>
                <w:b/>
              </w:rPr>
              <w:t>Funding available</w:t>
            </w:r>
          </w:p>
        </w:tc>
        <w:tc>
          <w:tcPr>
            <w:tcW w:w="7367" w:type="dxa"/>
            <w:shd w:val="clear" w:color="auto" w:fill="auto"/>
          </w:tcPr>
          <w:p w14:paraId="39733809" w14:textId="582D2A4F" w:rsidR="000005F4" w:rsidRDefault="000005F4" w:rsidP="0069296B">
            <w:pPr>
              <w:pStyle w:val="TableBullet"/>
            </w:pPr>
            <w:r>
              <w:t>The Welsh National Marine Plan is being developed by the Welsh Government. There is limited funding that can be accessed in relation to marine planning.  . A number of schemes exist</w:t>
            </w:r>
            <w:r w:rsidR="00A60F44">
              <w:t xml:space="preserve"> which </w:t>
            </w:r>
            <w:r>
              <w:t xml:space="preserve">focus on sustainable fisheries management, which is an important </w:t>
            </w:r>
            <w:r w:rsidR="00A60F44">
              <w:t>element of</w:t>
            </w:r>
            <w:r>
              <w:t xml:space="preserve"> marine planning and Natura 2000 European Marine Site management: </w:t>
            </w:r>
          </w:p>
          <w:p w14:paraId="14398B56" w14:textId="0660ED6E" w:rsidR="000005F4" w:rsidRDefault="000005F4" w:rsidP="0069296B">
            <w:pPr>
              <w:pStyle w:val="TableBullet"/>
            </w:pPr>
            <w:r>
              <w:t>The European Maritime and Fisheries Fund (EMFF) provides funding to support the diversification of fisheries livelihoods towards more sustainable practices</w:t>
            </w:r>
            <w:r w:rsidR="00A60F44">
              <w:t>.</w:t>
            </w:r>
            <w:r>
              <w:t xml:space="preserve"> </w:t>
            </w:r>
            <w:r w:rsidR="00A60F44">
              <w:t>F</w:t>
            </w:r>
            <w:r>
              <w:t>unds are allocated to Fisheries Local Action Groups</w:t>
            </w:r>
          </w:p>
          <w:p w14:paraId="7EA32274" w14:textId="77777777" w:rsidR="000005F4" w:rsidRDefault="000005F4" w:rsidP="0069296B">
            <w:pPr>
              <w:pStyle w:val="TableBullet"/>
            </w:pPr>
            <w:r>
              <w:t>The £100m Ireland-Wales Cooperation Programme includes support to marine conservation and evidence programmes</w:t>
            </w:r>
          </w:p>
          <w:p w14:paraId="536DAF88" w14:textId="77777777" w:rsidR="000005F4" w:rsidRDefault="000005F4" w:rsidP="0069296B">
            <w:pPr>
              <w:pStyle w:val="TableBullet"/>
            </w:pPr>
            <w:r>
              <w:t>The Sustainable Fisheries Fund promotes the certification of fisheries against the Marine Stewardship Standard (MSC) ecolabel and has recently provided £200,000 of support to 12 fisheries wishing to pursue certification</w:t>
            </w:r>
          </w:p>
          <w:p w14:paraId="31F3C3C2" w14:textId="77777777" w:rsidR="000005F4" w:rsidRPr="00E452A2" w:rsidRDefault="000005F4" w:rsidP="0069296B">
            <w:pPr>
              <w:pStyle w:val="TableBullet"/>
            </w:pPr>
            <w:r>
              <w:t>The Sea Change Investment Fund grant scheme provides support to companies to increase the amount of sustainable seafood in the marketplace</w:t>
            </w:r>
          </w:p>
        </w:tc>
      </w:tr>
      <w:tr w:rsidR="000005F4" w14:paraId="6023CFB5" w14:textId="77777777" w:rsidTr="000005F4">
        <w:tc>
          <w:tcPr>
            <w:tcW w:w="1704" w:type="dxa"/>
            <w:shd w:val="clear" w:color="auto" w:fill="auto"/>
          </w:tcPr>
          <w:p w14:paraId="5B0516A5" w14:textId="77777777" w:rsidR="000005F4" w:rsidRPr="00781F02" w:rsidRDefault="000005F4" w:rsidP="000005F4">
            <w:pPr>
              <w:pStyle w:val="TableTextNoSpace"/>
              <w:rPr>
                <w:b/>
              </w:rPr>
            </w:pPr>
            <w:r w:rsidRPr="00781F02">
              <w:rPr>
                <w:b/>
              </w:rPr>
              <w:t>Opportunities for Natura</w:t>
            </w:r>
            <w:r>
              <w:rPr>
                <w:b/>
              </w:rPr>
              <w:t xml:space="preserve"> 2000 </w:t>
            </w:r>
          </w:p>
        </w:tc>
        <w:tc>
          <w:tcPr>
            <w:tcW w:w="7367" w:type="dxa"/>
            <w:shd w:val="clear" w:color="auto" w:fill="auto"/>
          </w:tcPr>
          <w:p w14:paraId="6D429E84" w14:textId="77777777" w:rsidR="000005F4" w:rsidRDefault="000005F4" w:rsidP="0069296B">
            <w:pPr>
              <w:pStyle w:val="TableBullet"/>
            </w:pPr>
            <w:r>
              <w:t xml:space="preserve">Significant effort is being put into developing improved data and evidence across the marine environment across the UK as part of marine planning. Integrating the data needs of Natura 2000 into these programmes may provide cost-saving opportunities. </w:t>
            </w:r>
          </w:p>
          <w:p w14:paraId="2FC82158" w14:textId="77777777" w:rsidR="000005F4" w:rsidRDefault="000005F4" w:rsidP="0069296B">
            <w:pPr>
              <w:pStyle w:val="TableBullet"/>
            </w:pPr>
            <w:r>
              <w:t>Grant schemes can support much needed evidence and monitoring programmes in the marine environment, and applied ecosystem-service based research, which can then inform management plans and actions.</w:t>
            </w:r>
          </w:p>
          <w:p w14:paraId="2BB3FC52" w14:textId="77777777" w:rsidR="000005F4" w:rsidRDefault="000005F4" w:rsidP="0069296B">
            <w:pPr>
              <w:pStyle w:val="TableBullet"/>
            </w:pPr>
            <w:r>
              <w:t>Labelling and certification schemes e.g. Marine Stewardship, can provide additional incentives for sympathetic management whilst raising awareness of marine conservation issues.</w:t>
            </w:r>
          </w:p>
          <w:p w14:paraId="32E396FA" w14:textId="77777777" w:rsidR="000005F4" w:rsidRPr="00E452A2" w:rsidRDefault="000005F4" w:rsidP="0069296B">
            <w:pPr>
              <w:pStyle w:val="TableBullet"/>
            </w:pPr>
            <w:r>
              <w:t xml:space="preserve">Full engagement in the marine planning process to ensure that Natura 2000 objectives and needs are well represented in the marine plan evidence base and policies, particularly any locally-specific policies and spatial policies.  </w:t>
            </w:r>
          </w:p>
        </w:tc>
      </w:tr>
      <w:tr w:rsidR="000005F4" w14:paraId="4A01BD44" w14:textId="77777777" w:rsidTr="000005F4">
        <w:tc>
          <w:tcPr>
            <w:tcW w:w="1704" w:type="dxa"/>
            <w:shd w:val="clear" w:color="auto" w:fill="auto"/>
          </w:tcPr>
          <w:p w14:paraId="58E43941" w14:textId="77777777" w:rsidR="000005F4" w:rsidRPr="00781F02" w:rsidRDefault="000005F4" w:rsidP="000005F4">
            <w:pPr>
              <w:pStyle w:val="TableTextNoSpace"/>
              <w:rPr>
                <w:b/>
              </w:rPr>
            </w:pPr>
            <w:r w:rsidRPr="00781F02">
              <w:rPr>
                <w:b/>
              </w:rPr>
              <w:t>Limitations &amp; constraints</w:t>
            </w:r>
          </w:p>
        </w:tc>
        <w:tc>
          <w:tcPr>
            <w:tcW w:w="7367" w:type="dxa"/>
            <w:shd w:val="clear" w:color="auto" w:fill="auto"/>
          </w:tcPr>
          <w:p w14:paraId="46755F09" w14:textId="4F814849" w:rsidR="000005F4" w:rsidRDefault="000005F4" w:rsidP="0069296B">
            <w:pPr>
              <w:pStyle w:val="TableBullet"/>
            </w:pPr>
            <w:r>
              <w:t>Marine plans are not expected to deliver any direct action e.g. projects or schemes that may provide an opportunity for delivering Natura 2000 management actions.</w:t>
            </w:r>
          </w:p>
          <w:p w14:paraId="1FCBAFBE" w14:textId="77777777" w:rsidR="000005F4" w:rsidRDefault="000005F4" w:rsidP="0069296B">
            <w:pPr>
              <w:pStyle w:val="TableBullet"/>
            </w:pPr>
            <w:r>
              <w:t xml:space="preserve">Private sector funds are relatively scarce and small-scale and are generally not focussed on providing for ongoing management needs. </w:t>
            </w:r>
          </w:p>
          <w:p w14:paraId="6421CCD6" w14:textId="77777777" w:rsidR="000005F4" w:rsidRDefault="000005F4" w:rsidP="0069296B">
            <w:pPr>
              <w:pStyle w:val="TableBullet"/>
            </w:pPr>
            <w:r>
              <w:t xml:space="preserve">Evidence gaps are substantial for many areas. </w:t>
            </w:r>
          </w:p>
          <w:p w14:paraId="7FBC0C26" w14:textId="77777777" w:rsidR="000005F4" w:rsidRDefault="000005F4" w:rsidP="0069296B">
            <w:pPr>
              <w:pStyle w:val="TableBullet"/>
            </w:pPr>
            <w:r>
              <w:t xml:space="preserve">Complexity of grant funding applications acts as a deterrent to wider uptake of measures </w:t>
            </w:r>
          </w:p>
          <w:p w14:paraId="6C2B08E9" w14:textId="77777777" w:rsidR="000005F4" w:rsidRPr="00E452A2" w:rsidRDefault="000005F4" w:rsidP="0069296B">
            <w:pPr>
              <w:pStyle w:val="TableBullet"/>
            </w:pPr>
            <w:r>
              <w:t xml:space="preserve">Sources identified do not necessarily correspond to core management needs for marine Natura 2000 sites </w:t>
            </w:r>
          </w:p>
        </w:tc>
      </w:tr>
      <w:tr w:rsidR="000005F4" w14:paraId="33F71637" w14:textId="77777777" w:rsidTr="000005F4">
        <w:tc>
          <w:tcPr>
            <w:tcW w:w="1704" w:type="dxa"/>
            <w:shd w:val="clear" w:color="auto" w:fill="auto"/>
          </w:tcPr>
          <w:p w14:paraId="3FC6C5D3" w14:textId="77777777" w:rsidR="000005F4" w:rsidRDefault="000005F4" w:rsidP="000005F4">
            <w:pPr>
              <w:pStyle w:val="TableTextNoSpace"/>
              <w:rPr>
                <w:b/>
              </w:rPr>
            </w:pPr>
            <w:r w:rsidRPr="007B6DFE">
              <w:rPr>
                <w:b/>
              </w:rPr>
              <w:t>Increasing uptake &amp;</w:t>
            </w:r>
          </w:p>
          <w:p w14:paraId="47A00D9D" w14:textId="77777777" w:rsidR="000005F4" w:rsidRPr="009F1463" w:rsidRDefault="000005F4" w:rsidP="000005F4">
            <w:pPr>
              <w:pStyle w:val="TableTextNoSpace"/>
              <w:rPr>
                <w:b/>
              </w:rPr>
            </w:pPr>
            <w:r w:rsidRPr="007B6DFE">
              <w:rPr>
                <w:b/>
              </w:rPr>
              <w:t>integr</w:t>
            </w:r>
            <w:r>
              <w:rPr>
                <w:b/>
              </w:rPr>
              <w:t>a</w:t>
            </w:r>
            <w:r w:rsidRPr="007B6DFE">
              <w:rPr>
                <w:b/>
              </w:rPr>
              <w:t>tion</w:t>
            </w:r>
          </w:p>
        </w:tc>
        <w:tc>
          <w:tcPr>
            <w:tcW w:w="7367" w:type="dxa"/>
            <w:shd w:val="clear" w:color="auto" w:fill="auto"/>
          </w:tcPr>
          <w:p w14:paraId="62371155" w14:textId="77777777" w:rsidR="000005F4" w:rsidRDefault="000005F4" w:rsidP="0069296B">
            <w:pPr>
              <w:pStyle w:val="TableBullet"/>
            </w:pPr>
            <w:r>
              <w:t>Deeper engagement between site officers, NRW, marine planners, FLAGs and research institutions could support development of the evidence base and management plans.</w:t>
            </w:r>
          </w:p>
          <w:p w14:paraId="75A0C6C9" w14:textId="77777777" w:rsidR="000005F4" w:rsidRPr="00E452A2" w:rsidRDefault="000005F4" w:rsidP="0069296B">
            <w:pPr>
              <w:pStyle w:val="TableBullet"/>
            </w:pPr>
            <w:r>
              <w:t xml:space="preserve">Endorsement of certification schemes could provide additional incentives for appropriate management of marine sites. </w:t>
            </w:r>
          </w:p>
        </w:tc>
      </w:tr>
    </w:tbl>
    <w:p w14:paraId="291C05F0" w14:textId="77777777" w:rsidR="000005F4" w:rsidRDefault="000005F4" w:rsidP="000005F4">
      <w:pPr>
        <w:pStyle w:val="Heading2NoNumb"/>
      </w:pPr>
      <w:bookmarkStart w:id="312" w:name="_Toc408094031"/>
      <w:bookmarkStart w:id="313" w:name="_Toc408138033"/>
      <w:bookmarkStart w:id="314" w:name="_Toc408851017"/>
      <w:bookmarkStart w:id="315" w:name="_Toc421880693"/>
      <w:r>
        <w:t>Woodland management</w:t>
      </w:r>
      <w:bookmarkEnd w:id="312"/>
      <w:bookmarkEnd w:id="313"/>
      <w:bookmarkEnd w:id="314"/>
      <w:bookmarkEnd w:id="315"/>
      <w:r>
        <w:t xml:space="preserve"> </w:t>
      </w:r>
    </w:p>
    <w:tbl>
      <w:tblPr>
        <w:tblW w:w="9071" w:type="dxa"/>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Layout w:type="fixed"/>
        <w:tblCellMar>
          <w:top w:w="57" w:type="dxa"/>
          <w:left w:w="0" w:type="dxa"/>
          <w:bottom w:w="28" w:type="dxa"/>
          <w:right w:w="0" w:type="dxa"/>
        </w:tblCellMar>
        <w:tblLook w:val="0000" w:firstRow="0" w:lastRow="0" w:firstColumn="0" w:lastColumn="0" w:noHBand="0" w:noVBand="0"/>
      </w:tblPr>
      <w:tblGrid>
        <w:gridCol w:w="1704"/>
        <w:gridCol w:w="7367"/>
      </w:tblGrid>
      <w:tr w:rsidR="000005F4" w14:paraId="2DA94DB7" w14:textId="77777777" w:rsidTr="000005F4">
        <w:trPr>
          <w:cantSplit/>
        </w:trPr>
        <w:tc>
          <w:tcPr>
            <w:tcW w:w="1704" w:type="dxa"/>
            <w:shd w:val="clear" w:color="auto" w:fill="auto"/>
          </w:tcPr>
          <w:p w14:paraId="331C8661" w14:textId="77777777" w:rsidR="000005F4" w:rsidRDefault="000005F4" w:rsidP="000005F4">
            <w:pPr>
              <w:pStyle w:val="TableHeading"/>
            </w:pPr>
          </w:p>
        </w:tc>
        <w:tc>
          <w:tcPr>
            <w:tcW w:w="7367" w:type="dxa"/>
            <w:shd w:val="solid" w:color="0067AB" w:fill="0067AB"/>
          </w:tcPr>
          <w:p w14:paraId="685C07EF" w14:textId="77777777" w:rsidR="000005F4" w:rsidRDefault="000005F4" w:rsidP="000005F4">
            <w:pPr>
              <w:pStyle w:val="TableHeadingWhite"/>
            </w:pPr>
          </w:p>
        </w:tc>
      </w:tr>
      <w:tr w:rsidR="000005F4" w14:paraId="5231605B" w14:textId="77777777" w:rsidTr="000005F4">
        <w:tc>
          <w:tcPr>
            <w:tcW w:w="1704" w:type="dxa"/>
            <w:shd w:val="clear" w:color="auto" w:fill="auto"/>
          </w:tcPr>
          <w:p w14:paraId="531742EA" w14:textId="77777777" w:rsidR="000005F4" w:rsidRPr="00781F02" w:rsidRDefault="000005F4" w:rsidP="000005F4">
            <w:pPr>
              <w:pStyle w:val="TableTextNoSpace"/>
              <w:rPr>
                <w:b/>
              </w:rPr>
            </w:pPr>
            <w:r w:rsidRPr="00781F02">
              <w:rPr>
                <w:b/>
              </w:rPr>
              <w:t>Background &amp; relevance</w:t>
            </w:r>
          </w:p>
        </w:tc>
        <w:tc>
          <w:tcPr>
            <w:tcW w:w="7367" w:type="dxa"/>
            <w:shd w:val="clear" w:color="auto" w:fill="auto"/>
          </w:tcPr>
          <w:p w14:paraId="3E6EF841" w14:textId="77777777" w:rsidR="000005F4" w:rsidRDefault="000005F4" w:rsidP="000005F4">
            <w:pPr>
              <w:pStyle w:val="TableTextNoSpace"/>
            </w:pPr>
            <w:r w:rsidRPr="00EB266B">
              <w:t>Welsh Government’s Woodlands for Wales strategy operates across global and European contexts. The goal of increasing woodland is compromised by woodland loss due to land use change and objections to planting trees on agricultural land</w:t>
            </w:r>
            <w:r>
              <w:t>.</w:t>
            </w:r>
          </w:p>
          <w:p w14:paraId="4236A902" w14:textId="77777777" w:rsidR="000005F4" w:rsidRDefault="000005F4" w:rsidP="000005F4">
            <w:pPr>
              <w:pStyle w:val="TableTextNoSpace"/>
            </w:pPr>
            <w:r>
              <w:t>Support for woodlands and forestry management is growing, on the basis of the range of commercial, social and environmental benefits derived from investment in appropriate woodland creation and management. This includes benefits for important ecosystems and biodiversity, and many sites managed by the Woodland Trust Wales benefit from funding to address management of local SACs.</w:t>
            </w:r>
          </w:p>
          <w:p w14:paraId="45FE91EF" w14:textId="77777777" w:rsidR="000005F4" w:rsidRPr="00E452A2" w:rsidRDefault="000005F4" w:rsidP="000005F4">
            <w:pPr>
              <w:pStyle w:val="TableTextNoSpace"/>
            </w:pPr>
            <w:r>
              <w:t xml:space="preserve">Whilst incentives for woodland creation appear to be strong, the effectiveness of existing incentives for ongoing management is less apparent in the context of Natura 2000 management needs. Nonetheless, better targeting of forest-environment agreements, as well as general management agreements, has the potential to strengthen the effectiveness of existing funding options. </w:t>
            </w:r>
          </w:p>
        </w:tc>
      </w:tr>
      <w:tr w:rsidR="000005F4" w14:paraId="39A9B9D5" w14:textId="77777777" w:rsidTr="000005F4">
        <w:tc>
          <w:tcPr>
            <w:tcW w:w="1704" w:type="dxa"/>
            <w:shd w:val="clear" w:color="auto" w:fill="auto"/>
          </w:tcPr>
          <w:p w14:paraId="4B4A576D" w14:textId="77777777" w:rsidR="000005F4" w:rsidRPr="00781F02" w:rsidRDefault="000005F4" w:rsidP="000005F4">
            <w:pPr>
              <w:pStyle w:val="TableTextNoSpace"/>
              <w:rPr>
                <w:b/>
              </w:rPr>
            </w:pPr>
            <w:r w:rsidRPr="00781F02">
              <w:rPr>
                <w:b/>
              </w:rPr>
              <w:t>Funding available</w:t>
            </w:r>
          </w:p>
        </w:tc>
        <w:tc>
          <w:tcPr>
            <w:tcW w:w="7367" w:type="dxa"/>
            <w:shd w:val="clear" w:color="auto" w:fill="auto"/>
          </w:tcPr>
          <w:p w14:paraId="77467A47" w14:textId="2CBF18B3" w:rsidR="00A60F44" w:rsidRDefault="00A60F44" w:rsidP="00B63F10">
            <w:pPr>
              <w:pStyle w:val="TableBullet"/>
            </w:pPr>
            <w:r w:rsidRPr="0076628E">
              <w:t>The Woodlands element of Glastir</w:t>
            </w:r>
            <w:r>
              <w:t>, divided into the Woodland Creation Grant Scheme and the Woodland Management Grant Scheme operated until 2015</w:t>
            </w:r>
            <w:r w:rsidR="00392544">
              <w:t>.</w:t>
            </w:r>
            <w:r>
              <w:t xml:space="preserve"> A second </w:t>
            </w:r>
            <w:r w:rsidRPr="0076628E">
              <w:t xml:space="preserve">round of funding </w:t>
            </w:r>
            <w:r>
              <w:t xml:space="preserve">is </w:t>
            </w:r>
            <w:r w:rsidRPr="0076628E">
              <w:t>expected to commence in 2016</w:t>
            </w:r>
            <w:r>
              <w:t xml:space="preserve"> under the new RDP.   </w:t>
            </w:r>
            <w:r w:rsidR="00392544">
              <w:t xml:space="preserve">It </w:t>
            </w:r>
            <w:r>
              <w:t>is</w:t>
            </w:r>
            <w:r w:rsidR="00392544">
              <w:t xml:space="preserve"> </w:t>
            </w:r>
            <w:r>
              <w:t>anticipated that funding allocation for woodland grants will increase significantly.</w:t>
            </w:r>
          </w:p>
          <w:p w14:paraId="3E90327B" w14:textId="65CDF099" w:rsidR="00A60F44" w:rsidRDefault="00A60F44" w:rsidP="0069296B">
            <w:pPr>
              <w:pStyle w:val="TableBullet"/>
            </w:pPr>
            <w:r>
              <w:t xml:space="preserve">Other support is frequently provided in the form of NRW Section 15 Agreements to landowners. </w:t>
            </w:r>
          </w:p>
          <w:p w14:paraId="5B3C76E3" w14:textId="77EB2A29" w:rsidR="000005F4" w:rsidRPr="00E452A2" w:rsidRDefault="00A60F44" w:rsidP="0069296B">
            <w:pPr>
              <w:pStyle w:val="TableBullet"/>
            </w:pPr>
            <w:r>
              <w:t xml:space="preserve">The previously completed Objective 1 funded Cyd Coed programme has provided substantial funding to community groups for woodland enhancement. </w:t>
            </w:r>
          </w:p>
        </w:tc>
      </w:tr>
      <w:tr w:rsidR="000005F4" w14:paraId="5B9DF14E" w14:textId="77777777" w:rsidTr="000005F4">
        <w:tc>
          <w:tcPr>
            <w:tcW w:w="1704" w:type="dxa"/>
            <w:shd w:val="clear" w:color="auto" w:fill="auto"/>
          </w:tcPr>
          <w:p w14:paraId="3F4AF247" w14:textId="77777777" w:rsidR="000005F4" w:rsidRPr="00781F02" w:rsidRDefault="000005F4" w:rsidP="000005F4">
            <w:pPr>
              <w:pStyle w:val="TableTextNoSpace"/>
              <w:rPr>
                <w:b/>
              </w:rPr>
            </w:pPr>
            <w:r w:rsidRPr="00781F02">
              <w:rPr>
                <w:b/>
              </w:rPr>
              <w:t>Opportunities for Natura</w:t>
            </w:r>
            <w:r>
              <w:rPr>
                <w:b/>
              </w:rPr>
              <w:t xml:space="preserve"> 2000 </w:t>
            </w:r>
          </w:p>
        </w:tc>
        <w:tc>
          <w:tcPr>
            <w:tcW w:w="7367" w:type="dxa"/>
            <w:shd w:val="clear" w:color="auto" w:fill="auto"/>
          </w:tcPr>
          <w:p w14:paraId="393D55BA" w14:textId="77777777" w:rsidR="000005F4" w:rsidRDefault="000005F4" w:rsidP="0069296B">
            <w:pPr>
              <w:pStyle w:val="TableBullet"/>
            </w:pPr>
            <w:r>
              <w:t xml:space="preserve">Grant schemes can support biodiversity and commercial production goals, such as promoting felling and pest management where appropriate </w:t>
            </w:r>
          </w:p>
          <w:p w14:paraId="010E8270" w14:textId="77777777" w:rsidR="000005F4" w:rsidRDefault="000005F4" w:rsidP="0069296B">
            <w:pPr>
              <w:pStyle w:val="TableBullet"/>
            </w:pPr>
            <w:r>
              <w:t xml:space="preserve">Organisations such as the Woodland Trust and NRW often hold detailed datasets on ecological trends which can inform management planning </w:t>
            </w:r>
          </w:p>
          <w:p w14:paraId="24AEA934" w14:textId="13BD6D05" w:rsidR="000005F4" w:rsidRPr="00E452A2" w:rsidRDefault="000005F4" w:rsidP="0069296B">
            <w:pPr>
              <w:pStyle w:val="TableBullet"/>
            </w:pPr>
            <w:r>
              <w:t xml:space="preserve">Grants </w:t>
            </w:r>
            <w:r w:rsidR="00A60F44">
              <w:t xml:space="preserve">can </w:t>
            </w:r>
            <w:r>
              <w:t>help strengthen public engagement and understanding of woodlands and associated benefits</w:t>
            </w:r>
          </w:p>
        </w:tc>
      </w:tr>
      <w:tr w:rsidR="000005F4" w14:paraId="5B7EF289" w14:textId="77777777" w:rsidTr="000005F4">
        <w:tc>
          <w:tcPr>
            <w:tcW w:w="1704" w:type="dxa"/>
            <w:shd w:val="clear" w:color="auto" w:fill="auto"/>
          </w:tcPr>
          <w:p w14:paraId="553F1244" w14:textId="77777777" w:rsidR="000005F4" w:rsidRPr="00781F02" w:rsidRDefault="000005F4" w:rsidP="000005F4">
            <w:pPr>
              <w:pStyle w:val="TableTextNoSpace"/>
              <w:rPr>
                <w:b/>
              </w:rPr>
            </w:pPr>
            <w:r w:rsidRPr="00781F02">
              <w:rPr>
                <w:b/>
              </w:rPr>
              <w:t>Limitations &amp; constraints</w:t>
            </w:r>
          </w:p>
        </w:tc>
        <w:tc>
          <w:tcPr>
            <w:tcW w:w="7367" w:type="dxa"/>
            <w:shd w:val="clear" w:color="auto" w:fill="auto"/>
          </w:tcPr>
          <w:p w14:paraId="6FACA373" w14:textId="77777777" w:rsidR="000005F4" w:rsidRDefault="000005F4" w:rsidP="0069296B">
            <w:pPr>
              <w:pStyle w:val="TableBullet"/>
            </w:pPr>
            <w:r>
              <w:t xml:space="preserve">Woodland Creation Grants are informed by complex targeting criteria and reliance on GIS maps rather than site-based assessments of funding needs </w:t>
            </w:r>
          </w:p>
          <w:p w14:paraId="4D07706E" w14:textId="77777777" w:rsidR="000005F4" w:rsidRDefault="000005F4" w:rsidP="0069296B">
            <w:pPr>
              <w:pStyle w:val="TableBullet"/>
            </w:pPr>
            <w:r>
              <w:t xml:space="preserve">The complexity of Woodland Management Grants is off-putting for many potential applicants and it is felt to provide insufficient incentives for more complex management actions </w:t>
            </w:r>
          </w:p>
          <w:p w14:paraId="31711D54" w14:textId="78BC6B84" w:rsidR="000005F4" w:rsidRPr="00E452A2" w:rsidRDefault="00A60F44" w:rsidP="0027409A">
            <w:pPr>
              <w:pStyle w:val="TableBullet"/>
            </w:pPr>
            <w:r>
              <w:t>The short-term nature of management agreements is typically incompatible with long</w:t>
            </w:r>
            <w:r w:rsidR="0027409A">
              <w:t>-term woodland management cycles</w:t>
            </w:r>
            <w:r w:rsidR="00392544">
              <w:t>.</w:t>
            </w:r>
          </w:p>
        </w:tc>
      </w:tr>
      <w:tr w:rsidR="000005F4" w14:paraId="1C3E1EBE" w14:textId="77777777" w:rsidTr="000005F4">
        <w:tc>
          <w:tcPr>
            <w:tcW w:w="1704" w:type="dxa"/>
            <w:shd w:val="clear" w:color="auto" w:fill="auto"/>
          </w:tcPr>
          <w:p w14:paraId="302B5580" w14:textId="77777777" w:rsidR="000005F4" w:rsidRDefault="000005F4" w:rsidP="000005F4">
            <w:pPr>
              <w:pStyle w:val="TableTextNoSpace"/>
              <w:rPr>
                <w:b/>
              </w:rPr>
            </w:pPr>
            <w:r w:rsidRPr="007B6DFE">
              <w:rPr>
                <w:b/>
              </w:rPr>
              <w:t>Increasing uptake &amp;</w:t>
            </w:r>
          </w:p>
          <w:p w14:paraId="097BE047" w14:textId="77777777" w:rsidR="000005F4" w:rsidRPr="009F1463" w:rsidRDefault="000005F4" w:rsidP="000005F4">
            <w:pPr>
              <w:pStyle w:val="TableTextNoSpace"/>
              <w:rPr>
                <w:b/>
              </w:rPr>
            </w:pPr>
            <w:r w:rsidRPr="007B6DFE">
              <w:rPr>
                <w:b/>
              </w:rPr>
              <w:t>integr</w:t>
            </w:r>
            <w:r>
              <w:rPr>
                <w:b/>
              </w:rPr>
              <w:t>a</w:t>
            </w:r>
            <w:r w:rsidRPr="007B6DFE">
              <w:rPr>
                <w:b/>
              </w:rPr>
              <w:t>tion</w:t>
            </w:r>
          </w:p>
        </w:tc>
        <w:tc>
          <w:tcPr>
            <w:tcW w:w="7367" w:type="dxa"/>
            <w:shd w:val="clear" w:color="auto" w:fill="auto"/>
          </w:tcPr>
          <w:p w14:paraId="7057AFEC" w14:textId="77777777" w:rsidR="000005F4" w:rsidRDefault="000005F4" w:rsidP="0069296B">
            <w:pPr>
              <w:pStyle w:val="TableBullet"/>
            </w:pPr>
            <w:r>
              <w:t xml:space="preserve">Management agreements could give permission for additional actions to be undertaken on site – so organisations such as the Woodland Trust are not restricted from undertaking additional conservation works </w:t>
            </w:r>
          </w:p>
          <w:p w14:paraId="2B87D9C4" w14:textId="77777777" w:rsidR="000005F4" w:rsidRDefault="000005F4" w:rsidP="0069296B">
            <w:pPr>
              <w:pStyle w:val="TableBullet"/>
            </w:pPr>
            <w:r>
              <w:t xml:space="preserve">Promotion of an ecosystem services approach to management agreements </w:t>
            </w:r>
          </w:p>
          <w:p w14:paraId="15BA0428" w14:textId="1077D140" w:rsidR="000005F4" w:rsidRPr="00E452A2" w:rsidRDefault="000005F4" w:rsidP="0069296B">
            <w:pPr>
              <w:pStyle w:val="TableBullet"/>
            </w:pPr>
            <w:r>
              <w:t>Deepening collaboration with water companies</w:t>
            </w:r>
            <w:r w:rsidR="00392544">
              <w:t xml:space="preserve"> given the important role of woodlands in flood control</w:t>
            </w:r>
            <w:r w:rsidR="0027409A">
              <w:t>, water quality</w:t>
            </w:r>
            <w:r w:rsidR="00392544">
              <w:t xml:space="preserve"> and other water resource management issues. </w:t>
            </w:r>
          </w:p>
        </w:tc>
      </w:tr>
    </w:tbl>
    <w:p w14:paraId="00C7BCFB" w14:textId="4A3C78F5" w:rsidR="008B11A6" w:rsidRDefault="008B11A6" w:rsidP="00BE743B">
      <w:pPr>
        <w:pStyle w:val="BodyText"/>
        <w:ind w:left="0"/>
      </w:pPr>
    </w:p>
    <w:p w14:paraId="5A8BA701" w14:textId="77777777" w:rsidR="000005F4" w:rsidRDefault="000005F4" w:rsidP="000005F4">
      <w:pPr>
        <w:pStyle w:val="Heading2NoNumb"/>
      </w:pPr>
      <w:bookmarkStart w:id="316" w:name="_Toc408094026"/>
      <w:bookmarkStart w:id="317" w:name="_Toc408138028"/>
      <w:bookmarkStart w:id="318" w:name="_Toc408851018"/>
      <w:bookmarkStart w:id="319" w:name="_Toc421880694"/>
      <w:r>
        <w:t>Research grants</w:t>
      </w:r>
      <w:bookmarkEnd w:id="316"/>
      <w:bookmarkEnd w:id="317"/>
      <w:bookmarkEnd w:id="318"/>
      <w:bookmarkEnd w:id="319"/>
      <w:r>
        <w:t xml:space="preserve"> </w:t>
      </w:r>
    </w:p>
    <w:tbl>
      <w:tblPr>
        <w:tblW w:w="9071" w:type="dxa"/>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Layout w:type="fixed"/>
        <w:tblCellMar>
          <w:top w:w="57" w:type="dxa"/>
          <w:left w:w="0" w:type="dxa"/>
          <w:bottom w:w="28" w:type="dxa"/>
          <w:right w:w="0" w:type="dxa"/>
        </w:tblCellMar>
        <w:tblLook w:val="0000" w:firstRow="0" w:lastRow="0" w:firstColumn="0" w:lastColumn="0" w:noHBand="0" w:noVBand="0"/>
      </w:tblPr>
      <w:tblGrid>
        <w:gridCol w:w="1704"/>
        <w:gridCol w:w="7367"/>
      </w:tblGrid>
      <w:tr w:rsidR="000005F4" w14:paraId="05C0A4C1" w14:textId="77777777" w:rsidTr="000005F4">
        <w:trPr>
          <w:cantSplit/>
        </w:trPr>
        <w:tc>
          <w:tcPr>
            <w:tcW w:w="1704" w:type="dxa"/>
            <w:shd w:val="clear" w:color="auto" w:fill="auto"/>
          </w:tcPr>
          <w:p w14:paraId="3A92C953" w14:textId="77777777" w:rsidR="000005F4" w:rsidRDefault="000005F4" w:rsidP="000005F4">
            <w:pPr>
              <w:pStyle w:val="TableHeading"/>
            </w:pPr>
          </w:p>
        </w:tc>
        <w:tc>
          <w:tcPr>
            <w:tcW w:w="7367" w:type="dxa"/>
            <w:shd w:val="solid" w:color="0067AB" w:fill="0067AB"/>
          </w:tcPr>
          <w:p w14:paraId="2C424793" w14:textId="77777777" w:rsidR="000005F4" w:rsidRDefault="000005F4" w:rsidP="000005F4">
            <w:pPr>
              <w:pStyle w:val="TableHeadingWhite"/>
            </w:pPr>
          </w:p>
        </w:tc>
      </w:tr>
      <w:tr w:rsidR="000005F4" w14:paraId="0ECBB48A" w14:textId="77777777" w:rsidTr="000005F4">
        <w:tc>
          <w:tcPr>
            <w:tcW w:w="1704" w:type="dxa"/>
            <w:shd w:val="clear" w:color="auto" w:fill="auto"/>
          </w:tcPr>
          <w:p w14:paraId="4A7D2521" w14:textId="77777777" w:rsidR="000005F4" w:rsidRPr="00781F02" w:rsidRDefault="000005F4" w:rsidP="000005F4">
            <w:pPr>
              <w:pStyle w:val="TableTextNoSpace"/>
              <w:rPr>
                <w:b/>
              </w:rPr>
            </w:pPr>
            <w:r w:rsidRPr="00781F02">
              <w:rPr>
                <w:b/>
              </w:rPr>
              <w:t>Background &amp; relevance</w:t>
            </w:r>
          </w:p>
        </w:tc>
        <w:tc>
          <w:tcPr>
            <w:tcW w:w="7367" w:type="dxa"/>
            <w:shd w:val="clear" w:color="auto" w:fill="auto"/>
          </w:tcPr>
          <w:p w14:paraId="3E06327D" w14:textId="77777777" w:rsidR="000005F4" w:rsidRPr="00E452A2" w:rsidRDefault="000005F4" w:rsidP="000005F4">
            <w:pPr>
              <w:pStyle w:val="TableTextNoSpace"/>
            </w:pPr>
            <w:r>
              <w:t xml:space="preserve">Research grants (typically held and administered by universities and other research institutions) represent a large-scale source of funding for investigation, evidence-gathering and data analysis related to the Natura 2000 network. Although NRW collaborates with a range of academic partners, small shifts in the nature of this collaboration could open up substantial opportunities. </w:t>
            </w:r>
          </w:p>
        </w:tc>
      </w:tr>
      <w:tr w:rsidR="000005F4" w14:paraId="34E042A9" w14:textId="77777777" w:rsidTr="000005F4">
        <w:tc>
          <w:tcPr>
            <w:tcW w:w="1704" w:type="dxa"/>
            <w:shd w:val="clear" w:color="auto" w:fill="auto"/>
          </w:tcPr>
          <w:p w14:paraId="37D9BE6B" w14:textId="77777777" w:rsidR="000005F4" w:rsidRPr="00781F02" w:rsidRDefault="000005F4" w:rsidP="000005F4">
            <w:pPr>
              <w:pStyle w:val="TableTextNoSpace"/>
              <w:rPr>
                <w:b/>
              </w:rPr>
            </w:pPr>
            <w:r w:rsidRPr="00781F02">
              <w:rPr>
                <w:b/>
              </w:rPr>
              <w:t>Funding available</w:t>
            </w:r>
          </w:p>
        </w:tc>
        <w:tc>
          <w:tcPr>
            <w:tcW w:w="7367" w:type="dxa"/>
            <w:shd w:val="clear" w:color="auto" w:fill="auto"/>
          </w:tcPr>
          <w:p w14:paraId="17B12ADB" w14:textId="0227590A" w:rsidR="000005F4" w:rsidRDefault="000005F4" w:rsidP="0027409A">
            <w:pPr>
              <w:pStyle w:val="Bullet1"/>
              <w:numPr>
                <w:ilvl w:val="0"/>
                <w:numId w:val="0"/>
              </w:numPr>
              <w:ind w:left="57"/>
            </w:pPr>
            <w:r>
              <w:t>The Natural Environment Research Council (NERC) has recently allocated £60m</w:t>
            </w:r>
            <w:r w:rsidR="0027409A">
              <w:t xml:space="preserve"> </w:t>
            </w:r>
            <w:r>
              <w:t>for 5 year research actions aligned with its science themes. Those relevant to</w:t>
            </w:r>
          </w:p>
          <w:p w14:paraId="02C5E42F" w14:textId="77777777" w:rsidR="000005F4" w:rsidRDefault="000005F4" w:rsidP="000005F4">
            <w:pPr>
              <w:pStyle w:val="Bullet1"/>
              <w:numPr>
                <w:ilvl w:val="0"/>
                <w:numId w:val="0"/>
              </w:numPr>
              <w:ind w:left="340" w:hanging="340"/>
            </w:pPr>
            <w:r>
              <w:t xml:space="preserve"> Natura 2000 include: </w:t>
            </w:r>
          </w:p>
          <w:p w14:paraId="7CCFA3A1" w14:textId="41C87EE0" w:rsidR="000005F4" w:rsidRDefault="000005F4" w:rsidP="0069296B">
            <w:pPr>
              <w:pStyle w:val="TableBullet"/>
            </w:pPr>
            <w:r>
              <w:t xml:space="preserve">Earth systems (£3m) </w:t>
            </w:r>
            <w:r w:rsidR="00392544">
              <w:t xml:space="preserve">greenhouse gas </w:t>
            </w:r>
            <w:r>
              <w:t xml:space="preserve">emissions (£8.1m) Resource recovery from waste (£6m) Sea shelf biogeochemistry (£9.6m) flooding (£5.2m) droughts (£6.5m) </w:t>
            </w:r>
          </w:p>
          <w:p w14:paraId="44C55F69" w14:textId="77777777" w:rsidR="000005F4" w:rsidRDefault="000005F4" w:rsidP="0069296B">
            <w:pPr>
              <w:pStyle w:val="TableBullet"/>
            </w:pPr>
            <w:r>
              <w:t>The Valuing Nature Network provides grants to projects with a focus on valuation of biodiversity, ecosystem services and natural resource use</w:t>
            </w:r>
          </w:p>
          <w:p w14:paraId="62EA1CBA" w14:textId="77777777" w:rsidR="000005F4" w:rsidRDefault="000005F4" w:rsidP="000005F4">
            <w:pPr>
              <w:pStyle w:val="Bullet1"/>
              <w:numPr>
                <w:ilvl w:val="0"/>
                <w:numId w:val="0"/>
              </w:numPr>
              <w:ind w:left="340" w:hanging="340"/>
            </w:pPr>
            <w:r>
              <w:t xml:space="preserve"> Addition funds include: </w:t>
            </w:r>
          </w:p>
          <w:p w14:paraId="4A5D06C1" w14:textId="77777777" w:rsidR="000005F4" w:rsidRDefault="000005F4" w:rsidP="000005F4">
            <w:pPr>
              <w:pStyle w:val="Bullet1"/>
            </w:pPr>
            <w:r>
              <w:t xml:space="preserve">The Freshwater Biological Association provides small research grants (£4,000) </w:t>
            </w:r>
          </w:p>
          <w:p w14:paraId="6DD8E544" w14:textId="77777777" w:rsidR="000005F4" w:rsidRPr="00E452A2" w:rsidRDefault="000005F4" w:rsidP="000005F4">
            <w:pPr>
              <w:pStyle w:val="Bullet1"/>
            </w:pPr>
            <w:r>
              <w:t xml:space="preserve">The British Ecological Society provides research/project grants (£5,000-£20,000) </w:t>
            </w:r>
          </w:p>
        </w:tc>
      </w:tr>
      <w:tr w:rsidR="000005F4" w14:paraId="2B5E8B69" w14:textId="77777777" w:rsidTr="000005F4">
        <w:tc>
          <w:tcPr>
            <w:tcW w:w="1704" w:type="dxa"/>
            <w:shd w:val="clear" w:color="auto" w:fill="auto"/>
          </w:tcPr>
          <w:p w14:paraId="1A6A2909" w14:textId="77777777" w:rsidR="000005F4" w:rsidRPr="00781F02" w:rsidRDefault="000005F4" w:rsidP="000005F4">
            <w:pPr>
              <w:pStyle w:val="TableTextNoSpace"/>
              <w:rPr>
                <w:b/>
              </w:rPr>
            </w:pPr>
            <w:r w:rsidRPr="00781F02">
              <w:rPr>
                <w:b/>
              </w:rPr>
              <w:t>Opportunities for Natura</w:t>
            </w:r>
            <w:r>
              <w:rPr>
                <w:b/>
              </w:rPr>
              <w:t xml:space="preserve"> 2000 </w:t>
            </w:r>
          </w:p>
        </w:tc>
        <w:tc>
          <w:tcPr>
            <w:tcW w:w="7367" w:type="dxa"/>
            <w:shd w:val="clear" w:color="auto" w:fill="auto"/>
          </w:tcPr>
          <w:p w14:paraId="75B4F75D" w14:textId="77777777" w:rsidR="000005F4" w:rsidRDefault="000005F4" w:rsidP="0069296B">
            <w:pPr>
              <w:pStyle w:val="TableBullet"/>
            </w:pPr>
            <w:r>
              <w:t xml:space="preserve">Research grants can support small-scale, specialist research needs relating to the network (typically one-off) </w:t>
            </w:r>
          </w:p>
          <w:p w14:paraId="3A82945C" w14:textId="77777777" w:rsidR="000005F4" w:rsidRDefault="000005F4" w:rsidP="0069296B">
            <w:pPr>
              <w:pStyle w:val="TableBullet"/>
            </w:pPr>
            <w:r>
              <w:t xml:space="preserve">Grants can support larger, landscape scale monitoring programmes (for example, the Anglesey Fens LIFE project, which Bangor University continues to monitor) </w:t>
            </w:r>
          </w:p>
          <w:p w14:paraId="3E8264B7" w14:textId="76EB0086" w:rsidR="000005F4" w:rsidRPr="00E452A2" w:rsidRDefault="000005F4" w:rsidP="0069296B">
            <w:pPr>
              <w:pStyle w:val="TableBullet"/>
            </w:pPr>
            <w:r>
              <w:t>Major research programmes can support development of evidence/data for ecosystems for which little evidence is currently available (</w:t>
            </w:r>
            <w:r w:rsidR="0027409A">
              <w:t>e.g.</w:t>
            </w:r>
            <w:r>
              <w:t xml:space="preserve"> marine sites) and thus inform management planning</w:t>
            </w:r>
          </w:p>
        </w:tc>
      </w:tr>
      <w:tr w:rsidR="000005F4" w14:paraId="6B830889" w14:textId="77777777" w:rsidTr="000005F4">
        <w:tc>
          <w:tcPr>
            <w:tcW w:w="1704" w:type="dxa"/>
            <w:shd w:val="clear" w:color="auto" w:fill="auto"/>
          </w:tcPr>
          <w:p w14:paraId="65170732" w14:textId="77777777" w:rsidR="000005F4" w:rsidRPr="00781F02" w:rsidRDefault="000005F4" w:rsidP="000005F4">
            <w:pPr>
              <w:pStyle w:val="TableTextNoSpace"/>
              <w:rPr>
                <w:b/>
              </w:rPr>
            </w:pPr>
            <w:r w:rsidRPr="00781F02">
              <w:rPr>
                <w:b/>
              </w:rPr>
              <w:t>Limitations &amp; constraints</w:t>
            </w:r>
          </w:p>
        </w:tc>
        <w:tc>
          <w:tcPr>
            <w:tcW w:w="7367" w:type="dxa"/>
            <w:shd w:val="clear" w:color="auto" w:fill="auto"/>
          </w:tcPr>
          <w:p w14:paraId="3F7BF104" w14:textId="77777777" w:rsidR="000005F4" w:rsidRDefault="000005F4" w:rsidP="0069296B">
            <w:pPr>
              <w:pStyle w:val="TableBullet"/>
            </w:pPr>
            <w:r>
              <w:t>Application processes are often time and resource-consuming</w:t>
            </w:r>
          </w:p>
          <w:p w14:paraId="10D9F6DB" w14:textId="77777777" w:rsidR="000005F4" w:rsidRDefault="000005F4" w:rsidP="0069296B">
            <w:pPr>
              <w:pStyle w:val="TableBullet"/>
            </w:pPr>
            <w:r>
              <w:t>Collaboration often occurs relatively late in the project lifecycle, which may be of less interest to universities</w:t>
            </w:r>
          </w:p>
          <w:p w14:paraId="14DFDF37" w14:textId="2AE9A8E2" w:rsidR="000005F4" w:rsidRPr="00E452A2" w:rsidRDefault="000005F4" w:rsidP="0069296B">
            <w:pPr>
              <w:pStyle w:val="TableBullet"/>
            </w:pPr>
            <w:r>
              <w:t xml:space="preserve">NRW’s 1-year funding cycles are poorly aligned with the 3-5 year life of many research </w:t>
            </w:r>
            <w:r w:rsidR="00392544">
              <w:t>programmes. Most</w:t>
            </w:r>
            <w:r>
              <w:t xml:space="preserve"> partners need a commitment of funding for the entire project lifecycle   </w:t>
            </w:r>
          </w:p>
        </w:tc>
      </w:tr>
      <w:tr w:rsidR="000005F4" w14:paraId="28C04C23" w14:textId="77777777" w:rsidTr="000005F4">
        <w:tc>
          <w:tcPr>
            <w:tcW w:w="1704" w:type="dxa"/>
            <w:shd w:val="clear" w:color="auto" w:fill="auto"/>
          </w:tcPr>
          <w:p w14:paraId="1CEB5B85" w14:textId="77777777" w:rsidR="000005F4" w:rsidRDefault="000005F4" w:rsidP="000005F4">
            <w:pPr>
              <w:pStyle w:val="TableTextNoSpace"/>
              <w:rPr>
                <w:b/>
              </w:rPr>
            </w:pPr>
            <w:r w:rsidRPr="007B6DFE">
              <w:rPr>
                <w:b/>
              </w:rPr>
              <w:t>Increasing uptake &amp;</w:t>
            </w:r>
          </w:p>
          <w:p w14:paraId="0C22B897" w14:textId="77777777" w:rsidR="000005F4" w:rsidRPr="009F1463" w:rsidRDefault="000005F4" w:rsidP="000005F4">
            <w:pPr>
              <w:pStyle w:val="TableTextNoSpace"/>
              <w:rPr>
                <w:b/>
              </w:rPr>
            </w:pPr>
            <w:r w:rsidRPr="007B6DFE">
              <w:rPr>
                <w:b/>
              </w:rPr>
              <w:t>integr</w:t>
            </w:r>
            <w:r>
              <w:rPr>
                <w:b/>
              </w:rPr>
              <w:t>a</w:t>
            </w:r>
            <w:r w:rsidRPr="007B6DFE">
              <w:rPr>
                <w:b/>
              </w:rPr>
              <w:t>tion</w:t>
            </w:r>
          </w:p>
        </w:tc>
        <w:tc>
          <w:tcPr>
            <w:tcW w:w="7367" w:type="dxa"/>
            <w:shd w:val="clear" w:color="auto" w:fill="auto"/>
          </w:tcPr>
          <w:p w14:paraId="2B101FF8" w14:textId="77777777" w:rsidR="000005F4" w:rsidRDefault="000005F4" w:rsidP="0069296B">
            <w:pPr>
              <w:pStyle w:val="TableBullet"/>
            </w:pPr>
            <w:r>
              <w:t xml:space="preserve">Wider use of small grants to support site-level monitoring and investigation </w:t>
            </w:r>
          </w:p>
          <w:p w14:paraId="24A73FE4" w14:textId="77777777" w:rsidR="000005F4" w:rsidRDefault="000005F4" w:rsidP="0069296B">
            <w:pPr>
              <w:pStyle w:val="TableBullet"/>
            </w:pPr>
            <w:r>
              <w:t>Development of a discretionary fund to link NRW funding to research funding on a rolling basis</w:t>
            </w:r>
          </w:p>
          <w:p w14:paraId="3F4ADCA7" w14:textId="77777777" w:rsidR="000005F4" w:rsidRDefault="000005F4" w:rsidP="0069296B">
            <w:pPr>
              <w:pStyle w:val="TableBullet"/>
            </w:pPr>
            <w:r>
              <w:t>Review of investigation needs against research grant programme themes to identify potential opportunities, including where there is scope to upscale individual investigations into broader research projects applicable to multiple Natura 2000 sites</w:t>
            </w:r>
          </w:p>
          <w:p w14:paraId="35FFCFCE" w14:textId="77777777" w:rsidR="000005F4" w:rsidRDefault="000005F4" w:rsidP="0069296B">
            <w:pPr>
              <w:pStyle w:val="TableBullet"/>
            </w:pPr>
            <w:r>
              <w:t xml:space="preserve">Earlier engagement with research community in project lifecycle </w:t>
            </w:r>
          </w:p>
          <w:p w14:paraId="31D3E336" w14:textId="77777777" w:rsidR="000005F4" w:rsidRPr="00E452A2" w:rsidRDefault="000005F4" w:rsidP="0069296B">
            <w:pPr>
              <w:pStyle w:val="TableBullet"/>
            </w:pPr>
            <w:r>
              <w:t xml:space="preserve">Development of European match-funding for evidence programmes </w:t>
            </w:r>
          </w:p>
        </w:tc>
      </w:tr>
    </w:tbl>
    <w:p w14:paraId="545B4EFB" w14:textId="77777777" w:rsidR="000005F4" w:rsidRDefault="000005F4" w:rsidP="00BE743B">
      <w:pPr>
        <w:pStyle w:val="BodyText"/>
        <w:ind w:left="0"/>
      </w:pPr>
    </w:p>
    <w:p w14:paraId="6B516760" w14:textId="17DEF79C" w:rsidR="000005F4" w:rsidRDefault="000005F4" w:rsidP="000005F4">
      <w:pPr>
        <w:pStyle w:val="AnnexHeading"/>
      </w:pPr>
      <w:bookmarkStart w:id="320" w:name="_Toc408094022"/>
      <w:bookmarkStart w:id="321" w:name="_Toc408138024"/>
      <w:bookmarkStart w:id="322" w:name="_Toc408851019"/>
      <w:bookmarkStart w:id="323" w:name="_Toc421880695"/>
      <w:r>
        <w:t>Review of Private, Lottery and Voluntary Sector Funds</w:t>
      </w:r>
      <w:bookmarkEnd w:id="320"/>
      <w:bookmarkEnd w:id="321"/>
      <w:bookmarkEnd w:id="322"/>
      <w:bookmarkEnd w:id="323"/>
    </w:p>
    <w:p w14:paraId="2CF7B3DB" w14:textId="1C0A2D7C" w:rsidR="000005F4" w:rsidRDefault="000005F4" w:rsidP="000005F4">
      <w:pPr>
        <w:pStyle w:val="Heading2NoNumb"/>
      </w:pPr>
      <w:bookmarkStart w:id="324" w:name="_Toc408094023"/>
      <w:bookmarkStart w:id="325" w:name="_Toc408138025"/>
      <w:bookmarkStart w:id="326" w:name="_Toc408851020"/>
      <w:bookmarkStart w:id="327" w:name="_Toc421880696"/>
      <w:r>
        <w:t>Private, Lottery and Voluntary funds: conservation and landscape</w:t>
      </w:r>
      <w:bookmarkEnd w:id="324"/>
      <w:bookmarkEnd w:id="325"/>
      <w:bookmarkEnd w:id="326"/>
      <w:bookmarkEnd w:id="327"/>
    </w:p>
    <w:tbl>
      <w:tblPr>
        <w:tblW w:w="9071" w:type="dxa"/>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Layout w:type="fixed"/>
        <w:tblCellMar>
          <w:top w:w="57" w:type="dxa"/>
          <w:left w:w="0" w:type="dxa"/>
          <w:bottom w:w="28" w:type="dxa"/>
          <w:right w:w="0" w:type="dxa"/>
        </w:tblCellMar>
        <w:tblLook w:val="0000" w:firstRow="0" w:lastRow="0" w:firstColumn="0" w:lastColumn="0" w:noHBand="0" w:noVBand="0"/>
      </w:tblPr>
      <w:tblGrid>
        <w:gridCol w:w="1704"/>
        <w:gridCol w:w="7367"/>
      </w:tblGrid>
      <w:tr w:rsidR="000005F4" w14:paraId="0670A4EB" w14:textId="77777777" w:rsidTr="000005F4">
        <w:trPr>
          <w:cantSplit/>
        </w:trPr>
        <w:tc>
          <w:tcPr>
            <w:tcW w:w="1704" w:type="dxa"/>
            <w:shd w:val="clear" w:color="auto" w:fill="auto"/>
          </w:tcPr>
          <w:p w14:paraId="35BB9447" w14:textId="77777777" w:rsidR="000005F4" w:rsidRDefault="000005F4" w:rsidP="000005F4">
            <w:pPr>
              <w:pStyle w:val="TableHeading"/>
            </w:pPr>
          </w:p>
        </w:tc>
        <w:tc>
          <w:tcPr>
            <w:tcW w:w="7367" w:type="dxa"/>
            <w:shd w:val="solid" w:color="0067AB" w:fill="0067AB"/>
          </w:tcPr>
          <w:p w14:paraId="783438B6" w14:textId="77777777" w:rsidR="000005F4" w:rsidRDefault="000005F4" w:rsidP="000005F4">
            <w:pPr>
              <w:pStyle w:val="TableHeadingWhite"/>
            </w:pPr>
          </w:p>
        </w:tc>
      </w:tr>
      <w:tr w:rsidR="000005F4" w14:paraId="58285EEF" w14:textId="77777777" w:rsidTr="000005F4">
        <w:tc>
          <w:tcPr>
            <w:tcW w:w="1704" w:type="dxa"/>
            <w:shd w:val="clear" w:color="auto" w:fill="auto"/>
          </w:tcPr>
          <w:p w14:paraId="2A737628" w14:textId="77777777" w:rsidR="000005F4" w:rsidRPr="00781F02" w:rsidRDefault="000005F4" w:rsidP="000005F4">
            <w:pPr>
              <w:pStyle w:val="TableTextNoSpace"/>
              <w:rPr>
                <w:b/>
              </w:rPr>
            </w:pPr>
            <w:r w:rsidRPr="00781F02">
              <w:rPr>
                <w:b/>
              </w:rPr>
              <w:t>Background &amp; relevance</w:t>
            </w:r>
          </w:p>
        </w:tc>
        <w:tc>
          <w:tcPr>
            <w:tcW w:w="7367" w:type="dxa"/>
            <w:shd w:val="clear" w:color="auto" w:fill="auto"/>
          </w:tcPr>
          <w:p w14:paraId="2A88AB82" w14:textId="77777777" w:rsidR="000005F4" w:rsidRPr="00E452A2" w:rsidRDefault="000005F4" w:rsidP="0027409A">
            <w:pPr>
              <w:pStyle w:val="TableTextNoSpace"/>
            </w:pPr>
            <w:r>
              <w:t xml:space="preserve">Wales has a diverse and buoyant conservation sector, with specialist skills in areas relating to conservation management. Many of these organisations administer trust funds and/or have particular expertise and resources in the development of funding applications or consortia. These groups are thus natural partners for both fundraising and delivery of Natura 2000 management. </w:t>
            </w:r>
          </w:p>
        </w:tc>
      </w:tr>
      <w:tr w:rsidR="000005F4" w14:paraId="17C5B248" w14:textId="77777777" w:rsidTr="000005F4">
        <w:tc>
          <w:tcPr>
            <w:tcW w:w="1704" w:type="dxa"/>
            <w:shd w:val="clear" w:color="auto" w:fill="auto"/>
          </w:tcPr>
          <w:p w14:paraId="1FCEE652" w14:textId="77777777" w:rsidR="000005F4" w:rsidRPr="00781F02" w:rsidRDefault="000005F4" w:rsidP="000005F4">
            <w:pPr>
              <w:pStyle w:val="TableTextNoSpace"/>
              <w:rPr>
                <w:b/>
              </w:rPr>
            </w:pPr>
            <w:r w:rsidRPr="00781F02">
              <w:rPr>
                <w:b/>
              </w:rPr>
              <w:t>Funding available</w:t>
            </w:r>
          </w:p>
        </w:tc>
        <w:tc>
          <w:tcPr>
            <w:tcW w:w="7367" w:type="dxa"/>
            <w:shd w:val="clear" w:color="auto" w:fill="auto"/>
          </w:tcPr>
          <w:p w14:paraId="5F66960E" w14:textId="77777777" w:rsidR="000005F4" w:rsidRDefault="000005F4" w:rsidP="0027409A">
            <w:pPr>
              <w:pStyle w:val="Bullet1"/>
              <w:numPr>
                <w:ilvl w:val="0"/>
                <w:numId w:val="0"/>
              </w:numPr>
              <w:ind w:left="397" w:hanging="340"/>
            </w:pPr>
            <w:r>
              <w:t>There are a number of different sources:</w:t>
            </w:r>
          </w:p>
          <w:p w14:paraId="7D976EC0" w14:textId="1E919601" w:rsidR="000005F4" w:rsidRDefault="000005F4" w:rsidP="0069296B">
            <w:pPr>
              <w:pStyle w:val="TableBullet"/>
            </w:pPr>
            <w:r>
              <w:t>PONT (Pori Natur a Threftadaeth) specialises in developing grazing schemes and associated funding applications and provided £169,987 of support to conservation activities in 2010/11</w:t>
            </w:r>
            <w:r w:rsidR="0027409A">
              <w:t>.</w:t>
            </w:r>
          </w:p>
          <w:p w14:paraId="3580A985" w14:textId="6100B646" w:rsidR="000005F4" w:rsidRDefault="000005F4" w:rsidP="0069296B">
            <w:pPr>
              <w:pStyle w:val="TableBullet"/>
            </w:pPr>
            <w:r>
              <w:t>RSPB Cymru has an extensive reserve network and provides direct funding for its own sites, some of which are part of Natura 2000.  The RSPB invested £85.8m on (UK-wide) conservation in 2013</w:t>
            </w:r>
            <w:r w:rsidR="00392544">
              <w:t>.</w:t>
            </w:r>
          </w:p>
          <w:p w14:paraId="23F43134" w14:textId="6626792B" w:rsidR="000005F4" w:rsidRDefault="000005F4" w:rsidP="0069296B">
            <w:pPr>
              <w:pStyle w:val="TableBullet"/>
            </w:pPr>
            <w:r>
              <w:t>The Esmée Fairbairn Foundation allocated £4.4m of grants to UK environmental projects in 2013 - grants were typically match funded and large-scale (with awards typically in the region of £500,000, £800,000 per project)</w:t>
            </w:r>
            <w:r w:rsidR="0027409A">
              <w:t>.</w:t>
            </w:r>
          </w:p>
          <w:p w14:paraId="6A106238" w14:textId="65B1841F" w:rsidR="000005F4" w:rsidRDefault="000005F4" w:rsidP="0069296B">
            <w:pPr>
              <w:pStyle w:val="TableBullet"/>
            </w:pPr>
            <w:r>
              <w:t>The Wildlife Trusts Wales collectively invested £873,347 in conservation work in 2013/14</w:t>
            </w:r>
            <w:r w:rsidR="0027409A">
              <w:t>.</w:t>
            </w:r>
          </w:p>
          <w:p w14:paraId="1194DF61" w14:textId="30FFF046" w:rsidR="000005F4" w:rsidRDefault="000005F4" w:rsidP="0069296B">
            <w:pPr>
              <w:pStyle w:val="TableBullet"/>
            </w:pPr>
            <w:r>
              <w:t>The Heritage Lottery Fund provides support through its Landscape Partnerships (£100,000-£3m awards) as well as smaller Heritage Grants (over £3000). HLF recently allocated £3.6m to the Wetlands for Wales project in partnership with RSPB Cymru and NRW</w:t>
            </w:r>
            <w:r w:rsidR="0027409A">
              <w:t>.</w:t>
            </w:r>
          </w:p>
          <w:p w14:paraId="174A4855" w14:textId="448B59C7" w:rsidR="000005F4" w:rsidRPr="00E452A2" w:rsidRDefault="000005F4" w:rsidP="0069296B">
            <w:pPr>
              <w:pStyle w:val="TableBullet"/>
            </w:pPr>
            <w:r>
              <w:t>The Environment Wales Fund provides a range of smaller grants (£600-£12,000) support project development and ongoing management</w:t>
            </w:r>
            <w:r w:rsidR="0027409A">
              <w:t>.</w:t>
            </w:r>
          </w:p>
        </w:tc>
      </w:tr>
      <w:tr w:rsidR="000005F4" w14:paraId="7E3D42F3" w14:textId="77777777" w:rsidTr="000005F4">
        <w:tc>
          <w:tcPr>
            <w:tcW w:w="1704" w:type="dxa"/>
            <w:shd w:val="clear" w:color="auto" w:fill="auto"/>
          </w:tcPr>
          <w:p w14:paraId="16553FFD" w14:textId="77777777" w:rsidR="000005F4" w:rsidRPr="00781F02" w:rsidRDefault="000005F4" w:rsidP="000005F4">
            <w:pPr>
              <w:pStyle w:val="TableTextNoSpace"/>
              <w:rPr>
                <w:b/>
              </w:rPr>
            </w:pPr>
            <w:r w:rsidRPr="00781F02">
              <w:rPr>
                <w:b/>
              </w:rPr>
              <w:t>Opportunities for Natura</w:t>
            </w:r>
            <w:r>
              <w:rPr>
                <w:b/>
              </w:rPr>
              <w:t xml:space="preserve"> 2000 </w:t>
            </w:r>
          </w:p>
        </w:tc>
        <w:tc>
          <w:tcPr>
            <w:tcW w:w="7367" w:type="dxa"/>
            <w:shd w:val="clear" w:color="auto" w:fill="auto"/>
          </w:tcPr>
          <w:p w14:paraId="5F84797E" w14:textId="00CB5A14" w:rsidR="000005F4" w:rsidRDefault="000005F4" w:rsidP="0069296B">
            <w:pPr>
              <w:pStyle w:val="TableBullet"/>
            </w:pPr>
            <w:r>
              <w:t>Groups with a conservation focus often bring specialist expertise that can benefit ongoing</w:t>
            </w:r>
            <w:r w:rsidR="00F94290">
              <w:t xml:space="preserve"> project management.</w:t>
            </w:r>
          </w:p>
          <w:p w14:paraId="7835B388" w14:textId="6B5F2DEB" w:rsidR="000005F4" w:rsidRDefault="000005F4" w:rsidP="0069296B">
            <w:pPr>
              <w:pStyle w:val="TableBullet"/>
            </w:pPr>
            <w:r>
              <w:t>Third sector organisations typically have particular expertise and resources for developing funding applications and EU grant applications</w:t>
            </w:r>
            <w:r w:rsidR="0027409A">
              <w:t>.</w:t>
            </w:r>
          </w:p>
          <w:p w14:paraId="3F3563AA" w14:textId="3D717467" w:rsidR="000005F4" w:rsidRPr="00E452A2" w:rsidRDefault="000005F4" w:rsidP="0069296B">
            <w:pPr>
              <w:pStyle w:val="TableBullet"/>
            </w:pPr>
            <w:r>
              <w:t>Many of these funds have maintained funding levels despite the economic downturn</w:t>
            </w:r>
            <w:r w:rsidR="0027409A">
              <w:t>.</w:t>
            </w:r>
          </w:p>
        </w:tc>
      </w:tr>
      <w:tr w:rsidR="000005F4" w14:paraId="2CEBF4F9" w14:textId="77777777" w:rsidTr="000005F4">
        <w:tc>
          <w:tcPr>
            <w:tcW w:w="1704" w:type="dxa"/>
            <w:shd w:val="clear" w:color="auto" w:fill="auto"/>
          </w:tcPr>
          <w:p w14:paraId="0F3E6E73" w14:textId="77777777" w:rsidR="000005F4" w:rsidRPr="00781F02" w:rsidRDefault="000005F4" w:rsidP="000005F4">
            <w:pPr>
              <w:pStyle w:val="TableTextNoSpace"/>
              <w:rPr>
                <w:b/>
              </w:rPr>
            </w:pPr>
            <w:r w:rsidRPr="00781F02">
              <w:rPr>
                <w:b/>
              </w:rPr>
              <w:t>Limitations &amp; constraints</w:t>
            </w:r>
          </w:p>
        </w:tc>
        <w:tc>
          <w:tcPr>
            <w:tcW w:w="7367" w:type="dxa"/>
            <w:shd w:val="clear" w:color="auto" w:fill="auto"/>
          </w:tcPr>
          <w:p w14:paraId="691FE327" w14:textId="6D0353A4" w:rsidR="000005F4" w:rsidRDefault="000005F4" w:rsidP="0069296B">
            <w:pPr>
              <w:pStyle w:val="TableBullet"/>
            </w:pPr>
            <w:r>
              <w:t>There is often a mismatch between timeframes for NRW funded projects and timeframes for other funding applications- although the Partnership Working Fund is intended to partly address this issue</w:t>
            </w:r>
            <w:r w:rsidR="0027409A">
              <w:t>.</w:t>
            </w:r>
          </w:p>
          <w:p w14:paraId="075A43E9" w14:textId="144B5815" w:rsidR="000005F4" w:rsidRPr="00E452A2" w:rsidRDefault="000005F4" w:rsidP="0069296B">
            <w:pPr>
              <w:pStyle w:val="TableBullet"/>
            </w:pPr>
            <w:r>
              <w:t xml:space="preserve">Competition for funds has often increased substantially </w:t>
            </w:r>
            <w:r w:rsidR="00F94290">
              <w:t xml:space="preserve">in recent years. </w:t>
            </w:r>
          </w:p>
        </w:tc>
      </w:tr>
      <w:tr w:rsidR="000005F4" w14:paraId="543DA7AC" w14:textId="77777777" w:rsidTr="000005F4">
        <w:tc>
          <w:tcPr>
            <w:tcW w:w="1704" w:type="dxa"/>
            <w:shd w:val="clear" w:color="auto" w:fill="auto"/>
          </w:tcPr>
          <w:p w14:paraId="7321B830" w14:textId="77777777" w:rsidR="000005F4" w:rsidRDefault="000005F4" w:rsidP="000005F4">
            <w:pPr>
              <w:pStyle w:val="TableTextNoSpace"/>
              <w:rPr>
                <w:b/>
              </w:rPr>
            </w:pPr>
            <w:r w:rsidRPr="007B6DFE">
              <w:rPr>
                <w:b/>
              </w:rPr>
              <w:t>Increasing uptake &amp;</w:t>
            </w:r>
          </w:p>
          <w:p w14:paraId="6FA4116E" w14:textId="77777777" w:rsidR="000005F4" w:rsidRPr="009F1463" w:rsidRDefault="000005F4" w:rsidP="000005F4">
            <w:pPr>
              <w:pStyle w:val="TableTextNoSpace"/>
              <w:rPr>
                <w:b/>
              </w:rPr>
            </w:pPr>
            <w:r w:rsidRPr="007B6DFE">
              <w:rPr>
                <w:b/>
              </w:rPr>
              <w:t>integr</w:t>
            </w:r>
            <w:r>
              <w:rPr>
                <w:b/>
              </w:rPr>
              <w:t>a</w:t>
            </w:r>
            <w:r w:rsidRPr="007B6DFE">
              <w:rPr>
                <w:b/>
              </w:rPr>
              <w:t>tion</w:t>
            </w:r>
          </w:p>
        </w:tc>
        <w:tc>
          <w:tcPr>
            <w:tcW w:w="7367" w:type="dxa"/>
            <w:shd w:val="clear" w:color="auto" w:fill="auto"/>
          </w:tcPr>
          <w:p w14:paraId="043D9CE1" w14:textId="7731A18D" w:rsidR="000005F4" w:rsidRDefault="000005F4" w:rsidP="0069296B">
            <w:pPr>
              <w:pStyle w:val="TableBullet"/>
            </w:pPr>
            <w:r>
              <w:t>Further development of landscape-level partnership projects (eg. Anglesey Grazing Partnership)</w:t>
            </w:r>
            <w:r w:rsidR="0027409A">
              <w:t>.</w:t>
            </w:r>
            <w:r>
              <w:t xml:space="preserve"> </w:t>
            </w:r>
          </w:p>
          <w:p w14:paraId="4AB81737" w14:textId="006D2BB0" w:rsidR="000005F4" w:rsidRDefault="000005F4" w:rsidP="0069296B">
            <w:pPr>
              <w:pStyle w:val="TableBullet"/>
            </w:pPr>
            <w:r>
              <w:t>Better alignment of NRW resource planning with the charitable funding cycle (eg. discre</w:t>
            </w:r>
            <w:r w:rsidR="0027409A">
              <w:t>tionary fund for match-funding).</w:t>
            </w:r>
          </w:p>
          <w:p w14:paraId="135F6AA8" w14:textId="460F9B47" w:rsidR="000005F4" w:rsidRDefault="000005F4" w:rsidP="0069296B">
            <w:pPr>
              <w:pStyle w:val="TableBullet"/>
            </w:pPr>
            <w:r>
              <w:t>Earlier collaboration in the design and delivery of agri-environmental measures</w:t>
            </w:r>
            <w:r w:rsidR="0027409A">
              <w:t>.</w:t>
            </w:r>
            <w:r>
              <w:t xml:space="preserve"> </w:t>
            </w:r>
          </w:p>
          <w:p w14:paraId="4E8B620F" w14:textId="5FC4DE50" w:rsidR="000005F4" w:rsidRPr="00E452A2" w:rsidRDefault="000005F4" w:rsidP="0069296B">
            <w:pPr>
              <w:pStyle w:val="TableBullet"/>
            </w:pPr>
            <w:r>
              <w:t>Exploring match funding between major charitable funds (eg. HLF) and EU funds (eg. LIFE)</w:t>
            </w:r>
            <w:r w:rsidR="0027409A">
              <w:t>.</w:t>
            </w:r>
            <w:r>
              <w:t xml:space="preserve"> </w:t>
            </w:r>
          </w:p>
        </w:tc>
      </w:tr>
    </w:tbl>
    <w:p w14:paraId="5C566399" w14:textId="6DF9E950" w:rsidR="000005F4" w:rsidRPr="00462DD0" w:rsidRDefault="000005F4" w:rsidP="0027409A">
      <w:pPr>
        <w:pStyle w:val="Heading2NoNumb"/>
      </w:pPr>
      <w:bookmarkStart w:id="328" w:name="_Toc408094024"/>
      <w:bookmarkStart w:id="329" w:name="_Toc408138026"/>
      <w:bookmarkStart w:id="330" w:name="_Toc408851021"/>
      <w:bookmarkStart w:id="331" w:name="_Toc421880697"/>
      <w:r>
        <w:t>Private, Lottery and Voluntary funds: skills, education and community</w:t>
      </w:r>
      <w:bookmarkEnd w:id="328"/>
      <w:bookmarkEnd w:id="329"/>
      <w:bookmarkEnd w:id="330"/>
      <w:bookmarkEnd w:id="331"/>
    </w:p>
    <w:tbl>
      <w:tblPr>
        <w:tblW w:w="9071" w:type="dxa"/>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Layout w:type="fixed"/>
        <w:tblCellMar>
          <w:top w:w="57" w:type="dxa"/>
          <w:left w:w="0" w:type="dxa"/>
          <w:bottom w:w="28" w:type="dxa"/>
          <w:right w:w="0" w:type="dxa"/>
        </w:tblCellMar>
        <w:tblLook w:val="0000" w:firstRow="0" w:lastRow="0" w:firstColumn="0" w:lastColumn="0" w:noHBand="0" w:noVBand="0"/>
      </w:tblPr>
      <w:tblGrid>
        <w:gridCol w:w="1704"/>
        <w:gridCol w:w="7367"/>
      </w:tblGrid>
      <w:tr w:rsidR="000005F4" w14:paraId="34B40DFE" w14:textId="77777777" w:rsidTr="000005F4">
        <w:trPr>
          <w:cantSplit/>
        </w:trPr>
        <w:tc>
          <w:tcPr>
            <w:tcW w:w="1704" w:type="dxa"/>
            <w:shd w:val="clear" w:color="auto" w:fill="auto"/>
          </w:tcPr>
          <w:p w14:paraId="7937D6EB" w14:textId="77777777" w:rsidR="000005F4" w:rsidRDefault="000005F4" w:rsidP="0027409A">
            <w:pPr>
              <w:pStyle w:val="TableHeading"/>
              <w:keepNext/>
            </w:pPr>
          </w:p>
        </w:tc>
        <w:tc>
          <w:tcPr>
            <w:tcW w:w="7367" w:type="dxa"/>
            <w:shd w:val="solid" w:color="0067AB" w:fill="0067AB"/>
          </w:tcPr>
          <w:p w14:paraId="6E3CFC9D" w14:textId="77777777" w:rsidR="000005F4" w:rsidRDefault="000005F4" w:rsidP="0027409A">
            <w:pPr>
              <w:pStyle w:val="TableHeadingWhite"/>
              <w:keepNext/>
            </w:pPr>
          </w:p>
        </w:tc>
      </w:tr>
      <w:tr w:rsidR="000005F4" w14:paraId="4B68BF7D" w14:textId="77777777" w:rsidTr="000005F4">
        <w:tc>
          <w:tcPr>
            <w:tcW w:w="1704" w:type="dxa"/>
            <w:shd w:val="clear" w:color="auto" w:fill="auto"/>
          </w:tcPr>
          <w:p w14:paraId="7A89A5F5" w14:textId="77777777" w:rsidR="000005F4" w:rsidRPr="00781F02" w:rsidRDefault="000005F4" w:rsidP="0027409A">
            <w:pPr>
              <w:pStyle w:val="TableTextNoSpace"/>
              <w:keepNext/>
              <w:rPr>
                <w:b/>
              </w:rPr>
            </w:pPr>
            <w:r w:rsidRPr="00781F02">
              <w:rPr>
                <w:b/>
              </w:rPr>
              <w:t>Background &amp; relevance</w:t>
            </w:r>
          </w:p>
        </w:tc>
        <w:tc>
          <w:tcPr>
            <w:tcW w:w="7367" w:type="dxa"/>
            <w:shd w:val="clear" w:color="auto" w:fill="auto"/>
          </w:tcPr>
          <w:p w14:paraId="0DB09C4C" w14:textId="77777777" w:rsidR="000005F4" w:rsidRPr="00E452A2" w:rsidRDefault="000005F4" w:rsidP="0027409A">
            <w:pPr>
              <w:pStyle w:val="TableTextNoSpace"/>
              <w:keepNext/>
            </w:pPr>
            <w:r>
              <w:t>In addition to benefits to biodiversity, the Natura 2000 network also provides a range of wider benefits to society as an educational and recreational resource. As such, there is substantial opportunity to tap into a wider range of funding sources with a focus on these activities (and often a secondary focus on conservation work). In addition, the network can also provide a focus for development of specialist skills relating to the green economy</w:t>
            </w:r>
          </w:p>
        </w:tc>
      </w:tr>
      <w:tr w:rsidR="000005F4" w14:paraId="71388090" w14:textId="77777777" w:rsidTr="000005F4">
        <w:tc>
          <w:tcPr>
            <w:tcW w:w="1704" w:type="dxa"/>
            <w:shd w:val="clear" w:color="auto" w:fill="auto"/>
          </w:tcPr>
          <w:p w14:paraId="0C86FAE0" w14:textId="77777777" w:rsidR="000005F4" w:rsidRPr="00781F02" w:rsidRDefault="000005F4" w:rsidP="000005F4">
            <w:pPr>
              <w:pStyle w:val="TableTextNoSpace"/>
              <w:rPr>
                <w:b/>
              </w:rPr>
            </w:pPr>
            <w:r w:rsidRPr="00781F02">
              <w:rPr>
                <w:b/>
              </w:rPr>
              <w:t>Funding available</w:t>
            </w:r>
          </w:p>
        </w:tc>
        <w:tc>
          <w:tcPr>
            <w:tcW w:w="7367" w:type="dxa"/>
            <w:shd w:val="clear" w:color="auto" w:fill="auto"/>
          </w:tcPr>
          <w:p w14:paraId="5C75314C" w14:textId="3A2351AF" w:rsidR="000005F4" w:rsidRDefault="000005F4" w:rsidP="0027409A">
            <w:pPr>
              <w:pStyle w:val="Bullet1"/>
              <w:numPr>
                <w:ilvl w:val="0"/>
                <w:numId w:val="0"/>
              </w:numPr>
              <w:ind w:left="57"/>
            </w:pPr>
            <w:r>
              <w:t>A range of funding sources are available to develop educational and training opportunities from the network. These include:</w:t>
            </w:r>
          </w:p>
          <w:p w14:paraId="16F10BF3" w14:textId="6F75ACEC" w:rsidR="000005F4" w:rsidRDefault="000005F4" w:rsidP="0027409A">
            <w:pPr>
              <w:pStyle w:val="TableBullet"/>
            </w:pPr>
            <w:r>
              <w:t xml:space="preserve">The Prince’s Countryside Fund provides grants of up to £50,000 with a focus on skills and training and environmental education </w:t>
            </w:r>
          </w:p>
          <w:p w14:paraId="38642CDD" w14:textId="77777777" w:rsidR="000005F4" w:rsidRDefault="000005F4" w:rsidP="0069296B">
            <w:pPr>
              <w:pStyle w:val="TableBullet"/>
            </w:pPr>
            <w:r>
              <w:t xml:space="preserve">The Welsh Council for Voluntary Action provides a range of funds linked to rural training, environment and youth employment </w:t>
            </w:r>
          </w:p>
          <w:p w14:paraId="7619EDFA" w14:textId="77777777" w:rsidR="000005F4" w:rsidRDefault="000005F4" w:rsidP="0069296B">
            <w:pPr>
              <w:pStyle w:val="TableBullet"/>
            </w:pPr>
            <w:r>
              <w:t xml:space="preserve">The Fund for Wales provides small grants of £500 to £1000 </w:t>
            </w:r>
          </w:p>
          <w:p w14:paraId="5BCB8BE6" w14:textId="2B07C3CE" w:rsidR="000005F4" w:rsidRDefault="000005F4" w:rsidP="0069296B">
            <w:pPr>
              <w:pStyle w:val="TableBullet"/>
            </w:pPr>
            <w:r>
              <w:t>The Big Lottery Fund provides grants of £300-£500,000 to a range of charities with a focus on areas relevant to Natura 2000, such as community engagement, physical activity and youth skills</w:t>
            </w:r>
            <w:r w:rsidR="00F94290">
              <w:t xml:space="preserve">. A </w:t>
            </w:r>
            <w:r>
              <w:t>major (£30m) current programme with the Royal Society of Wildlife Trusts will support young people to improve the natural environment (Our Environment, Our Future)</w:t>
            </w:r>
          </w:p>
          <w:p w14:paraId="2AC2EEF7" w14:textId="77777777" w:rsidR="000005F4" w:rsidRDefault="000005F4" w:rsidP="0069296B">
            <w:pPr>
              <w:pStyle w:val="TableBullet"/>
            </w:pPr>
            <w:r>
              <w:t xml:space="preserve">The Leverhulme Trust provides research project grants up to £500,000 for 5 years, including salary costs for research staff </w:t>
            </w:r>
          </w:p>
          <w:p w14:paraId="13564F9A" w14:textId="77777777" w:rsidR="000005F4" w:rsidRPr="00E452A2" w:rsidRDefault="000005F4" w:rsidP="0069296B">
            <w:pPr>
              <w:pStyle w:val="TableBullet"/>
            </w:pPr>
            <w:r>
              <w:t xml:space="preserve">NRW has recently invested in the development of specialist training schemes together with the Wildlife Trusts and River Trusts </w:t>
            </w:r>
          </w:p>
        </w:tc>
      </w:tr>
      <w:tr w:rsidR="000005F4" w14:paraId="0BB6B121" w14:textId="77777777" w:rsidTr="000005F4">
        <w:tc>
          <w:tcPr>
            <w:tcW w:w="1704" w:type="dxa"/>
            <w:shd w:val="clear" w:color="auto" w:fill="auto"/>
          </w:tcPr>
          <w:p w14:paraId="1FA9084E" w14:textId="77777777" w:rsidR="000005F4" w:rsidRPr="00781F02" w:rsidRDefault="000005F4" w:rsidP="000005F4">
            <w:pPr>
              <w:pStyle w:val="TableTextNoSpace"/>
              <w:rPr>
                <w:b/>
              </w:rPr>
            </w:pPr>
            <w:r w:rsidRPr="00781F02">
              <w:rPr>
                <w:b/>
              </w:rPr>
              <w:t>Opportunities for Natura</w:t>
            </w:r>
            <w:r>
              <w:rPr>
                <w:b/>
              </w:rPr>
              <w:t xml:space="preserve"> 2000 </w:t>
            </w:r>
          </w:p>
        </w:tc>
        <w:tc>
          <w:tcPr>
            <w:tcW w:w="7367" w:type="dxa"/>
            <w:shd w:val="clear" w:color="auto" w:fill="auto"/>
          </w:tcPr>
          <w:p w14:paraId="32B052B5" w14:textId="77777777" w:rsidR="000005F4" w:rsidRDefault="000005F4" w:rsidP="0069296B">
            <w:pPr>
              <w:pStyle w:val="TableBullet"/>
            </w:pPr>
            <w:r>
              <w:t>Insufficient monitoring is linked to a lack of personnel resources as well as specialist ecological skills - development of training schemes offers the opportunity to address rural employment needs whilst addressing this specific need for the network</w:t>
            </w:r>
          </w:p>
          <w:p w14:paraId="3161B056" w14:textId="77777777" w:rsidR="000005F4" w:rsidRPr="00E452A2" w:rsidRDefault="000005F4" w:rsidP="0069296B">
            <w:pPr>
              <w:pStyle w:val="TableBullet"/>
            </w:pPr>
            <w:r>
              <w:t xml:space="preserve">Development of recreational and tourist schemes through the use of grants offers opportunities for the development of small business </w:t>
            </w:r>
          </w:p>
        </w:tc>
      </w:tr>
      <w:tr w:rsidR="000005F4" w14:paraId="09B4244A" w14:textId="77777777" w:rsidTr="000005F4">
        <w:tc>
          <w:tcPr>
            <w:tcW w:w="1704" w:type="dxa"/>
            <w:shd w:val="clear" w:color="auto" w:fill="auto"/>
          </w:tcPr>
          <w:p w14:paraId="7AB60950" w14:textId="77777777" w:rsidR="000005F4" w:rsidRPr="00781F02" w:rsidRDefault="000005F4" w:rsidP="000005F4">
            <w:pPr>
              <w:pStyle w:val="TableTextNoSpace"/>
              <w:rPr>
                <w:b/>
              </w:rPr>
            </w:pPr>
            <w:r w:rsidRPr="00781F02">
              <w:rPr>
                <w:b/>
              </w:rPr>
              <w:t>Limitations &amp; constraints</w:t>
            </w:r>
          </w:p>
        </w:tc>
        <w:tc>
          <w:tcPr>
            <w:tcW w:w="7367" w:type="dxa"/>
            <w:shd w:val="clear" w:color="auto" w:fill="auto"/>
          </w:tcPr>
          <w:p w14:paraId="34904975" w14:textId="787BD09C" w:rsidR="000005F4" w:rsidRDefault="000005F4" w:rsidP="0069296B">
            <w:pPr>
              <w:pStyle w:val="TableBullet"/>
            </w:pPr>
            <w:r>
              <w:t>Grant requirements may be weakly linked to conservation needs</w:t>
            </w:r>
            <w:r w:rsidR="00F94290">
              <w:t>.</w:t>
            </w:r>
            <w:r>
              <w:t xml:space="preserve"> </w:t>
            </w:r>
          </w:p>
          <w:p w14:paraId="1E5EF009" w14:textId="63EF9033" w:rsidR="000005F4" w:rsidRDefault="000005F4" w:rsidP="0069296B">
            <w:pPr>
              <w:pStyle w:val="TableBullet"/>
            </w:pPr>
            <w:r>
              <w:t>Grants may not provide necessary long-term support for employment or engagement of volunteers</w:t>
            </w:r>
            <w:r w:rsidR="00F94290">
              <w:t>.</w:t>
            </w:r>
          </w:p>
          <w:p w14:paraId="3B2B5DA4" w14:textId="541B4B63" w:rsidR="000005F4" w:rsidRPr="00E452A2" w:rsidRDefault="000005F4" w:rsidP="0069296B">
            <w:pPr>
              <w:pStyle w:val="TableBullet"/>
            </w:pPr>
            <w:r>
              <w:t>May offer greater scope to contribute to longer term capacity and skills than shorter term management needs</w:t>
            </w:r>
            <w:r w:rsidR="00F94290">
              <w:t>.</w:t>
            </w:r>
          </w:p>
        </w:tc>
      </w:tr>
      <w:tr w:rsidR="000005F4" w14:paraId="1729771A" w14:textId="77777777" w:rsidTr="000005F4">
        <w:tc>
          <w:tcPr>
            <w:tcW w:w="1704" w:type="dxa"/>
            <w:shd w:val="clear" w:color="auto" w:fill="auto"/>
          </w:tcPr>
          <w:p w14:paraId="5EE0D7D7" w14:textId="77777777" w:rsidR="000005F4" w:rsidRDefault="000005F4" w:rsidP="000005F4">
            <w:pPr>
              <w:pStyle w:val="TableTextNoSpace"/>
              <w:rPr>
                <w:b/>
              </w:rPr>
            </w:pPr>
            <w:r w:rsidRPr="007B6DFE">
              <w:rPr>
                <w:b/>
              </w:rPr>
              <w:t>Increasing uptake &amp;</w:t>
            </w:r>
          </w:p>
          <w:p w14:paraId="72C52C58" w14:textId="77777777" w:rsidR="000005F4" w:rsidRPr="009F1463" w:rsidRDefault="000005F4" w:rsidP="000005F4">
            <w:pPr>
              <w:pStyle w:val="TableTextNoSpace"/>
              <w:rPr>
                <w:b/>
              </w:rPr>
            </w:pPr>
            <w:r w:rsidRPr="007B6DFE">
              <w:rPr>
                <w:b/>
              </w:rPr>
              <w:t>integr</w:t>
            </w:r>
            <w:r>
              <w:rPr>
                <w:b/>
              </w:rPr>
              <w:t>a</w:t>
            </w:r>
            <w:r w:rsidRPr="007B6DFE">
              <w:rPr>
                <w:b/>
              </w:rPr>
              <w:t>tion</w:t>
            </w:r>
          </w:p>
        </w:tc>
        <w:tc>
          <w:tcPr>
            <w:tcW w:w="7367" w:type="dxa"/>
            <w:shd w:val="clear" w:color="auto" w:fill="auto"/>
          </w:tcPr>
          <w:p w14:paraId="114312A0" w14:textId="5F08D882" w:rsidR="000005F4" w:rsidRDefault="000005F4" w:rsidP="0069296B">
            <w:pPr>
              <w:pStyle w:val="TableBullet"/>
            </w:pPr>
            <w:r>
              <w:t xml:space="preserve">Deeper engagement with conservation </w:t>
            </w:r>
            <w:r w:rsidR="00F94290">
              <w:t xml:space="preserve">sector </w:t>
            </w:r>
            <w:r>
              <w:t xml:space="preserve">in the development of programmes </w:t>
            </w:r>
          </w:p>
          <w:p w14:paraId="552E31E8" w14:textId="40FEF9F1" w:rsidR="000005F4" w:rsidRDefault="000005F4" w:rsidP="0069296B">
            <w:pPr>
              <w:pStyle w:val="TableBullet"/>
            </w:pPr>
            <w:r>
              <w:t>Promotion of an ecosystem services approach</w:t>
            </w:r>
            <w:r w:rsidR="00F94290">
              <w:t>.</w:t>
            </w:r>
          </w:p>
          <w:p w14:paraId="683D6A72" w14:textId="77777777" w:rsidR="000005F4" w:rsidRPr="00E452A2" w:rsidRDefault="000005F4" w:rsidP="0069296B">
            <w:pPr>
              <w:pStyle w:val="TableBullet"/>
            </w:pPr>
            <w:r>
              <w:t xml:space="preserve">Linking skills and employment opportunities to actions under Operational Programmes may highlight opportunities for match funding </w:t>
            </w:r>
          </w:p>
        </w:tc>
      </w:tr>
    </w:tbl>
    <w:p w14:paraId="2CCAD233" w14:textId="77777777" w:rsidR="000005F4" w:rsidRDefault="000005F4" w:rsidP="000005F4">
      <w:pPr>
        <w:pStyle w:val="Heading2NoNumb"/>
      </w:pPr>
      <w:bookmarkStart w:id="332" w:name="_Toc408094025"/>
      <w:bookmarkStart w:id="333" w:name="_Toc408138027"/>
      <w:bookmarkStart w:id="334" w:name="_Toc408851022"/>
      <w:bookmarkStart w:id="335" w:name="_Toc421880698"/>
      <w:r>
        <w:t>Landfill Communities Fund</w:t>
      </w:r>
      <w:bookmarkEnd w:id="332"/>
      <w:bookmarkEnd w:id="333"/>
      <w:bookmarkEnd w:id="334"/>
      <w:bookmarkEnd w:id="335"/>
      <w:r>
        <w:t xml:space="preserve"> </w:t>
      </w:r>
    </w:p>
    <w:tbl>
      <w:tblPr>
        <w:tblW w:w="9071" w:type="dxa"/>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Layout w:type="fixed"/>
        <w:tblCellMar>
          <w:top w:w="57" w:type="dxa"/>
          <w:left w:w="0" w:type="dxa"/>
          <w:bottom w:w="28" w:type="dxa"/>
          <w:right w:w="0" w:type="dxa"/>
        </w:tblCellMar>
        <w:tblLook w:val="0000" w:firstRow="0" w:lastRow="0" w:firstColumn="0" w:lastColumn="0" w:noHBand="0" w:noVBand="0"/>
      </w:tblPr>
      <w:tblGrid>
        <w:gridCol w:w="1704"/>
        <w:gridCol w:w="7367"/>
      </w:tblGrid>
      <w:tr w:rsidR="000005F4" w14:paraId="1B5C8AB3" w14:textId="77777777" w:rsidTr="000005F4">
        <w:trPr>
          <w:cantSplit/>
        </w:trPr>
        <w:tc>
          <w:tcPr>
            <w:tcW w:w="1704" w:type="dxa"/>
            <w:shd w:val="clear" w:color="auto" w:fill="auto"/>
          </w:tcPr>
          <w:p w14:paraId="7BEEB961" w14:textId="77777777" w:rsidR="000005F4" w:rsidRDefault="000005F4" w:rsidP="000005F4">
            <w:pPr>
              <w:pStyle w:val="TableHeading"/>
            </w:pPr>
          </w:p>
        </w:tc>
        <w:tc>
          <w:tcPr>
            <w:tcW w:w="7367" w:type="dxa"/>
            <w:shd w:val="solid" w:color="0067AB" w:fill="0067AB"/>
          </w:tcPr>
          <w:p w14:paraId="104AA9B0" w14:textId="77777777" w:rsidR="000005F4" w:rsidRDefault="000005F4" w:rsidP="000005F4">
            <w:pPr>
              <w:pStyle w:val="TableHeadingWhite"/>
            </w:pPr>
          </w:p>
        </w:tc>
      </w:tr>
      <w:tr w:rsidR="000005F4" w14:paraId="2ED28946" w14:textId="77777777" w:rsidTr="000005F4">
        <w:tc>
          <w:tcPr>
            <w:tcW w:w="1704" w:type="dxa"/>
            <w:shd w:val="clear" w:color="auto" w:fill="auto"/>
          </w:tcPr>
          <w:p w14:paraId="4841ACA0" w14:textId="77777777" w:rsidR="000005F4" w:rsidRPr="00781F02" w:rsidRDefault="000005F4" w:rsidP="000005F4">
            <w:pPr>
              <w:pStyle w:val="TableTextNoSpace"/>
              <w:rPr>
                <w:b/>
              </w:rPr>
            </w:pPr>
            <w:r w:rsidRPr="00781F02">
              <w:rPr>
                <w:b/>
              </w:rPr>
              <w:t>Background &amp; relevance</w:t>
            </w:r>
          </w:p>
        </w:tc>
        <w:tc>
          <w:tcPr>
            <w:tcW w:w="7367" w:type="dxa"/>
            <w:shd w:val="clear" w:color="auto" w:fill="auto"/>
          </w:tcPr>
          <w:p w14:paraId="1A88476D" w14:textId="77777777" w:rsidR="000005F4" w:rsidRDefault="000005F4" w:rsidP="000005F4">
            <w:pPr>
              <w:pStyle w:val="TableTextNoSpace"/>
            </w:pPr>
            <w:r w:rsidRPr="00EE7161">
              <w:t xml:space="preserve">The Landfill Communities Fund </w:t>
            </w:r>
            <w:r>
              <w:t xml:space="preserve">(LCF) </w:t>
            </w:r>
            <w:r w:rsidRPr="00EE7161">
              <w:t xml:space="preserve">is a tax credit scheme enabling operators of landfill sites to contribute money to projects that comply with the Landfill Tax Regulations, which require provision of environmental benefits, jobs and measures which strengthen communities living near landfill sites. </w:t>
            </w:r>
          </w:p>
          <w:p w14:paraId="7928D724" w14:textId="77777777" w:rsidR="000005F4" w:rsidRPr="00E452A2" w:rsidRDefault="000005F4" w:rsidP="000005F4">
            <w:pPr>
              <w:pStyle w:val="TableTextNoSpace"/>
            </w:pPr>
            <w:r>
              <w:t xml:space="preserve">The fund is regulated by ENTRUST and funds are distributed by Environmental Bodies (EBs). EBs are not-for-profit organisations (and can include government bodies). There are nearly 200 EBs registered in Wales (for a search facility of EBs see </w:t>
            </w:r>
            <w:hyperlink r:id="rId88" w:history="1">
              <w:r w:rsidRPr="00132638">
                <w:rPr>
                  <w:rStyle w:val="Hyperlink"/>
                </w:rPr>
                <w:t>http://www.entrust.org.uk/environmental-bodies/eb-search/</w:t>
              </w:r>
            </w:hyperlink>
            <w:r>
              <w:t>).</w:t>
            </w:r>
          </w:p>
        </w:tc>
      </w:tr>
      <w:tr w:rsidR="000005F4" w14:paraId="044D965F" w14:textId="77777777" w:rsidTr="000005F4">
        <w:tc>
          <w:tcPr>
            <w:tcW w:w="1704" w:type="dxa"/>
            <w:shd w:val="clear" w:color="auto" w:fill="auto"/>
          </w:tcPr>
          <w:p w14:paraId="5DE90C62" w14:textId="77777777" w:rsidR="000005F4" w:rsidRPr="00781F02" w:rsidRDefault="000005F4" w:rsidP="000005F4">
            <w:pPr>
              <w:pStyle w:val="TableTextNoSpace"/>
              <w:rPr>
                <w:b/>
              </w:rPr>
            </w:pPr>
            <w:r w:rsidRPr="00781F02">
              <w:rPr>
                <w:b/>
              </w:rPr>
              <w:t>Funding available</w:t>
            </w:r>
          </w:p>
        </w:tc>
        <w:tc>
          <w:tcPr>
            <w:tcW w:w="7367" w:type="dxa"/>
            <w:shd w:val="clear" w:color="auto" w:fill="auto"/>
          </w:tcPr>
          <w:p w14:paraId="508CF028" w14:textId="3E04F476" w:rsidR="000005F4" w:rsidRDefault="000005F4" w:rsidP="000005F4">
            <w:pPr>
              <w:pStyle w:val="TableTextNoSpace"/>
            </w:pPr>
            <w:r>
              <w:t>Since 1996, £1.3bn has been spent by Environmental Bodies in the UK, of which 0.08bn (6%) has been on the biodiversity conservation objectives through 1,999 projects (average of £</w:t>
            </w:r>
            <w:r w:rsidR="00F94290">
              <w:t xml:space="preserve">40,000 </w:t>
            </w:r>
            <w:r>
              <w:t xml:space="preserve">per project). Statistics for Wales are not available, although the annual LCF levy was £28k in 2010/11 and £19k 2013/14 (representing less than 2% of the total annual </w:t>
            </w:r>
            <w:r w:rsidR="00F94290">
              <w:t>l</w:t>
            </w:r>
            <w:r>
              <w:t>evy) indicating that available funding for projects in Wales may be small.</w:t>
            </w:r>
          </w:p>
          <w:p w14:paraId="49E5FF3B" w14:textId="77777777" w:rsidR="000005F4" w:rsidRDefault="000005F4" w:rsidP="000005F4">
            <w:pPr>
              <w:pStyle w:val="TableTextNoSpace"/>
            </w:pPr>
            <w:r>
              <w:t>Examples of funds administered by EBs include:</w:t>
            </w:r>
          </w:p>
          <w:p w14:paraId="177D45F7" w14:textId="77777777" w:rsidR="000005F4" w:rsidRDefault="000005F4" w:rsidP="0069296B">
            <w:pPr>
              <w:pStyle w:val="TableBullet"/>
            </w:pPr>
            <w:r>
              <w:t xml:space="preserve">The WREN Biodiversity Action Fund provides £10m of funding for grants of </w:t>
            </w:r>
            <w:r w:rsidRPr="00EE7161">
              <w:t>£75,000-£250,000 per project, or £15</w:t>
            </w:r>
            <w:r>
              <w:t>,000-£75,000 for small projects</w:t>
            </w:r>
          </w:p>
          <w:p w14:paraId="3BF1CBCE" w14:textId="77777777" w:rsidR="000005F4" w:rsidRDefault="000005F4" w:rsidP="0069296B">
            <w:pPr>
              <w:pStyle w:val="TableBullet"/>
            </w:pPr>
            <w:r>
              <w:t>The Biffa Award provides main grants (£10,000-£50,000) and small grants (£250-10,000) under its Rebuilding Biodiversity theme</w:t>
            </w:r>
          </w:p>
          <w:p w14:paraId="462464B8" w14:textId="77777777" w:rsidR="000005F4" w:rsidRPr="00F64BE2" w:rsidRDefault="000005F4" w:rsidP="0069296B">
            <w:pPr>
              <w:pStyle w:val="TableBullet"/>
            </w:pPr>
            <w:r w:rsidRPr="00F64BE2">
              <w:t xml:space="preserve">CWM Community and Environmental Fund </w:t>
            </w:r>
            <w:r>
              <w:t>provides grants of £5000-£50,000</w:t>
            </w:r>
          </w:p>
          <w:p w14:paraId="7D38BA3C" w14:textId="77777777" w:rsidR="000005F4" w:rsidRPr="00E452A2" w:rsidRDefault="000005F4" w:rsidP="0069296B">
            <w:pPr>
              <w:pStyle w:val="TableBullet"/>
            </w:pPr>
            <w:r w:rsidRPr="00F64BE2">
              <w:t xml:space="preserve">Veolia Environmental Trust </w:t>
            </w:r>
            <w:r>
              <w:t xml:space="preserve">provides bespoke awards to funding proposals fitting the themes of community and biodiversity </w:t>
            </w:r>
          </w:p>
        </w:tc>
      </w:tr>
      <w:tr w:rsidR="000005F4" w14:paraId="4A49E560" w14:textId="77777777" w:rsidTr="000005F4">
        <w:tc>
          <w:tcPr>
            <w:tcW w:w="1704" w:type="dxa"/>
            <w:shd w:val="clear" w:color="auto" w:fill="auto"/>
          </w:tcPr>
          <w:p w14:paraId="2F8E76AE" w14:textId="77777777" w:rsidR="000005F4" w:rsidRPr="00781F02" w:rsidRDefault="000005F4" w:rsidP="000005F4">
            <w:pPr>
              <w:pStyle w:val="TableTextNoSpace"/>
              <w:rPr>
                <w:b/>
              </w:rPr>
            </w:pPr>
            <w:r w:rsidRPr="00781F02">
              <w:rPr>
                <w:b/>
              </w:rPr>
              <w:t>Opportunities for Natura</w:t>
            </w:r>
            <w:r>
              <w:rPr>
                <w:b/>
              </w:rPr>
              <w:t xml:space="preserve"> 2000 </w:t>
            </w:r>
          </w:p>
        </w:tc>
        <w:tc>
          <w:tcPr>
            <w:tcW w:w="7367" w:type="dxa"/>
            <w:shd w:val="clear" w:color="auto" w:fill="auto"/>
          </w:tcPr>
          <w:p w14:paraId="076BC595" w14:textId="77777777" w:rsidR="000005F4" w:rsidRDefault="000005F4" w:rsidP="0069296B">
            <w:pPr>
              <w:pStyle w:val="TableBullet"/>
            </w:pPr>
            <w:r>
              <w:t>The LCF has six main areas of work (termed ‘Objects’), one of which is ‘</w:t>
            </w:r>
            <w:r>
              <w:rPr>
                <w:rStyle w:val="Strong"/>
                <w:color w:val="314043"/>
                <w:lang w:val="en"/>
              </w:rPr>
              <w:t>Object DA:</w:t>
            </w:r>
            <w:r>
              <w:rPr>
                <w:lang w:val="en"/>
              </w:rPr>
              <w:t xml:space="preserve"> The conservation of a specific species or a specific habitat where it naturally occurs’.</w:t>
            </w:r>
          </w:p>
          <w:p w14:paraId="4C87ACD6" w14:textId="77777777" w:rsidR="000005F4" w:rsidRDefault="000005F4" w:rsidP="0069296B">
            <w:pPr>
              <w:pStyle w:val="TableBullet"/>
            </w:pPr>
            <w:r>
              <w:t>There may be scope to access funds through other Objects relating to pollution prevention/remediation and improvement of public parks/public amenity.</w:t>
            </w:r>
          </w:p>
          <w:p w14:paraId="0BFE6111" w14:textId="77777777" w:rsidR="000005F4" w:rsidRDefault="000005F4" w:rsidP="0069296B">
            <w:pPr>
              <w:pStyle w:val="TableBullet"/>
            </w:pPr>
            <w:r w:rsidRPr="00EE7161">
              <w:t>Landfill funds represen</w:t>
            </w:r>
            <w:r>
              <w:t xml:space="preserve">t an important form of support for specialist management actions on sites </w:t>
            </w:r>
          </w:p>
          <w:p w14:paraId="38DE7C0E" w14:textId="77777777" w:rsidR="000005F4" w:rsidRPr="00E452A2" w:rsidRDefault="000005F4" w:rsidP="0069296B">
            <w:pPr>
              <w:pStyle w:val="TableBullet"/>
            </w:pPr>
            <w:r>
              <w:t>The scale of funding available also allows match funding against other sources</w:t>
            </w:r>
          </w:p>
        </w:tc>
      </w:tr>
      <w:tr w:rsidR="000005F4" w14:paraId="13D8B701" w14:textId="77777777" w:rsidTr="000005F4">
        <w:tc>
          <w:tcPr>
            <w:tcW w:w="1704" w:type="dxa"/>
            <w:shd w:val="clear" w:color="auto" w:fill="auto"/>
          </w:tcPr>
          <w:p w14:paraId="0FF167DF" w14:textId="77777777" w:rsidR="000005F4" w:rsidRPr="00781F02" w:rsidRDefault="000005F4" w:rsidP="000005F4">
            <w:pPr>
              <w:pStyle w:val="TableTextNoSpace"/>
              <w:rPr>
                <w:b/>
              </w:rPr>
            </w:pPr>
            <w:r w:rsidRPr="00781F02">
              <w:rPr>
                <w:b/>
              </w:rPr>
              <w:t>Limitations &amp; constraints</w:t>
            </w:r>
          </w:p>
        </w:tc>
        <w:tc>
          <w:tcPr>
            <w:tcW w:w="7367" w:type="dxa"/>
            <w:shd w:val="clear" w:color="auto" w:fill="auto"/>
          </w:tcPr>
          <w:p w14:paraId="3B2AA13E" w14:textId="77777777" w:rsidR="000005F4" w:rsidRPr="000005F4" w:rsidRDefault="000005F4" w:rsidP="0069296B">
            <w:pPr>
              <w:pStyle w:val="TableBullet"/>
            </w:pPr>
            <w:r w:rsidRPr="000005F4">
              <w:t>Sites need to be within a given radius of a landfill site (a major restriction in many rural settings)</w:t>
            </w:r>
          </w:p>
          <w:p w14:paraId="6D788915" w14:textId="77777777" w:rsidR="000005F4" w:rsidRPr="000005F4" w:rsidRDefault="000005F4" w:rsidP="0069296B">
            <w:pPr>
              <w:pStyle w:val="TableBullet"/>
            </w:pPr>
            <w:r w:rsidRPr="000005F4">
              <w:t xml:space="preserve">Funds usually provide support to direct management activities only, and not associated expenditures </w:t>
            </w:r>
          </w:p>
          <w:p w14:paraId="442FE85C" w14:textId="77777777" w:rsidR="000005F4" w:rsidRPr="000005F4" w:rsidRDefault="000005F4" w:rsidP="0069296B">
            <w:pPr>
              <w:pStyle w:val="TableBullet"/>
            </w:pPr>
            <w:r w:rsidRPr="000005F4">
              <w:t>Landfill taxes ultimately represent a declining resource in the long term</w:t>
            </w:r>
          </w:p>
          <w:p w14:paraId="7CF1E377" w14:textId="77777777" w:rsidR="000005F4" w:rsidRPr="000005F4" w:rsidRDefault="000005F4" w:rsidP="0069296B">
            <w:pPr>
              <w:pStyle w:val="TableBullet"/>
            </w:pPr>
            <w:r w:rsidRPr="000005F4">
              <w:t xml:space="preserve">The total fund available in Wales is relatively small </w:t>
            </w:r>
          </w:p>
          <w:p w14:paraId="66B04876" w14:textId="77777777" w:rsidR="000005F4" w:rsidRPr="000005F4" w:rsidRDefault="000005F4" w:rsidP="0069296B">
            <w:pPr>
              <w:pStyle w:val="TableBullet"/>
            </w:pPr>
            <w:r w:rsidRPr="000005F4">
              <w:rPr>
                <w:lang w:val="en"/>
              </w:rPr>
              <w:t>In some instances a Contributing Third Party (CTP) is required to cover the 10% of a project cost that a Landfill Operator cannot claim tax relief on</w:t>
            </w:r>
          </w:p>
        </w:tc>
      </w:tr>
      <w:tr w:rsidR="000005F4" w14:paraId="1E99B67A" w14:textId="77777777" w:rsidTr="000005F4">
        <w:tc>
          <w:tcPr>
            <w:tcW w:w="1704" w:type="dxa"/>
            <w:shd w:val="clear" w:color="auto" w:fill="auto"/>
          </w:tcPr>
          <w:p w14:paraId="7BF1568F" w14:textId="77777777" w:rsidR="000005F4" w:rsidRDefault="000005F4" w:rsidP="000005F4">
            <w:pPr>
              <w:pStyle w:val="TableTextNoSpace"/>
              <w:rPr>
                <w:b/>
              </w:rPr>
            </w:pPr>
            <w:r w:rsidRPr="007B6DFE">
              <w:rPr>
                <w:b/>
              </w:rPr>
              <w:t>Increasing uptake &amp;</w:t>
            </w:r>
          </w:p>
          <w:p w14:paraId="7492AACD" w14:textId="77777777" w:rsidR="000005F4" w:rsidRPr="009F1463" w:rsidRDefault="000005F4" w:rsidP="000005F4">
            <w:pPr>
              <w:pStyle w:val="TableTextNoSpace"/>
              <w:rPr>
                <w:b/>
              </w:rPr>
            </w:pPr>
            <w:r w:rsidRPr="007B6DFE">
              <w:rPr>
                <w:b/>
              </w:rPr>
              <w:t>integr</w:t>
            </w:r>
            <w:r>
              <w:rPr>
                <w:b/>
              </w:rPr>
              <w:t>a</w:t>
            </w:r>
            <w:r w:rsidRPr="007B6DFE">
              <w:rPr>
                <w:b/>
              </w:rPr>
              <w:t>tion</w:t>
            </w:r>
          </w:p>
        </w:tc>
        <w:tc>
          <w:tcPr>
            <w:tcW w:w="7367" w:type="dxa"/>
            <w:shd w:val="clear" w:color="auto" w:fill="auto"/>
          </w:tcPr>
          <w:p w14:paraId="39AF683E" w14:textId="77777777" w:rsidR="000005F4" w:rsidRPr="000005F4" w:rsidRDefault="000005F4" w:rsidP="0069296B">
            <w:pPr>
              <w:pStyle w:val="TableBullet"/>
            </w:pPr>
            <w:r w:rsidRPr="000005F4">
              <w:t xml:space="preserve">Wider use of LCF funds in match funding applications for EU funds </w:t>
            </w:r>
          </w:p>
          <w:p w14:paraId="193EF069" w14:textId="77777777" w:rsidR="000005F4" w:rsidRPr="000005F4" w:rsidRDefault="000005F4" w:rsidP="0069296B">
            <w:pPr>
              <w:pStyle w:val="TableBullet"/>
            </w:pPr>
            <w:r w:rsidRPr="000005F4">
              <w:t xml:space="preserve">Linking LCF funds to management agreements (such as Section 15) for more discrete management needs </w:t>
            </w:r>
          </w:p>
        </w:tc>
      </w:tr>
    </w:tbl>
    <w:p w14:paraId="26DFBE2D" w14:textId="77777777" w:rsidR="000005F4" w:rsidRDefault="000005F4" w:rsidP="00BE743B">
      <w:pPr>
        <w:pStyle w:val="BodyText"/>
        <w:ind w:left="0"/>
      </w:pPr>
    </w:p>
    <w:p w14:paraId="51B66FD5" w14:textId="77777777" w:rsidR="000005F4" w:rsidRDefault="000005F4" w:rsidP="000005F4">
      <w:pPr>
        <w:pStyle w:val="AnnexHeading"/>
      </w:pPr>
      <w:bookmarkStart w:id="336" w:name="_Toc408094032"/>
      <w:bookmarkStart w:id="337" w:name="_Toc408138034"/>
      <w:bookmarkStart w:id="338" w:name="_Toc408851023"/>
      <w:bookmarkStart w:id="339" w:name="_Toc421880699"/>
      <w:r>
        <w:t>Review of alternative funding sources</w:t>
      </w:r>
      <w:bookmarkEnd w:id="336"/>
      <w:bookmarkEnd w:id="337"/>
      <w:bookmarkEnd w:id="338"/>
      <w:bookmarkEnd w:id="339"/>
      <w:r>
        <w:t xml:space="preserve"> </w:t>
      </w:r>
    </w:p>
    <w:p w14:paraId="5EED2E3F" w14:textId="77777777" w:rsidR="000005F4" w:rsidRDefault="000005F4" w:rsidP="000005F4">
      <w:r>
        <w:t>This annex includes a review of the potential alternative funding approaches which may be utilised for meeting Natura 2000 funding needs. The annex covers the following:</w:t>
      </w:r>
    </w:p>
    <w:p w14:paraId="4C1407FE" w14:textId="77777777" w:rsidR="000005F4" w:rsidRDefault="000005F4" w:rsidP="000005F4">
      <w:pPr>
        <w:pStyle w:val="Bullet1Last"/>
      </w:pPr>
      <w:r>
        <w:t>Ecological compensation;</w:t>
      </w:r>
    </w:p>
    <w:p w14:paraId="378384B3" w14:textId="77777777" w:rsidR="000005F4" w:rsidRDefault="000005F4" w:rsidP="000005F4">
      <w:pPr>
        <w:pStyle w:val="Bullet1Last"/>
      </w:pPr>
      <w:r>
        <w:t>Environmental bonds;</w:t>
      </w:r>
    </w:p>
    <w:p w14:paraId="4B86904F" w14:textId="77777777" w:rsidR="000005F4" w:rsidRPr="004F029C" w:rsidRDefault="000005F4" w:rsidP="000005F4">
      <w:pPr>
        <w:pStyle w:val="Bullet1Last"/>
      </w:pPr>
      <w:r w:rsidRPr="004F029C">
        <w:t>Loan finance</w:t>
      </w:r>
      <w:r>
        <w:t>;</w:t>
      </w:r>
    </w:p>
    <w:p w14:paraId="045AF2E8" w14:textId="77777777" w:rsidR="000005F4" w:rsidRDefault="000005F4" w:rsidP="000005F4">
      <w:pPr>
        <w:pStyle w:val="Bullet1Last"/>
      </w:pPr>
      <w:r>
        <w:t>Marketed products;</w:t>
      </w:r>
    </w:p>
    <w:p w14:paraId="30255758" w14:textId="77777777" w:rsidR="000005F4" w:rsidRDefault="000005F4" w:rsidP="000005F4">
      <w:pPr>
        <w:pStyle w:val="Bullet1Last"/>
      </w:pPr>
      <w:r>
        <w:t>Nutrient offsetting;</w:t>
      </w:r>
    </w:p>
    <w:p w14:paraId="23949320" w14:textId="77777777" w:rsidR="000005F4" w:rsidRDefault="000005F4" w:rsidP="000005F4">
      <w:pPr>
        <w:pStyle w:val="Bullet1Last"/>
      </w:pPr>
      <w:r>
        <w:t>Payments for Ecosystem Services (PES); and</w:t>
      </w:r>
    </w:p>
    <w:p w14:paraId="15DD0965" w14:textId="77777777" w:rsidR="000005F4" w:rsidRDefault="000005F4" w:rsidP="000005F4">
      <w:pPr>
        <w:pStyle w:val="Bullet1Last"/>
      </w:pPr>
      <w:r>
        <w:t>Visitor payback schemes.</w:t>
      </w:r>
    </w:p>
    <w:p w14:paraId="5BBE2834" w14:textId="77777777" w:rsidR="000005F4" w:rsidRPr="002B6717" w:rsidRDefault="000005F4" w:rsidP="000005F4">
      <w:pPr>
        <w:pStyle w:val="BodyText"/>
        <w:ind w:left="0"/>
      </w:pPr>
    </w:p>
    <w:p w14:paraId="29193BCB" w14:textId="77777777" w:rsidR="000005F4" w:rsidRDefault="000005F4" w:rsidP="000005F4">
      <w:pPr>
        <w:pStyle w:val="Heading2NoNumb"/>
      </w:pPr>
      <w:bookmarkStart w:id="340" w:name="_Toc408094034"/>
      <w:bookmarkStart w:id="341" w:name="_Toc408138035"/>
      <w:bookmarkStart w:id="342" w:name="_Toc408851024"/>
      <w:bookmarkStart w:id="343" w:name="_Toc421880700"/>
      <w:r>
        <w:t>Ecological compensation</w:t>
      </w:r>
      <w:bookmarkEnd w:id="340"/>
      <w:bookmarkEnd w:id="341"/>
      <w:bookmarkEnd w:id="342"/>
      <w:bookmarkEnd w:id="343"/>
      <w:r>
        <w:t xml:space="preserve"> </w:t>
      </w:r>
    </w:p>
    <w:tbl>
      <w:tblPr>
        <w:tblW w:w="9071" w:type="dxa"/>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Layout w:type="fixed"/>
        <w:tblCellMar>
          <w:top w:w="57" w:type="dxa"/>
          <w:left w:w="0" w:type="dxa"/>
          <w:bottom w:w="28" w:type="dxa"/>
          <w:right w:w="0" w:type="dxa"/>
        </w:tblCellMar>
        <w:tblLook w:val="0000" w:firstRow="0" w:lastRow="0" w:firstColumn="0" w:lastColumn="0" w:noHBand="0" w:noVBand="0"/>
      </w:tblPr>
      <w:tblGrid>
        <w:gridCol w:w="1704"/>
        <w:gridCol w:w="7367"/>
      </w:tblGrid>
      <w:tr w:rsidR="000005F4" w14:paraId="07A92C03" w14:textId="77777777" w:rsidTr="000005F4">
        <w:trPr>
          <w:cantSplit/>
        </w:trPr>
        <w:tc>
          <w:tcPr>
            <w:tcW w:w="1704" w:type="dxa"/>
            <w:shd w:val="clear" w:color="auto" w:fill="auto"/>
          </w:tcPr>
          <w:p w14:paraId="4817999C" w14:textId="77777777" w:rsidR="000005F4" w:rsidRDefault="000005F4" w:rsidP="000005F4">
            <w:pPr>
              <w:pStyle w:val="TableHeading"/>
            </w:pPr>
          </w:p>
        </w:tc>
        <w:tc>
          <w:tcPr>
            <w:tcW w:w="7367" w:type="dxa"/>
            <w:shd w:val="solid" w:color="0067AB" w:fill="0067AB"/>
          </w:tcPr>
          <w:p w14:paraId="4C6CDEB9" w14:textId="77777777" w:rsidR="000005F4" w:rsidRDefault="000005F4" w:rsidP="000005F4">
            <w:pPr>
              <w:pStyle w:val="TableHeadingWhite"/>
            </w:pPr>
          </w:p>
        </w:tc>
      </w:tr>
      <w:tr w:rsidR="000005F4" w14:paraId="0812358F" w14:textId="77777777" w:rsidTr="000005F4">
        <w:tc>
          <w:tcPr>
            <w:tcW w:w="1704" w:type="dxa"/>
            <w:shd w:val="clear" w:color="auto" w:fill="auto"/>
          </w:tcPr>
          <w:p w14:paraId="000A298A" w14:textId="77777777" w:rsidR="000005F4" w:rsidRPr="00781F02" w:rsidRDefault="000005F4" w:rsidP="000005F4">
            <w:pPr>
              <w:pStyle w:val="TableTextNoSpace"/>
              <w:rPr>
                <w:b/>
              </w:rPr>
            </w:pPr>
            <w:r w:rsidRPr="00781F02">
              <w:rPr>
                <w:b/>
              </w:rPr>
              <w:t>Background &amp; relevance</w:t>
            </w:r>
          </w:p>
        </w:tc>
        <w:tc>
          <w:tcPr>
            <w:tcW w:w="7367" w:type="dxa"/>
            <w:shd w:val="clear" w:color="auto" w:fill="auto"/>
          </w:tcPr>
          <w:p w14:paraId="20E83A53" w14:textId="77777777" w:rsidR="000005F4" w:rsidRPr="00E452A2" w:rsidRDefault="000005F4" w:rsidP="000005F4">
            <w:pPr>
              <w:pStyle w:val="TableTextNoSpace"/>
            </w:pPr>
            <w:r>
              <w:t xml:space="preserve">Economic development is a key priority for all levels of government in Wales, putting pressure on biodiversity at a general level. Since resilience of Natura 2000 sites is linked to general conditions for biodiversity at the landscape scale, mitigating or compensating for the impacts can bring substantial benefits to the network as a whole.  The Habitats Directive seeks to avoid and minimise impacts on Natura 2000 sites and requires compensation for unavoidable impacts, which should only occur in rare circumstances.  However, wider use of biodiversity offsets could offer potential to provide resources for restoration of Natura 2000 sites in compensation for impacts outside the network, and/or to enhance the network by delivering conservation benefits in adjacent areas, strengthening ecological networks and delivering landscape scale conservation projects.  </w:t>
            </w:r>
          </w:p>
        </w:tc>
      </w:tr>
      <w:tr w:rsidR="000005F4" w14:paraId="712F11BE" w14:textId="77777777" w:rsidTr="000005F4">
        <w:tc>
          <w:tcPr>
            <w:tcW w:w="1704" w:type="dxa"/>
            <w:shd w:val="clear" w:color="auto" w:fill="auto"/>
          </w:tcPr>
          <w:p w14:paraId="3D9D60ED" w14:textId="77777777" w:rsidR="000005F4" w:rsidRPr="00781F02" w:rsidRDefault="000005F4" w:rsidP="000005F4">
            <w:pPr>
              <w:pStyle w:val="TableTextNoSpace"/>
              <w:rPr>
                <w:b/>
              </w:rPr>
            </w:pPr>
            <w:r w:rsidRPr="00781F02">
              <w:rPr>
                <w:b/>
              </w:rPr>
              <w:t>Funding available</w:t>
            </w:r>
          </w:p>
        </w:tc>
        <w:tc>
          <w:tcPr>
            <w:tcW w:w="7367" w:type="dxa"/>
            <w:shd w:val="clear" w:color="auto" w:fill="auto"/>
          </w:tcPr>
          <w:p w14:paraId="599C43DB" w14:textId="77777777" w:rsidR="000005F4" w:rsidRDefault="000005F4" w:rsidP="000005F4">
            <w:pPr>
              <w:pStyle w:val="Bullet1"/>
              <w:numPr>
                <w:ilvl w:val="0"/>
                <w:numId w:val="0"/>
              </w:numPr>
              <w:ind w:left="340" w:hanging="340"/>
            </w:pPr>
            <w:r>
              <w:t xml:space="preserve"> Ecological compensation can take a range of forms, but tends to provide large </w:t>
            </w:r>
          </w:p>
          <w:p w14:paraId="5AE407A4" w14:textId="77777777" w:rsidR="000005F4" w:rsidRDefault="000005F4" w:rsidP="000005F4">
            <w:pPr>
              <w:pStyle w:val="Bullet1"/>
              <w:numPr>
                <w:ilvl w:val="0"/>
                <w:numId w:val="0"/>
              </w:numPr>
              <w:ind w:left="340" w:hanging="340"/>
            </w:pPr>
            <w:r>
              <w:t xml:space="preserve"> funds for conservation management:</w:t>
            </w:r>
          </w:p>
          <w:p w14:paraId="79060BAC" w14:textId="584CD304" w:rsidR="000005F4" w:rsidRDefault="000005F4" w:rsidP="0069296B">
            <w:pPr>
              <w:pStyle w:val="TableBullet"/>
            </w:pPr>
            <w:r w:rsidRPr="006A00A8">
              <w:t>Carmarthenshire</w:t>
            </w:r>
            <w:r>
              <w:t xml:space="preserve"> Local Development Plan (CLDP) </w:t>
            </w:r>
            <w:r w:rsidRPr="006A00A8">
              <w:t xml:space="preserve">applies a levy of £1043 for every domestic dwelling (calculated on a ‘per roof’ basis), and £31,290 </w:t>
            </w:r>
            <w:r w:rsidR="00F94290">
              <w:t>for</w:t>
            </w:r>
            <w:r w:rsidRPr="006A00A8">
              <w:t xml:space="preserve"> every non-domestic dwelling within a radius of 5-8 miles of the local SAC marshland</w:t>
            </w:r>
            <w:r>
              <w:t xml:space="preserve">- this has raised over £1m to date for conservation management and is expected to raise £2.2-£2.4m overall </w:t>
            </w:r>
          </w:p>
          <w:p w14:paraId="77FAB14E" w14:textId="77777777" w:rsidR="000005F4" w:rsidRDefault="000005F4" w:rsidP="0069296B">
            <w:pPr>
              <w:pStyle w:val="TableBullet"/>
            </w:pPr>
            <w:r>
              <w:t xml:space="preserve">Biodiversity offsetting relates specifically to biodiversity loss as a whole, and ideally requires ‘like-for-like’ compensation. Under this approach, developers are responsible for the long-term viability of the offset (including management) </w:t>
            </w:r>
          </w:p>
          <w:p w14:paraId="6770E5DC" w14:textId="189AB550" w:rsidR="000005F4" w:rsidRPr="00E452A2" w:rsidRDefault="000005F4" w:rsidP="0069296B">
            <w:pPr>
              <w:pStyle w:val="TableBullet"/>
            </w:pPr>
            <w:r>
              <w:t>Section 106 agreements are the main existing planning mechanism financing compensation to biodiversity loss</w:t>
            </w:r>
            <w:r w:rsidR="00F94290">
              <w:t>. These</w:t>
            </w:r>
            <w:r>
              <w:t xml:space="preserve"> are typically administered as financial compensation for environmental losses, but many local authorities lack the relevant expertise to reallocate these funds to appropriate conservation works. </w:t>
            </w:r>
          </w:p>
        </w:tc>
      </w:tr>
      <w:tr w:rsidR="000005F4" w14:paraId="50FC5ED9" w14:textId="77777777" w:rsidTr="000005F4">
        <w:tc>
          <w:tcPr>
            <w:tcW w:w="1704" w:type="dxa"/>
            <w:shd w:val="clear" w:color="auto" w:fill="auto"/>
          </w:tcPr>
          <w:p w14:paraId="35C8AAA6" w14:textId="77777777" w:rsidR="000005F4" w:rsidRPr="00781F02" w:rsidRDefault="000005F4" w:rsidP="000005F4">
            <w:pPr>
              <w:pStyle w:val="TableTextNoSpace"/>
              <w:rPr>
                <w:b/>
              </w:rPr>
            </w:pPr>
            <w:r w:rsidRPr="00781F02">
              <w:rPr>
                <w:b/>
              </w:rPr>
              <w:t>Opportunities for Natura</w:t>
            </w:r>
            <w:r>
              <w:rPr>
                <w:b/>
              </w:rPr>
              <w:t xml:space="preserve"> 2000 </w:t>
            </w:r>
          </w:p>
        </w:tc>
        <w:tc>
          <w:tcPr>
            <w:tcW w:w="7367" w:type="dxa"/>
            <w:shd w:val="clear" w:color="auto" w:fill="auto"/>
          </w:tcPr>
          <w:p w14:paraId="6E476942" w14:textId="77777777" w:rsidR="000005F4" w:rsidRDefault="000005F4" w:rsidP="0069296B">
            <w:pPr>
              <w:pStyle w:val="TableBullet"/>
            </w:pPr>
            <w:r>
              <w:t xml:space="preserve">Large-scale private sector investment in conservation management at landscape scale </w:t>
            </w:r>
          </w:p>
          <w:p w14:paraId="449E09B4" w14:textId="77777777" w:rsidR="000005F4" w:rsidRDefault="000005F4" w:rsidP="0069296B">
            <w:pPr>
              <w:pStyle w:val="TableBullet"/>
            </w:pPr>
            <w:r>
              <w:t>Allows funds to be targeted towards ecological networks, enhancing the resilience of Natura 2000 sites to wider pressures</w:t>
            </w:r>
          </w:p>
          <w:p w14:paraId="7DE71AA0" w14:textId="77777777" w:rsidR="000005F4" w:rsidRDefault="000005F4" w:rsidP="0069296B">
            <w:pPr>
              <w:pStyle w:val="TableBullet"/>
            </w:pPr>
            <w:r>
              <w:t>Offer potential “win-win” from a societal and developer’s perspective, as this allows development to proceed more swiftly</w:t>
            </w:r>
          </w:p>
          <w:p w14:paraId="25F55CF8" w14:textId="77777777" w:rsidR="000005F4" w:rsidRPr="00E452A2" w:rsidRDefault="000005F4" w:rsidP="0069296B">
            <w:pPr>
              <w:pStyle w:val="TableBullet"/>
            </w:pPr>
            <w:r>
              <w:t xml:space="preserve">Offsets should be provided in perpetuity and backed by long term management plans, monitoring and finance  </w:t>
            </w:r>
          </w:p>
        </w:tc>
      </w:tr>
      <w:tr w:rsidR="000005F4" w14:paraId="505AF210" w14:textId="77777777" w:rsidTr="000005F4">
        <w:tc>
          <w:tcPr>
            <w:tcW w:w="1704" w:type="dxa"/>
            <w:shd w:val="clear" w:color="auto" w:fill="auto"/>
          </w:tcPr>
          <w:p w14:paraId="7CCF92FB" w14:textId="77777777" w:rsidR="000005F4" w:rsidRPr="00781F02" w:rsidRDefault="000005F4" w:rsidP="000005F4">
            <w:pPr>
              <w:pStyle w:val="TableTextNoSpace"/>
              <w:rPr>
                <w:b/>
              </w:rPr>
            </w:pPr>
            <w:r w:rsidRPr="00781F02">
              <w:rPr>
                <w:b/>
              </w:rPr>
              <w:t>Limitations &amp; constraints</w:t>
            </w:r>
          </w:p>
        </w:tc>
        <w:tc>
          <w:tcPr>
            <w:tcW w:w="7367" w:type="dxa"/>
            <w:shd w:val="clear" w:color="auto" w:fill="auto"/>
          </w:tcPr>
          <w:p w14:paraId="42469375" w14:textId="77777777" w:rsidR="000005F4" w:rsidRDefault="000005F4" w:rsidP="0069296B">
            <w:pPr>
              <w:pStyle w:val="TableBullet"/>
            </w:pPr>
            <w:r>
              <w:t xml:space="preserve">Levies may not provide sufficient funds for ongoing management and monitoring </w:t>
            </w:r>
          </w:p>
          <w:p w14:paraId="2893B51D" w14:textId="77777777" w:rsidR="000005F4" w:rsidRDefault="000005F4" w:rsidP="0069296B">
            <w:pPr>
              <w:pStyle w:val="TableBullet"/>
            </w:pPr>
            <w:r>
              <w:t>Compensation in many cases may be weakly linked to original biodiversity loss</w:t>
            </w:r>
          </w:p>
          <w:p w14:paraId="4597E98F" w14:textId="77777777" w:rsidR="000005F4" w:rsidRDefault="000005F4" w:rsidP="0069296B">
            <w:pPr>
              <w:pStyle w:val="TableBullet"/>
            </w:pPr>
            <w:r>
              <w:t>Access to suitable land for compensation may be a limitation</w:t>
            </w:r>
          </w:p>
          <w:p w14:paraId="6FE7EC7C" w14:textId="77777777" w:rsidR="000005F4" w:rsidRDefault="000005F4" w:rsidP="0069296B">
            <w:pPr>
              <w:pStyle w:val="TableBullet"/>
            </w:pPr>
            <w:r>
              <w:t>Some conservationists oppose offsets on the grounds that they could weaken protection of existing sites</w:t>
            </w:r>
          </w:p>
          <w:p w14:paraId="2F685393" w14:textId="77777777" w:rsidR="000005F4" w:rsidRPr="00E452A2" w:rsidRDefault="000005F4" w:rsidP="0069296B">
            <w:pPr>
              <w:pStyle w:val="TableBullet"/>
            </w:pPr>
            <w:r>
              <w:t xml:space="preserve">Care is needed to ensure offsets deliver additional conservation gains if they are to contribute to no net loss of biodiversity; it could be argued that management of Natura 2000 is an existing commitment and should be financed through other means    </w:t>
            </w:r>
          </w:p>
        </w:tc>
      </w:tr>
      <w:tr w:rsidR="000005F4" w14:paraId="5BA10894" w14:textId="77777777" w:rsidTr="000005F4">
        <w:trPr>
          <w:trHeight w:val="842"/>
        </w:trPr>
        <w:tc>
          <w:tcPr>
            <w:tcW w:w="1704" w:type="dxa"/>
            <w:shd w:val="clear" w:color="auto" w:fill="auto"/>
          </w:tcPr>
          <w:p w14:paraId="4C052A7A" w14:textId="77777777" w:rsidR="000005F4" w:rsidRPr="009F1463" w:rsidRDefault="000005F4" w:rsidP="000005F4">
            <w:pPr>
              <w:pStyle w:val="TableTextNoSpace"/>
              <w:rPr>
                <w:b/>
              </w:rPr>
            </w:pPr>
            <w:r>
              <w:rPr>
                <w:b/>
              </w:rPr>
              <w:t>integration</w:t>
            </w:r>
          </w:p>
        </w:tc>
        <w:tc>
          <w:tcPr>
            <w:tcW w:w="7367" w:type="dxa"/>
            <w:shd w:val="clear" w:color="auto" w:fill="auto"/>
          </w:tcPr>
          <w:p w14:paraId="7D3B5BEA" w14:textId="77777777" w:rsidR="000005F4" w:rsidRDefault="000005F4" w:rsidP="0069296B">
            <w:pPr>
              <w:pStyle w:val="TableBullet"/>
            </w:pPr>
            <w:r>
              <w:t xml:space="preserve">Deeper engagement between NRW and Local Authorities for landscape level measures </w:t>
            </w:r>
          </w:p>
          <w:p w14:paraId="694218CA" w14:textId="77777777" w:rsidR="000005F4" w:rsidRDefault="000005F4" w:rsidP="0069296B">
            <w:pPr>
              <w:pStyle w:val="TableBullet"/>
            </w:pPr>
            <w:r>
              <w:t xml:space="preserve">Development of ‘land banks’ for compensation with conservation NGOs  </w:t>
            </w:r>
          </w:p>
          <w:p w14:paraId="27BDF618" w14:textId="77777777" w:rsidR="000005F4" w:rsidRDefault="000005F4" w:rsidP="0069296B">
            <w:pPr>
              <w:pStyle w:val="TableBullet"/>
            </w:pPr>
            <w:r>
              <w:t>Provision of upfront capital through specialist facilities such as the Natural Capital Finance Facility</w:t>
            </w:r>
          </w:p>
          <w:p w14:paraId="3D96C219" w14:textId="77777777" w:rsidR="000005F4" w:rsidRPr="00E452A2" w:rsidRDefault="000005F4" w:rsidP="0069296B">
            <w:pPr>
              <w:pStyle w:val="TableBullet"/>
            </w:pPr>
            <w:r>
              <w:t>Engagement with specialist providers such as the Environment Bank Ltd</w:t>
            </w:r>
          </w:p>
        </w:tc>
      </w:tr>
    </w:tbl>
    <w:p w14:paraId="4BD30B41" w14:textId="77777777" w:rsidR="000005F4" w:rsidRDefault="000005F4" w:rsidP="000005F4">
      <w:pPr>
        <w:rPr>
          <w:rFonts w:ascii="Calibri" w:hAnsi="Calibri" w:cs="Calibri"/>
          <w:sz w:val="21"/>
          <w:szCs w:val="21"/>
        </w:rPr>
      </w:pPr>
    </w:p>
    <w:p w14:paraId="7A638F42" w14:textId="77777777" w:rsidR="000005F4" w:rsidRDefault="000005F4" w:rsidP="000005F4">
      <w:pPr>
        <w:pStyle w:val="Heading2NoNumb"/>
      </w:pPr>
      <w:bookmarkStart w:id="344" w:name="_Toc408094035"/>
      <w:bookmarkStart w:id="345" w:name="_Toc408138036"/>
      <w:bookmarkStart w:id="346" w:name="_Toc408851025"/>
      <w:bookmarkStart w:id="347" w:name="_Toc421880701"/>
      <w:r>
        <w:t>Environmental bonds</w:t>
      </w:r>
      <w:bookmarkEnd w:id="344"/>
      <w:bookmarkEnd w:id="345"/>
      <w:bookmarkEnd w:id="346"/>
      <w:bookmarkEnd w:id="347"/>
    </w:p>
    <w:tbl>
      <w:tblPr>
        <w:tblW w:w="9071" w:type="dxa"/>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Layout w:type="fixed"/>
        <w:tblCellMar>
          <w:top w:w="57" w:type="dxa"/>
          <w:left w:w="0" w:type="dxa"/>
          <w:bottom w:w="28" w:type="dxa"/>
          <w:right w:w="0" w:type="dxa"/>
        </w:tblCellMar>
        <w:tblLook w:val="0000" w:firstRow="0" w:lastRow="0" w:firstColumn="0" w:lastColumn="0" w:noHBand="0" w:noVBand="0"/>
      </w:tblPr>
      <w:tblGrid>
        <w:gridCol w:w="1704"/>
        <w:gridCol w:w="7367"/>
      </w:tblGrid>
      <w:tr w:rsidR="000005F4" w14:paraId="3CAD7824" w14:textId="77777777" w:rsidTr="000005F4">
        <w:trPr>
          <w:cantSplit/>
        </w:trPr>
        <w:tc>
          <w:tcPr>
            <w:tcW w:w="1704" w:type="dxa"/>
            <w:shd w:val="clear" w:color="auto" w:fill="auto"/>
          </w:tcPr>
          <w:p w14:paraId="587BBE3A" w14:textId="77777777" w:rsidR="000005F4" w:rsidRDefault="000005F4" w:rsidP="000005F4">
            <w:pPr>
              <w:pStyle w:val="TableHeading"/>
            </w:pPr>
          </w:p>
        </w:tc>
        <w:tc>
          <w:tcPr>
            <w:tcW w:w="7367" w:type="dxa"/>
            <w:shd w:val="solid" w:color="0067AB" w:fill="0067AB"/>
          </w:tcPr>
          <w:p w14:paraId="1E3D9C9A" w14:textId="77777777" w:rsidR="000005F4" w:rsidRDefault="000005F4" w:rsidP="000005F4">
            <w:pPr>
              <w:pStyle w:val="TableHeadingWhite"/>
            </w:pPr>
          </w:p>
        </w:tc>
      </w:tr>
      <w:tr w:rsidR="000005F4" w14:paraId="0988997D" w14:textId="77777777" w:rsidTr="000005F4">
        <w:tc>
          <w:tcPr>
            <w:tcW w:w="1704" w:type="dxa"/>
            <w:shd w:val="clear" w:color="auto" w:fill="auto"/>
          </w:tcPr>
          <w:p w14:paraId="65E6DFC2" w14:textId="77777777" w:rsidR="000005F4" w:rsidRPr="00781F02" w:rsidRDefault="000005F4" w:rsidP="000005F4">
            <w:pPr>
              <w:pStyle w:val="TableTextNoSpace"/>
              <w:rPr>
                <w:b/>
              </w:rPr>
            </w:pPr>
            <w:r w:rsidRPr="00781F02">
              <w:rPr>
                <w:b/>
              </w:rPr>
              <w:t>Background &amp; relevance</w:t>
            </w:r>
          </w:p>
        </w:tc>
        <w:tc>
          <w:tcPr>
            <w:tcW w:w="7367" w:type="dxa"/>
            <w:shd w:val="clear" w:color="auto" w:fill="auto"/>
          </w:tcPr>
          <w:p w14:paraId="6522F7C8" w14:textId="0D280AF1" w:rsidR="000005F4" w:rsidRPr="00ED1238" w:rsidRDefault="000005F4" w:rsidP="0069296B">
            <w:pPr>
              <w:autoSpaceDE w:val="0"/>
              <w:autoSpaceDN w:val="0"/>
              <w:adjustRightInd w:val="0"/>
              <w:spacing w:before="0" w:after="0" w:line="240" w:lineRule="auto"/>
              <w:ind w:left="57" w:right="57"/>
              <w:rPr>
                <w:rFonts w:cs="Arial"/>
                <w:color w:val="000000"/>
                <w:szCs w:val="20"/>
              </w:rPr>
            </w:pPr>
            <w:r>
              <w:rPr>
                <w:rFonts w:cs="Arial"/>
                <w:szCs w:val="20"/>
              </w:rPr>
              <w:t>E</w:t>
            </w:r>
            <w:r w:rsidRPr="003678AA">
              <w:rPr>
                <w:rFonts w:cs="Arial"/>
                <w:szCs w:val="20"/>
              </w:rPr>
              <w:t xml:space="preserve">nvironmental bonds </w:t>
            </w:r>
            <w:r>
              <w:rPr>
                <w:rFonts w:cs="Arial"/>
                <w:szCs w:val="20"/>
              </w:rPr>
              <w:t xml:space="preserve">can be used to fund </w:t>
            </w:r>
            <w:r w:rsidRPr="003678AA">
              <w:rPr>
                <w:rFonts w:cs="Arial"/>
                <w:szCs w:val="20"/>
              </w:rPr>
              <w:t>protection and improvement of the natural environment</w:t>
            </w:r>
            <w:r>
              <w:rPr>
                <w:rFonts w:cs="Arial"/>
                <w:szCs w:val="20"/>
              </w:rPr>
              <w:t xml:space="preserve"> e.g.</w:t>
            </w:r>
            <w:r w:rsidRPr="003678AA">
              <w:rPr>
                <w:rFonts w:cs="Arial"/>
                <w:szCs w:val="20"/>
              </w:rPr>
              <w:t xml:space="preserve"> woodland creation, wetland restoration and the creation of green space in urban areas. Environmental bonds include a pledge by their issuer that capital</w:t>
            </w:r>
            <w:r>
              <w:rPr>
                <w:rFonts w:cs="Arial"/>
                <w:szCs w:val="20"/>
              </w:rPr>
              <w:t xml:space="preserve"> </w:t>
            </w:r>
            <w:r w:rsidRPr="003678AA">
              <w:rPr>
                <w:rFonts w:cs="Arial"/>
                <w:szCs w:val="20"/>
              </w:rPr>
              <w:t>raised will be used to fund projects with a beneficial environmental and social impact</w:t>
            </w:r>
            <w:r w:rsidR="00F94290">
              <w:rPr>
                <w:rFonts w:cs="Arial"/>
                <w:szCs w:val="20"/>
              </w:rPr>
              <w:t>. This</w:t>
            </w:r>
            <w:r w:rsidRPr="003678AA">
              <w:rPr>
                <w:rFonts w:cs="Arial"/>
                <w:szCs w:val="20"/>
              </w:rPr>
              <w:t xml:space="preserve"> assurance, rather than the type of issuer or financial structure, is the defining characteristic for an environmental bond. A variety of environmental bonds have been proposed and issued</w:t>
            </w:r>
            <w:r>
              <w:rPr>
                <w:rFonts w:cs="Arial"/>
                <w:szCs w:val="20"/>
              </w:rPr>
              <w:t>, most notably green infrastructure bonds relating to low-carbon developments.</w:t>
            </w:r>
          </w:p>
        </w:tc>
      </w:tr>
      <w:tr w:rsidR="000005F4" w14:paraId="57C25786" w14:textId="77777777" w:rsidTr="000005F4">
        <w:tc>
          <w:tcPr>
            <w:tcW w:w="1704" w:type="dxa"/>
            <w:shd w:val="clear" w:color="auto" w:fill="auto"/>
          </w:tcPr>
          <w:p w14:paraId="5874FE1E" w14:textId="77777777" w:rsidR="000005F4" w:rsidRPr="00781F02" w:rsidRDefault="000005F4" w:rsidP="000005F4">
            <w:pPr>
              <w:pStyle w:val="TableTextNoSpace"/>
              <w:rPr>
                <w:b/>
              </w:rPr>
            </w:pPr>
            <w:r w:rsidRPr="00781F02">
              <w:rPr>
                <w:b/>
              </w:rPr>
              <w:t>Funding available</w:t>
            </w:r>
          </w:p>
        </w:tc>
        <w:tc>
          <w:tcPr>
            <w:tcW w:w="7367" w:type="dxa"/>
            <w:shd w:val="clear" w:color="auto" w:fill="auto"/>
          </w:tcPr>
          <w:p w14:paraId="1B459719" w14:textId="77777777" w:rsidR="000005F4" w:rsidRPr="00E452A2" w:rsidRDefault="000005F4" w:rsidP="0069296B">
            <w:pPr>
              <w:pStyle w:val="TableBullet"/>
            </w:pPr>
            <w:r>
              <w:t>An environmental biodiversity-related bond market does not currently exist in Wales</w:t>
            </w:r>
          </w:p>
        </w:tc>
      </w:tr>
      <w:tr w:rsidR="000005F4" w14:paraId="708588F2" w14:textId="77777777" w:rsidTr="000005F4">
        <w:tc>
          <w:tcPr>
            <w:tcW w:w="1704" w:type="dxa"/>
            <w:shd w:val="clear" w:color="auto" w:fill="auto"/>
          </w:tcPr>
          <w:p w14:paraId="55A4876B" w14:textId="77777777" w:rsidR="000005F4" w:rsidRPr="00781F02" w:rsidRDefault="000005F4" w:rsidP="000005F4">
            <w:pPr>
              <w:pStyle w:val="TableTextNoSpace"/>
              <w:rPr>
                <w:b/>
              </w:rPr>
            </w:pPr>
            <w:r w:rsidRPr="00781F02">
              <w:rPr>
                <w:b/>
              </w:rPr>
              <w:t>Opportunities for Natura</w:t>
            </w:r>
            <w:r>
              <w:rPr>
                <w:b/>
              </w:rPr>
              <w:t xml:space="preserve"> 2000 </w:t>
            </w:r>
          </w:p>
        </w:tc>
        <w:tc>
          <w:tcPr>
            <w:tcW w:w="7367" w:type="dxa"/>
            <w:shd w:val="clear" w:color="auto" w:fill="auto"/>
          </w:tcPr>
          <w:p w14:paraId="23EC089D" w14:textId="77777777" w:rsidR="000005F4" w:rsidRDefault="000005F4" w:rsidP="0069296B">
            <w:pPr>
              <w:pStyle w:val="TableBullet"/>
              <w:rPr>
                <w:rFonts w:ascii="TrebuchetMS" w:hAnsi="TrebuchetMS" w:cs="TrebuchetMS"/>
                <w:sz w:val="22"/>
                <w:szCs w:val="22"/>
              </w:rPr>
            </w:pPr>
            <w:r>
              <w:t>Bonds could potentially fund a range of habitat restoration and management activities, and associated investments, which have the potential to generate financial returns</w:t>
            </w:r>
          </w:p>
          <w:p w14:paraId="3113225D" w14:textId="77777777" w:rsidR="000005F4" w:rsidRDefault="000005F4" w:rsidP="0069296B">
            <w:pPr>
              <w:pStyle w:val="TableBullet"/>
            </w:pPr>
            <w:r>
              <w:t>They enable the sharing of financial risks with business or financial institutions investing in activities that are related to sustainable use of biodiversity.</w:t>
            </w:r>
          </w:p>
          <w:p w14:paraId="461A0D85" w14:textId="77777777" w:rsidR="000005F4" w:rsidRPr="00E452A2" w:rsidRDefault="000005F4" w:rsidP="0069296B">
            <w:pPr>
              <w:pStyle w:val="TableBullet"/>
            </w:pPr>
            <w:r>
              <w:t xml:space="preserve">Key areas relate to forestry, agriculture, tourism and green infrastructure. </w:t>
            </w:r>
          </w:p>
        </w:tc>
      </w:tr>
      <w:tr w:rsidR="000005F4" w14:paraId="3B2E2A83" w14:textId="77777777" w:rsidTr="000005F4">
        <w:tc>
          <w:tcPr>
            <w:tcW w:w="1704" w:type="dxa"/>
            <w:shd w:val="clear" w:color="auto" w:fill="auto"/>
          </w:tcPr>
          <w:p w14:paraId="4DE39FC1" w14:textId="77777777" w:rsidR="000005F4" w:rsidRPr="00781F02" w:rsidRDefault="000005F4" w:rsidP="000005F4">
            <w:pPr>
              <w:pStyle w:val="TableTextNoSpace"/>
              <w:rPr>
                <w:b/>
              </w:rPr>
            </w:pPr>
            <w:r w:rsidRPr="00781F02">
              <w:rPr>
                <w:b/>
              </w:rPr>
              <w:t>Limitations &amp; constraints</w:t>
            </w:r>
          </w:p>
        </w:tc>
        <w:tc>
          <w:tcPr>
            <w:tcW w:w="7367" w:type="dxa"/>
            <w:shd w:val="clear" w:color="auto" w:fill="auto"/>
          </w:tcPr>
          <w:p w14:paraId="3074820F" w14:textId="77777777" w:rsidR="000005F4" w:rsidRPr="00E32E98" w:rsidRDefault="000005F4" w:rsidP="0069296B">
            <w:pPr>
              <w:pStyle w:val="TableBullet"/>
            </w:pPr>
            <w:r w:rsidRPr="00E32E98">
              <w:t>Bonds are most suit</w:t>
            </w:r>
            <w:r>
              <w:t>ed to financing investments that generate a financial return for the investor, and may have limited application to Natura 2000 sites.  There may be some opportunities to fund investments that generate a return from ecosystem services (e.g. supply of timber, carbon offsetting)</w:t>
            </w:r>
          </w:p>
          <w:p w14:paraId="00AE5637" w14:textId="2592B9A1" w:rsidR="000005F4" w:rsidRPr="00ED1238" w:rsidRDefault="000005F4" w:rsidP="0069296B">
            <w:pPr>
              <w:pStyle w:val="TableBullet"/>
              <w:rPr>
                <w:rFonts w:ascii="Georgia" w:hAnsi="Georgia" w:cs="Georgia"/>
                <w:color w:val="000000"/>
                <w:sz w:val="18"/>
                <w:szCs w:val="18"/>
              </w:rPr>
            </w:pPr>
            <w:r>
              <w:rPr>
                <w:rFonts w:ascii="ArialMT-Regula1" w:hAnsi="ArialMT-Regula1" w:cs="ArialMT-Regula1"/>
              </w:rPr>
              <w:t>Future environmental bond issues need to fulfil certain key conditions, which may be difficult:</w:t>
            </w:r>
            <w:r w:rsidR="00F94290">
              <w:rPr>
                <w:rFonts w:ascii="ArialMT-Regula1" w:hAnsi="ArialMT-Regula1" w:cs="ArialMT-Regula1"/>
              </w:rPr>
              <w:t xml:space="preserve"> i.e.</w:t>
            </w:r>
            <w:r>
              <w:rPr>
                <w:rFonts w:ascii="ArialMT-Regula1" w:hAnsi="ArialMT-Regula1" w:cs="ArialMT-Regula1"/>
              </w:rPr>
              <w:t xml:space="preserve"> generate adequate financial, environmental and social returns in absolute terms; generate returns that are commensurate with the level of risk involved; demonstrate environmental and social impact in a clear and transparent fashion.</w:t>
            </w:r>
          </w:p>
        </w:tc>
      </w:tr>
      <w:tr w:rsidR="000005F4" w14:paraId="59DEE322" w14:textId="77777777" w:rsidTr="000005F4">
        <w:trPr>
          <w:trHeight w:val="842"/>
        </w:trPr>
        <w:tc>
          <w:tcPr>
            <w:tcW w:w="1704" w:type="dxa"/>
            <w:shd w:val="clear" w:color="auto" w:fill="auto"/>
          </w:tcPr>
          <w:p w14:paraId="7521B5B6" w14:textId="77777777" w:rsidR="000005F4" w:rsidRDefault="000005F4" w:rsidP="000005F4">
            <w:pPr>
              <w:pStyle w:val="TableTextNoSpace"/>
              <w:rPr>
                <w:b/>
              </w:rPr>
            </w:pPr>
            <w:r w:rsidRPr="007B6DFE">
              <w:rPr>
                <w:b/>
              </w:rPr>
              <w:t>Increasing uptake &amp;</w:t>
            </w:r>
          </w:p>
          <w:p w14:paraId="2944EF6B" w14:textId="77777777" w:rsidR="000005F4" w:rsidRPr="009F1463" w:rsidRDefault="000005F4" w:rsidP="000005F4">
            <w:pPr>
              <w:pStyle w:val="TableTextNoSpace"/>
              <w:rPr>
                <w:b/>
              </w:rPr>
            </w:pPr>
            <w:r w:rsidRPr="007B6DFE">
              <w:rPr>
                <w:b/>
              </w:rPr>
              <w:t>integr</w:t>
            </w:r>
            <w:r>
              <w:rPr>
                <w:b/>
              </w:rPr>
              <w:t>a</w:t>
            </w:r>
            <w:r w:rsidRPr="007B6DFE">
              <w:rPr>
                <w:b/>
              </w:rPr>
              <w:t>tion</w:t>
            </w:r>
          </w:p>
        </w:tc>
        <w:tc>
          <w:tcPr>
            <w:tcW w:w="7367" w:type="dxa"/>
            <w:shd w:val="clear" w:color="auto" w:fill="auto"/>
          </w:tcPr>
          <w:p w14:paraId="54A1AFB7" w14:textId="77777777" w:rsidR="000005F4" w:rsidRPr="00E452A2" w:rsidRDefault="000005F4" w:rsidP="0069296B">
            <w:pPr>
              <w:pStyle w:val="TableBullet"/>
            </w:pPr>
            <w:r>
              <w:t>Further work needs to be done to understand how and whether environmental bonds might work in practice.</w:t>
            </w:r>
          </w:p>
        </w:tc>
      </w:tr>
    </w:tbl>
    <w:p w14:paraId="56BC7F85" w14:textId="77777777" w:rsidR="000005F4" w:rsidRDefault="000005F4" w:rsidP="000005F4">
      <w:pPr>
        <w:pStyle w:val="Heading2NoNumb"/>
      </w:pPr>
      <w:bookmarkStart w:id="348" w:name="_Toc408094036"/>
      <w:bookmarkStart w:id="349" w:name="_Toc408138037"/>
      <w:bookmarkStart w:id="350" w:name="_Toc408851026"/>
      <w:bookmarkStart w:id="351" w:name="_Toc421880702"/>
      <w:r>
        <w:t>Loan finance</w:t>
      </w:r>
      <w:bookmarkEnd w:id="348"/>
      <w:bookmarkEnd w:id="349"/>
      <w:bookmarkEnd w:id="350"/>
      <w:bookmarkEnd w:id="351"/>
      <w:r>
        <w:t xml:space="preserve"> </w:t>
      </w:r>
    </w:p>
    <w:tbl>
      <w:tblPr>
        <w:tblW w:w="9071" w:type="dxa"/>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Layout w:type="fixed"/>
        <w:tblCellMar>
          <w:top w:w="57" w:type="dxa"/>
          <w:left w:w="0" w:type="dxa"/>
          <w:bottom w:w="28" w:type="dxa"/>
          <w:right w:w="0" w:type="dxa"/>
        </w:tblCellMar>
        <w:tblLook w:val="0000" w:firstRow="0" w:lastRow="0" w:firstColumn="0" w:lastColumn="0" w:noHBand="0" w:noVBand="0"/>
      </w:tblPr>
      <w:tblGrid>
        <w:gridCol w:w="1704"/>
        <w:gridCol w:w="7367"/>
      </w:tblGrid>
      <w:tr w:rsidR="000005F4" w14:paraId="1041EDFC" w14:textId="77777777" w:rsidTr="000005F4">
        <w:trPr>
          <w:cantSplit/>
        </w:trPr>
        <w:tc>
          <w:tcPr>
            <w:tcW w:w="1704" w:type="dxa"/>
            <w:shd w:val="clear" w:color="auto" w:fill="auto"/>
          </w:tcPr>
          <w:p w14:paraId="1874E7F0" w14:textId="77777777" w:rsidR="000005F4" w:rsidRDefault="000005F4" w:rsidP="000005F4">
            <w:pPr>
              <w:pStyle w:val="TableHeading"/>
            </w:pPr>
          </w:p>
        </w:tc>
        <w:tc>
          <w:tcPr>
            <w:tcW w:w="7367" w:type="dxa"/>
            <w:shd w:val="solid" w:color="0067AB" w:fill="0067AB"/>
          </w:tcPr>
          <w:p w14:paraId="57F294C3" w14:textId="77777777" w:rsidR="000005F4" w:rsidRDefault="000005F4" w:rsidP="000005F4">
            <w:pPr>
              <w:pStyle w:val="TableHeadingWhite"/>
            </w:pPr>
          </w:p>
        </w:tc>
      </w:tr>
      <w:tr w:rsidR="000005F4" w14:paraId="324DCC0F" w14:textId="77777777" w:rsidTr="000005F4">
        <w:tc>
          <w:tcPr>
            <w:tcW w:w="1704" w:type="dxa"/>
            <w:shd w:val="clear" w:color="auto" w:fill="auto"/>
          </w:tcPr>
          <w:p w14:paraId="4C539AA9" w14:textId="77777777" w:rsidR="000005F4" w:rsidRPr="00781F02" w:rsidRDefault="000005F4" w:rsidP="000005F4">
            <w:pPr>
              <w:pStyle w:val="TableTextNoSpace"/>
              <w:rPr>
                <w:b/>
              </w:rPr>
            </w:pPr>
            <w:r w:rsidRPr="00781F02">
              <w:rPr>
                <w:b/>
              </w:rPr>
              <w:t>Background &amp; relevance</w:t>
            </w:r>
          </w:p>
        </w:tc>
        <w:tc>
          <w:tcPr>
            <w:tcW w:w="7367" w:type="dxa"/>
            <w:shd w:val="clear" w:color="auto" w:fill="auto"/>
          </w:tcPr>
          <w:p w14:paraId="3E61357D" w14:textId="77777777" w:rsidR="000005F4" w:rsidRPr="00E452A2" w:rsidRDefault="000005F4" w:rsidP="000005F4">
            <w:pPr>
              <w:pStyle w:val="TableTextNoSpace"/>
            </w:pPr>
            <w:r>
              <w:t>Loan finance is provided on commercial terms, often through dedicated funds which offer loans at preferential rates for particular activities.</w:t>
            </w:r>
          </w:p>
        </w:tc>
      </w:tr>
      <w:tr w:rsidR="000005F4" w14:paraId="7749CF59" w14:textId="77777777" w:rsidTr="000005F4">
        <w:tc>
          <w:tcPr>
            <w:tcW w:w="1704" w:type="dxa"/>
            <w:shd w:val="clear" w:color="auto" w:fill="auto"/>
          </w:tcPr>
          <w:p w14:paraId="6D9A3882" w14:textId="77777777" w:rsidR="000005F4" w:rsidRPr="00781F02" w:rsidRDefault="000005F4" w:rsidP="000005F4">
            <w:pPr>
              <w:pStyle w:val="TableTextNoSpace"/>
              <w:rPr>
                <w:b/>
              </w:rPr>
            </w:pPr>
            <w:r w:rsidRPr="00781F02">
              <w:rPr>
                <w:b/>
              </w:rPr>
              <w:t>Funding available</w:t>
            </w:r>
          </w:p>
        </w:tc>
        <w:tc>
          <w:tcPr>
            <w:tcW w:w="7367" w:type="dxa"/>
            <w:shd w:val="clear" w:color="auto" w:fill="auto"/>
          </w:tcPr>
          <w:p w14:paraId="5076C3FE" w14:textId="77777777" w:rsidR="000005F4" w:rsidRPr="00E452A2" w:rsidRDefault="000005F4" w:rsidP="00B63F10">
            <w:pPr>
              <w:pStyle w:val="TableBullet"/>
            </w:pPr>
            <w:r>
              <w:t>Funding available is dependent on the loan facility.</w:t>
            </w:r>
          </w:p>
        </w:tc>
      </w:tr>
      <w:tr w:rsidR="000005F4" w14:paraId="511670D1" w14:textId="77777777" w:rsidTr="000005F4">
        <w:tc>
          <w:tcPr>
            <w:tcW w:w="1704" w:type="dxa"/>
            <w:shd w:val="clear" w:color="auto" w:fill="auto"/>
          </w:tcPr>
          <w:p w14:paraId="65A46EA2" w14:textId="77777777" w:rsidR="000005F4" w:rsidRPr="00781F02" w:rsidRDefault="000005F4" w:rsidP="000005F4">
            <w:pPr>
              <w:pStyle w:val="TableTextNoSpace"/>
              <w:rPr>
                <w:b/>
              </w:rPr>
            </w:pPr>
            <w:r w:rsidRPr="00781F02">
              <w:rPr>
                <w:b/>
              </w:rPr>
              <w:t>Opportunities for Natura</w:t>
            </w:r>
            <w:r>
              <w:rPr>
                <w:b/>
              </w:rPr>
              <w:t xml:space="preserve"> 2000 </w:t>
            </w:r>
          </w:p>
        </w:tc>
        <w:tc>
          <w:tcPr>
            <w:tcW w:w="7367" w:type="dxa"/>
            <w:shd w:val="clear" w:color="auto" w:fill="auto"/>
          </w:tcPr>
          <w:p w14:paraId="70352CDE" w14:textId="77777777" w:rsidR="000005F4" w:rsidRDefault="000005F4" w:rsidP="0069296B">
            <w:pPr>
              <w:pStyle w:val="TableBullet"/>
            </w:pPr>
            <w:r w:rsidRPr="00390F5E">
              <w:t>Loan schemes can support existing grant systems. Doing so may save resources whilst</w:t>
            </w:r>
            <w:r>
              <w:t xml:space="preserve"> </w:t>
            </w:r>
            <w:r w:rsidRPr="00390F5E">
              <w:t>encouraging innovation and enterprise.</w:t>
            </w:r>
          </w:p>
          <w:p w14:paraId="43072FB1" w14:textId="77777777" w:rsidR="000005F4" w:rsidRDefault="000005F4" w:rsidP="0069296B">
            <w:pPr>
              <w:pStyle w:val="TableBullet"/>
            </w:pPr>
            <w:r>
              <w:t>An EAFRD</w:t>
            </w:r>
            <w:r w:rsidRPr="009037AE">
              <w:t xml:space="preserve"> flexible </w:t>
            </w:r>
            <w:r>
              <w:t xml:space="preserve">asset </w:t>
            </w:r>
            <w:r w:rsidRPr="009037AE">
              <w:t xml:space="preserve">investment scheme </w:t>
            </w:r>
            <w:r>
              <w:t>(to</w:t>
            </w:r>
            <w:r w:rsidRPr="009037AE">
              <w:t xml:space="preserve"> provide grants, loans and other innovative financial instruments</w:t>
            </w:r>
            <w:r>
              <w:t>)</w:t>
            </w:r>
            <w:r w:rsidRPr="009037AE">
              <w:t xml:space="preserve"> required for agriculture/food/forestry purposes</w:t>
            </w:r>
            <w:r>
              <w:t>,</w:t>
            </w:r>
            <w:r w:rsidRPr="009037AE">
              <w:t xml:space="preserve"> including investments in processing/marketing and/or devel</w:t>
            </w:r>
            <w:r>
              <w:t>opment of agricultural products, has been proposed in the Wales RDP.</w:t>
            </w:r>
          </w:p>
          <w:p w14:paraId="05BD7AA3" w14:textId="0F454F43" w:rsidR="000005F4" w:rsidRPr="00E452A2" w:rsidRDefault="00F94290" w:rsidP="0069296B">
            <w:pPr>
              <w:pStyle w:val="TableBullet"/>
            </w:pPr>
            <w:r>
              <w:rPr>
                <w:rFonts w:cs="Arial"/>
                <w:szCs w:val="20"/>
              </w:rPr>
              <w:t>The European Investment Bank’s</w:t>
            </w:r>
            <w:r w:rsidR="000005F4" w:rsidRPr="00AF570F">
              <w:rPr>
                <w:rFonts w:cs="Arial"/>
                <w:szCs w:val="20"/>
              </w:rPr>
              <w:t xml:space="preserve"> Natural Capital Financing Facility (NCFF) is currently being developed and will provide loans at preferential rates</w:t>
            </w:r>
            <w:r w:rsidR="000005F4">
              <w:rPr>
                <w:rFonts w:cs="Arial"/>
                <w:szCs w:val="20"/>
              </w:rPr>
              <w:t>. It</w:t>
            </w:r>
            <w:r w:rsidR="000005F4" w:rsidRPr="00AF570F">
              <w:rPr>
                <w:rFonts w:cs="Arial"/>
                <w:color w:val="000000"/>
                <w:szCs w:val="20"/>
              </w:rPr>
              <w:t xml:space="preserve"> will provide finance to support revenue generating / cost-saving projects promoting the conservation, restoration, management and enhancement of natural capital for biodiversity and ecosystem services and climate adaptation benefits, including ecosystem-based solutions to challenges related to land, soil, forestry, agriculture, water and waste. The NCFF will start with a pilot phase of 3 to 4 years (2014-2017) with a total amount of </w:t>
            </w:r>
            <w:r>
              <w:rPr>
                <w:rFonts w:cs="Arial"/>
                <w:color w:val="000000"/>
                <w:szCs w:val="20"/>
              </w:rPr>
              <w:t>€</w:t>
            </w:r>
            <w:r w:rsidR="000005F4" w:rsidRPr="00AF570F">
              <w:rPr>
                <w:rFonts w:cs="Arial"/>
                <w:color w:val="000000"/>
                <w:szCs w:val="20"/>
              </w:rPr>
              <w:t>100m for the financing of 9 to 12 operations</w:t>
            </w:r>
            <w:r w:rsidR="000005F4">
              <w:rPr>
                <w:rFonts w:cs="Arial"/>
                <w:color w:val="000000"/>
                <w:szCs w:val="20"/>
              </w:rPr>
              <w:t xml:space="preserve"> across the EU</w:t>
            </w:r>
            <w:r w:rsidR="000005F4" w:rsidRPr="00AF570F">
              <w:rPr>
                <w:rFonts w:cs="Arial"/>
                <w:color w:val="000000"/>
                <w:szCs w:val="20"/>
              </w:rPr>
              <w:t xml:space="preserve">, with an additional facility of EUR 10m for technical assistance. For this phase, target operations will typically have a size of </w:t>
            </w:r>
            <w:r>
              <w:rPr>
                <w:rFonts w:cs="Arial"/>
                <w:color w:val="000000"/>
                <w:szCs w:val="20"/>
              </w:rPr>
              <w:t>€</w:t>
            </w:r>
            <w:r w:rsidR="000005F4" w:rsidRPr="00AF570F">
              <w:rPr>
                <w:rFonts w:cs="Arial"/>
                <w:color w:val="000000"/>
                <w:szCs w:val="20"/>
              </w:rPr>
              <w:t>5-15m</w:t>
            </w:r>
            <w:r w:rsidR="000005F4">
              <w:t>.</w:t>
            </w:r>
          </w:p>
        </w:tc>
      </w:tr>
      <w:tr w:rsidR="000005F4" w14:paraId="3EAF965B" w14:textId="77777777" w:rsidTr="000005F4">
        <w:tc>
          <w:tcPr>
            <w:tcW w:w="1704" w:type="dxa"/>
            <w:shd w:val="clear" w:color="auto" w:fill="auto"/>
          </w:tcPr>
          <w:p w14:paraId="64F2E534" w14:textId="77777777" w:rsidR="000005F4" w:rsidRPr="00781F02" w:rsidRDefault="000005F4" w:rsidP="000005F4">
            <w:pPr>
              <w:pStyle w:val="TableTextNoSpace"/>
              <w:rPr>
                <w:b/>
              </w:rPr>
            </w:pPr>
            <w:r w:rsidRPr="00781F02">
              <w:rPr>
                <w:b/>
              </w:rPr>
              <w:t>Limitations &amp; constraints</w:t>
            </w:r>
          </w:p>
        </w:tc>
        <w:tc>
          <w:tcPr>
            <w:tcW w:w="7367" w:type="dxa"/>
            <w:shd w:val="clear" w:color="auto" w:fill="auto"/>
          </w:tcPr>
          <w:p w14:paraId="554FEF94" w14:textId="77777777" w:rsidR="000005F4" w:rsidRDefault="000005F4" w:rsidP="0069296B">
            <w:pPr>
              <w:pStyle w:val="TableBullet"/>
            </w:pPr>
            <w:r>
              <w:t>Loan finance is only appropriate for funding actions which can generate returns or cost savings and hence be able to cover repayments.</w:t>
            </w:r>
          </w:p>
          <w:p w14:paraId="76A6EBFC" w14:textId="77777777" w:rsidR="000005F4" w:rsidRDefault="000005F4" w:rsidP="0069296B">
            <w:pPr>
              <w:pStyle w:val="TableBullet"/>
            </w:pPr>
            <w:r>
              <w:t>The two public loan facilities identified above are not yet operational.</w:t>
            </w:r>
          </w:p>
          <w:p w14:paraId="7CB81FF9" w14:textId="50FC4662" w:rsidR="000005F4" w:rsidRPr="00E452A2" w:rsidRDefault="000005F4" w:rsidP="0069296B">
            <w:pPr>
              <w:pStyle w:val="TableBullet"/>
            </w:pPr>
            <w:r>
              <w:t xml:space="preserve">NCFF is targeting large-scale projects (upwards of </w:t>
            </w:r>
            <w:r w:rsidR="00F94290">
              <w:rPr>
                <w:rFonts w:cs="Arial"/>
              </w:rPr>
              <w:t>€</w:t>
            </w:r>
            <w:r>
              <w:t>5m funding), which may be inappropriate for many Natura 2000 needs.</w:t>
            </w:r>
          </w:p>
        </w:tc>
      </w:tr>
      <w:tr w:rsidR="000005F4" w14:paraId="05A533E7" w14:textId="77777777" w:rsidTr="000005F4">
        <w:trPr>
          <w:trHeight w:val="842"/>
        </w:trPr>
        <w:tc>
          <w:tcPr>
            <w:tcW w:w="1704" w:type="dxa"/>
            <w:shd w:val="clear" w:color="auto" w:fill="auto"/>
          </w:tcPr>
          <w:p w14:paraId="7128077C" w14:textId="77777777" w:rsidR="000005F4" w:rsidRDefault="000005F4" w:rsidP="000005F4">
            <w:pPr>
              <w:pStyle w:val="TableTextNoSpace"/>
              <w:rPr>
                <w:b/>
              </w:rPr>
            </w:pPr>
            <w:r w:rsidRPr="007B6DFE">
              <w:rPr>
                <w:b/>
              </w:rPr>
              <w:t>Increasing uptake &amp;</w:t>
            </w:r>
          </w:p>
          <w:p w14:paraId="27B40580" w14:textId="77777777" w:rsidR="000005F4" w:rsidRPr="009F1463" w:rsidRDefault="000005F4" w:rsidP="000005F4">
            <w:pPr>
              <w:pStyle w:val="TableTextNoSpace"/>
              <w:rPr>
                <w:b/>
              </w:rPr>
            </w:pPr>
            <w:r w:rsidRPr="007B6DFE">
              <w:rPr>
                <w:b/>
              </w:rPr>
              <w:t>integr</w:t>
            </w:r>
            <w:r>
              <w:rPr>
                <w:b/>
              </w:rPr>
              <w:t>a</w:t>
            </w:r>
            <w:r w:rsidRPr="007B6DFE">
              <w:rPr>
                <w:b/>
              </w:rPr>
              <w:t>tion</w:t>
            </w:r>
          </w:p>
        </w:tc>
        <w:tc>
          <w:tcPr>
            <w:tcW w:w="7367" w:type="dxa"/>
            <w:shd w:val="clear" w:color="auto" w:fill="auto"/>
          </w:tcPr>
          <w:p w14:paraId="4043D73E" w14:textId="77777777" w:rsidR="000005F4" w:rsidRPr="00E452A2" w:rsidRDefault="000005F4" w:rsidP="0069296B">
            <w:pPr>
              <w:pStyle w:val="TableBullet"/>
            </w:pPr>
            <w:r>
              <w:t>Technical support for business development planning. Such support is typically offered in association with public loan schemes.</w:t>
            </w:r>
          </w:p>
        </w:tc>
      </w:tr>
    </w:tbl>
    <w:p w14:paraId="2DC4D83F" w14:textId="77777777" w:rsidR="000005F4" w:rsidRDefault="000005F4" w:rsidP="000005F4">
      <w:pPr>
        <w:rPr>
          <w:rFonts w:ascii="Calibri" w:hAnsi="Calibri" w:cs="Calibri"/>
          <w:sz w:val="21"/>
          <w:szCs w:val="21"/>
        </w:rPr>
      </w:pPr>
    </w:p>
    <w:p w14:paraId="73A8AC9E" w14:textId="77777777" w:rsidR="000005F4" w:rsidRDefault="000005F4" w:rsidP="000005F4">
      <w:pPr>
        <w:pStyle w:val="Heading2NoNumb"/>
      </w:pPr>
      <w:bookmarkStart w:id="352" w:name="_Toc408094037"/>
      <w:bookmarkStart w:id="353" w:name="_Toc408138038"/>
      <w:bookmarkStart w:id="354" w:name="_Toc408851027"/>
      <w:bookmarkStart w:id="355" w:name="_Toc421880703"/>
      <w:r>
        <w:t>Marketed products</w:t>
      </w:r>
      <w:bookmarkEnd w:id="352"/>
      <w:bookmarkEnd w:id="353"/>
      <w:bookmarkEnd w:id="354"/>
      <w:bookmarkEnd w:id="355"/>
    </w:p>
    <w:tbl>
      <w:tblPr>
        <w:tblW w:w="9071" w:type="dxa"/>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Layout w:type="fixed"/>
        <w:tblCellMar>
          <w:top w:w="57" w:type="dxa"/>
          <w:left w:w="0" w:type="dxa"/>
          <w:bottom w:w="28" w:type="dxa"/>
          <w:right w:w="0" w:type="dxa"/>
        </w:tblCellMar>
        <w:tblLook w:val="0000" w:firstRow="0" w:lastRow="0" w:firstColumn="0" w:lastColumn="0" w:noHBand="0" w:noVBand="0"/>
      </w:tblPr>
      <w:tblGrid>
        <w:gridCol w:w="1704"/>
        <w:gridCol w:w="7367"/>
      </w:tblGrid>
      <w:tr w:rsidR="000005F4" w14:paraId="5AFACD49" w14:textId="77777777" w:rsidTr="000005F4">
        <w:trPr>
          <w:cantSplit/>
        </w:trPr>
        <w:tc>
          <w:tcPr>
            <w:tcW w:w="1704" w:type="dxa"/>
            <w:shd w:val="clear" w:color="auto" w:fill="auto"/>
          </w:tcPr>
          <w:p w14:paraId="28F33165" w14:textId="77777777" w:rsidR="000005F4" w:rsidRDefault="000005F4" w:rsidP="000005F4">
            <w:pPr>
              <w:pStyle w:val="TableHeading"/>
            </w:pPr>
          </w:p>
        </w:tc>
        <w:tc>
          <w:tcPr>
            <w:tcW w:w="7367" w:type="dxa"/>
            <w:shd w:val="solid" w:color="0067AB" w:fill="0067AB"/>
          </w:tcPr>
          <w:p w14:paraId="14BABD3F" w14:textId="77777777" w:rsidR="000005F4" w:rsidRDefault="000005F4" w:rsidP="000005F4">
            <w:pPr>
              <w:pStyle w:val="TableHeadingWhite"/>
            </w:pPr>
          </w:p>
        </w:tc>
      </w:tr>
      <w:tr w:rsidR="000005F4" w14:paraId="209CFC27" w14:textId="77777777" w:rsidTr="000005F4">
        <w:tc>
          <w:tcPr>
            <w:tcW w:w="1704" w:type="dxa"/>
            <w:shd w:val="clear" w:color="auto" w:fill="auto"/>
          </w:tcPr>
          <w:p w14:paraId="62A25A96" w14:textId="77777777" w:rsidR="000005F4" w:rsidRPr="00781F02" w:rsidRDefault="000005F4" w:rsidP="000005F4">
            <w:pPr>
              <w:pStyle w:val="TableTextNoSpace"/>
              <w:rPr>
                <w:b/>
              </w:rPr>
            </w:pPr>
            <w:r w:rsidRPr="00781F02">
              <w:rPr>
                <w:b/>
              </w:rPr>
              <w:t>Background &amp; relevance</w:t>
            </w:r>
          </w:p>
        </w:tc>
        <w:tc>
          <w:tcPr>
            <w:tcW w:w="7367" w:type="dxa"/>
            <w:shd w:val="clear" w:color="auto" w:fill="auto"/>
          </w:tcPr>
          <w:p w14:paraId="097A0A02" w14:textId="77777777" w:rsidR="000005F4" w:rsidRDefault="000005F4" w:rsidP="000005F4">
            <w:pPr>
              <w:pStyle w:val="TableTextNoSpace"/>
            </w:pPr>
            <w:r w:rsidRPr="009D2DBC">
              <w:t>Goods and services certified as having minimal or positive impacts on biodiversity may command premium prices and present a range of growth opportunities.</w:t>
            </w:r>
            <w:r w:rsidRPr="00080265">
              <w:t xml:space="preserve">  Biodiversity is being increasingly incorporated within standards and certification systems for a range of sectors, particularly sustainable agricultural</w:t>
            </w:r>
            <w:r>
              <w:t>, food and timber products and tourism e.g. LEAF, Marine Stewardship, FSC.</w:t>
            </w:r>
          </w:p>
          <w:p w14:paraId="29DE9637" w14:textId="77777777" w:rsidR="000005F4" w:rsidRDefault="000005F4" w:rsidP="000005F4">
            <w:pPr>
              <w:pStyle w:val="TableTextNoSpace"/>
            </w:pPr>
            <w:r>
              <w:t>OECD has defined environmental labelling as the: "</w:t>
            </w:r>
            <w:r>
              <w:rPr>
                <w:i/>
                <w:iCs/>
              </w:rPr>
              <w:t>voluntary granting of labels by a private or public body in order to inform consumers and thereby promote consumer products which are determined to be environmentally more friendly than other functionally and competitively similar products</w:t>
            </w:r>
            <w:r>
              <w:t>". International Standards Organisation identifies types:</w:t>
            </w:r>
          </w:p>
          <w:p w14:paraId="5B358B41" w14:textId="53BC8F2D" w:rsidR="000005F4" w:rsidRDefault="000005F4" w:rsidP="000005F4">
            <w:pPr>
              <w:pStyle w:val="TableBullet"/>
            </w:pPr>
            <w:r>
              <w:t>Voluntary, multiple criteria</w:t>
            </w:r>
            <w:r w:rsidR="00F94290">
              <w:t>, third</w:t>
            </w:r>
            <w:r w:rsidR="00F94290">
              <w:rPr>
                <w:vertAlign w:val="superscript"/>
              </w:rPr>
              <w:t xml:space="preserve"> </w:t>
            </w:r>
            <w:r>
              <w:t>party programs that award a licence indicating overall environmental superiority.</w:t>
            </w:r>
          </w:p>
          <w:p w14:paraId="302C1D32" w14:textId="5B0192DF" w:rsidR="000005F4" w:rsidRDefault="000005F4" w:rsidP="000005F4">
            <w:pPr>
              <w:pStyle w:val="TableBullet"/>
            </w:pPr>
            <w:r>
              <w:t xml:space="preserve">Self-declared environmental claims, made without independent </w:t>
            </w:r>
            <w:r w:rsidR="00F94290">
              <w:t xml:space="preserve">third </w:t>
            </w:r>
            <w:r>
              <w:t>party certification.</w:t>
            </w:r>
          </w:p>
          <w:p w14:paraId="2768E62D" w14:textId="78058517" w:rsidR="000005F4" w:rsidRDefault="000005F4" w:rsidP="000005F4">
            <w:pPr>
              <w:pStyle w:val="TableBullet"/>
            </w:pPr>
            <w:r>
              <w:t>Quantified information about products based on life cycle impacts (ISO 14040) or Environmental Product Declarations</w:t>
            </w:r>
            <w:r w:rsidR="00F94290">
              <w:t xml:space="preserve"> (</w:t>
            </w:r>
            <w:r>
              <w:t>EPDs</w:t>
            </w:r>
            <w:r w:rsidR="00F94290">
              <w:t>)</w:t>
            </w:r>
            <w:r>
              <w:t>.</w:t>
            </w:r>
          </w:p>
          <w:p w14:paraId="7E530C1C" w14:textId="77777777" w:rsidR="000005F4" w:rsidRPr="006C62A2" w:rsidRDefault="000005F4" w:rsidP="000005F4">
            <w:pPr>
              <w:autoSpaceDE w:val="0"/>
              <w:autoSpaceDN w:val="0"/>
              <w:adjustRightInd w:val="0"/>
              <w:spacing w:before="0" w:after="0" w:line="240" w:lineRule="auto"/>
              <w:rPr>
                <w:rFonts w:cs="Arial"/>
                <w:szCs w:val="20"/>
              </w:rPr>
            </w:pPr>
            <w:r w:rsidRPr="006C62A2">
              <w:rPr>
                <w:rFonts w:cs="Arial"/>
                <w:szCs w:val="20"/>
              </w:rPr>
              <w:t>There are a number of examples of marketed product approaches in Wales:</w:t>
            </w:r>
          </w:p>
          <w:p w14:paraId="53047E1D" w14:textId="77777777" w:rsidR="000005F4" w:rsidRDefault="000005F4" w:rsidP="000005F4">
            <w:pPr>
              <w:pStyle w:val="TableBullet"/>
            </w:pPr>
            <w:r>
              <w:t>An i</w:t>
            </w:r>
            <w:r w:rsidRPr="00876857">
              <w:t>solation berth at Holyhead Marina</w:t>
            </w:r>
            <w:r>
              <w:t xml:space="preserve"> where b</w:t>
            </w:r>
            <w:r w:rsidRPr="00876857">
              <w:t>oats hulls are cleaned without taking them out of the water</w:t>
            </w:r>
            <w:r>
              <w:t xml:space="preserve"> to remove </w:t>
            </w:r>
            <w:r w:rsidRPr="00876857">
              <w:t>the invasive sponge</w:t>
            </w:r>
            <w:r>
              <w:t>.</w:t>
            </w:r>
          </w:p>
          <w:p w14:paraId="6E6706C2" w14:textId="77777777" w:rsidR="000005F4" w:rsidRDefault="000005F4" w:rsidP="000005F4">
            <w:pPr>
              <w:pStyle w:val="TableBullet"/>
            </w:pPr>
            <w:r>
              <w:t>Salt marsh lamb, which enables appropriate grazing regimes on saltmarshes and produces a premium lamb product.</w:t>
            </w:r>
          </w:p>
          <w:p w14:paraId="017B33B8" w14:textId="77777777" w:rsidR="000005F4" w:rsidRDefault="000005F4" w:rsidP="000005F4">
            <w:pPr>
              <w:pStyle w:val="TableBullet"/>
            </w:pPr>
            <w:r>
              <w:t xml:space="preserve">Cambrian Mountains co-operative which produces premium product lamb that </w:t>
            </w:r>
            <w:r w:rsidRPr="00F94290">
              <w:rPr>
                <w:szCs w:val="20"/>
              </w:rPr>
              <w:t xml:space="preserve">is </w:t>
            </w:r>
            <w:r w:rsidRPr="0069296B">
              <w:rPr>
                <w:rFonts w:cs="Arial"/>
                <w:szCs w:val="20"/>
              </w:rPr>
              <w:t>Freedom Food-accredited.</w:t>
            </w:r>
          </w:p>
          <w:p w14:paraId="6E7BDB67" w14:textId="77777777" w:rsidR="000005F4" w:rsidRPr="00E452A2" w:rsidRDefault="000005F4" w:rsidP="000005F4">
            <w:pPr>
              <w:pStyle w:val="TableBullet"/>
            </w:pPr>
            <w:r>
              <w:t>Dyfi Biosphere, which uses the Biosphere ‘brand’ to promote the quality of local agricultural &amp; other products and tourism.</w:t>
            </w:r>
          </w:p>
        </w:tc>
      </w:tr>
      <w:tr w:rsidR="000005F4" w14:paraId="5ABCC92D" w14:textId="77777777" w:rsidTr="000005F4">
        <w:tc>
          <w:tcPr>
            <w:tcW w:w="1704" w:type="dxa"/>
            <w:shd w:val="clear" w:color="auto" w:fill="auto"/>
          </w:tcPr>
          <w:p w14:paraId="41821B3E" w14:textId="77777777" w:rsidR="000005F4" w:rsidRPr="00781F02" w:rsidRDefault="000005F4" w:rsidP="000005F4">
            <w:pPr>
              <w:pStyle w:val="TableTextNoSpace"/>
              <w:rPr>
                <w:b/>
              </w:rPr>
            </w:pPr>
            <w:r w:rsidRPr="00781F02">
              <w:rPr>
                <w:b/>
              </w:rPr>
              <w:t>Funding available</w:t>
            </w:r>
          </w:p>
        </w:tc>
        <w:tc>
          <w:tcPr>
            <w:tcW w:w="7367" w:type="dxa"/>
            <w:shd w:val="clear" w:color="auto" w:fill="auto"/>
          </w:tcPr>
          <w:p w14:paraId="375BE068" w14:textId="77777777" w:rsidR="000005F4" w:rsidRPr="00FC1F48" w:rsidRDefault="000005F4" w:rsidP="0027409A">
            <w:pPr>
              <w:autoSpaceDE w:val="0"/>
              <w:autoSpaceDN w:val="0"/>
              <w:adjustRightInd w:val="0"/>
              <w:spacing w:before="0" w:after="0" w:line="240" w:lineRule="auto"/>
              <w:ind w:left="57" w:right="57"/>
              <w:rPr>
                <w:rFonts w:cs="Arial"/>
                <w:szCs w:val="20"/>
              </w:rPr>
            </w:pPr>
            <w:r w:rsidRPr="006C62A2">
              <w:rPr>
                <w:rFonts w:cs="Arial"/>
                <w:szCs w:val="20"/>
              </w:rPr>
              <w:t>Market</w:t>
            </w:r>
            <w:r>
              <w:rPr>
                <w:rFonts w:cs="Arial"/>
                <w:szCs w:val="20"/>
              </w:rPr>
              <w:t>ed</w:t>
            </w:r>
            <w:r w:rsidRPr="006C62A2">
              <w:rPr>
                <w:rFonts w:cs="Arial"/>
                <w:szCs w:val="20"/>
              </w:rPr>
              <w:t xml:space="preserve"> products can be used as a generator of finance to be spent on management actions and as a mechanism for directly implementing conservation management actions through the production process.</w:t>
            </w:r>
          </w:p>
        </w:tc>
      </w:tr>
      <w:tr w:rsidR="000005F4" w14:paraId="6D723AE4" w14:textId="77777777" w:rsidTr="000005F4">
        <w:tc>
          <w:tcPr>
            <w:tcW w:w="1704" w:type="dxa"/>
            <w:shd w:val="clear" w:color="auto" w:fill="auto"/>
          </w:tcPr>
          <w:p w14:paraId="177EA38F" w14:textId="77777777" w:rsidR="000005F4" w:rsidRPr="00781F02" w:rsidRDefault="000005F4" w:rsidP="000005F4">
            <w:pPr>
              <w:pStyle w:val="TableTextNoSpace"/>
              <w:rPr>
                <w:b/>
              </w:rPr>
            </w:pPr>
            <w:r w:rsidRPr="00781F02">
              <w:rPr>
                <w:b/>
              </w:rPr>
              <w:t>Opportunities for Natura</w:t>
            </w:r>
            <w:r>
              <w:rPr>
                <w:b/>
              </w:rPr>
              <w:t xml:space="preserve"> 2000 </w:t>
            </w:r>
          </w:p>
        </w:tc>
        <w:tc>
          <w:tcPr>
            <w:tcW w:w="7367" w:type="dxa"/>
            <w:shd w:val="clear" w:color="auto" w:fill="auto"/>
          </w:tcPr>
          <w:p w14:paraId="7055611D" w14:textId="77777777" w:rsidR="000005F4" w:rsidRDefault="000005F4" w:rsidP="0069296B">
            <w:pPr>
              <w:pStyle w:val="Bullet1"/>
              <w:numPr>
                <w:ilvl w:val="0"/>
                <w:numId w:val="0"/>
              </w:numPr>
              <w:ind w:left="57"/>
            </w:pPr>
            <w:r>
              <w:t>Marketed products can be utilised to:</w:t>
            </w:r>
          </w:p>
          <w:p w14:paraId="167B9045" w14:textId="77777777" w:rsidR="000005F4" w:rsidRDefault="000005F4" w:rsidP="0069296B">
            <w:pPr>
              <w:pStyle w:val="TableBullet"/>
            </w:pPr>
            <w:r>
              <w:t>Enable implementation of required management. For example, a</w:t>
            </w:r>
            <w:r w:rsidRPr="00876857">
              <w:t>bandonment of grazing</w:t>
            </w:r>
            <w:r>
              <w:t>,</w:t>
            </w:r>
            <w:r w:rsidRPr="00876857">
              <w:t xml:space="preserve"> under </w:t>
            </w:r>
            <w:r>
              <w:t>and inappropriate grazing is an identified issue for Natura 2000 sites. Marketed products that generate a premium can be used to offset the additional cost of changes in grazing regimes.</w:t>
            </w:r>
          </w:p>
          <w:p w14:paraId="1D5A6EED" w14:textId="77777777" w:rsidR="000005F4" w:rsidRDefault="000005F4" w:rsidP="0069296B">
            <w:pPr>
              <w:pStyle w:val="TableBullet"/>
            </w:pPr>
            <w:r>
              <w:t>Produce funds for conservation actions. For example, many Natura 2000 sites</w:t>
            </w:r>
            <w:r w:rsidRPr="00876857">
              <w:t xml:space="preserve"> have excess biomass in form of scrub, insufficiently grazed vegetation, cut reed, (inactive) invasive species. </w:t>
            </w:r>
            <w:r>
              <w:t xml:space="preserve">Markets could be identified or created for these by-products </w:t>
            </w:r>
            <w:r w:rsidRPr="00876857">
              <w:t>e.g. animal bedding, biocarbon, power generation</w:t>
            </w:r>
            <w:r>
              <w:t>.</w:t>
            </w:r>
          </w:p>
          <w:p w14:paraId="315E34FE" w14:textId="77777777" w:rsidR="000005F4" w:rsidRDefault="000005F4" w:rsidP="0069296B">
            <w:pPr>
              <w:pStyle w:val="Bullet1"/>
              <w:numPr>
                <w:ilvl w:val="0"/>
                <w:numId w:val="0"/>
              </w:numPr>
              <w:ind w:left="397" w:hanging="340"/>
            </w:pPr>
            <w:r>
              <w:t>Labelling and certification associated with marketed products can:</w:t>
            </w:r>
          </w:p>
          <w:p w14:paraId="0623C546" w14:textId="77777777" w:rsidR="000005F4" w:rsidRDefault="000005F4" w:rsidP="0069296B">
            <w:pPr>
              <w:pStyle w:val="TableBullet"/>
            </w:pPr>
            <w:r>
              <w:t>R</w:t>
            </w:r>
            <w:r w:rsidRPr="00876857">
              <w:t xml:space="preserve">aise awareness of </w:t>
            </w:r>
            <w:r>
              <w:t>the brand as a premium product.</w:t>
            </w:r>
          </w:p>
          <w:p w14:paraId="2553CF78" w14:textId="77777777" w:rsidR="000005F4" w:rsidRDefault="000005F4" w:rsidP="0069296B">
            <w:pPr>
              <w:pStyle w:val="TableBullet"/>
            </w:pPr>
            <w:r w:rsidRPr="00876857">
              <w:t xml:space="preserve">Certification can ensure standards are met i.e. that the produce genuinely supports conservation. </w:t>
            </w:r>
          </w:p>
          <w:p w14:paraId="1B4AFB8C" w14:textId="77777777" w:rsidR="000005F4" w:rsidRDefault="000005F4" w:rsidP="0069296B">
            <w:pPr>
              <w:pStyle w:val="TableBullet"/>
            </w:pPr>
            <w:r>
              <w:t>Be location-based and/or production process-based</w:t>
            </w:r>
            <w:r w:rsidRPr="00876857">
              <w:t xml:space="preserve"> </w:t>
            </w:r>
          </w:p>
          <w:p w14:paraId="26A0F23E" w14:textId="77777777" w:rsidR="000005F4" w:rsidRDefault="000005F4" w:rsidP="0069296B">
            <w:pPr>
              <w:pStyle w:val="TableBullet"/>
            </w:pPr>
            <w:r>
              <w:t>B</w:t>
            </w:r>
            <w:r w:rsidRPr="00876857">
              <w:t xml:space="preserve">e implemented </w:t>
            </w:r>
            <w:r>
              <w:t>from location to national scale.</w:t>
            </w:r>
          </w:p>
          <w:p w14:paraId="0779F9D6" w14:textId="77777777" w:rsidR="000005F4" w:rsidRPr="00E452A2" w:rsidRDefault="000005F4" w:rsidP="0027409A">
            <w:pPr>
              <w:pStyle w:val="Bullet1"/>
              <w:numPr>
                <w:ilvl w:val="0"/>
                <w:numId w:val="0"/>
              </w:numPr>
              <w:ind w:left="57"/>
            </w:pPr>
            <w:r>
              <w:t>Where market products support increased revenues or new market opportunities, they will support local employment and rural economies.</w:t>
            </w:r>
          </w:p>
        </w:tc>
      </w:tr>
      <w:tr w:rsidR="000005F4" w14:paraId="2C623F92" w14:textId="77777777" w:rsidTr="000005F4">
        <w:tc>
          <w:tcPr>
            <w:tcW w:w="1704" w:type="dxa"/>
            <w:shd w:val="clear" w:color="auto" w:fill="auto"/>
          </w:tcPr>
          <w:p w14:paraId="524A26DA" w14:textId="77777777" w:rsidR="000005F4" w:rsidRPr="00781F02" w:rsidRDefault="000005F4" w:rsidP="000005F4">
            <w:pPr>
              <w:pStyle w:val="TableTextNoSpace"/>
              <w:rPr>
                <w:b/>
              </w:rPr>
            </w:pPr>
            <w:r w:rsidRPr="00781F02">
              <w:rPr>
                <w:b/>
              </w:rPr>
              <w:t>Limitations &amp; constraints</w:t>
            </w:r>
          </w:p>
        </w:tc>
        <w:tc>
          <w:tcPr>
            <w:tcW w:w="7367" w:type="dxa"/>
            <w:shd w:val="clear" w:color="auto" w:fill="auto"/>
          </w:tcPr>
          <w:p w14:paraId="01C153F0" w14:textId="77777777" w:rsidR="000005F4" w:rsidRDefault="000005F4" w:rsidP="0069296B">
            <w:pPr>
              <w:pStyle w:val="Bullet1"/>
              <w:numPr>
                <w:ilvl w:val="0"/>
                <w:numId w:val="0"/>
              </w:numPr>
              <w:ind w:left="397" w:hanging="340"/>
            </w:pPr>
            <w:r>
              <w:t>Demand side:</w:t>
            </w:r>
          </w:p>
          <w:p w14:paraId="70BDD063" w14:textId="77777777" w:rsidR="000005F4" w:rsidRDefault="000005F4" w:rsidP="000005F4">
            <w:pPr>
              <w:pStyle w:val="TableBullet"/>
            </w:pPr>
            <w:r>
              <w:t xml:space="preserve">Premiums may be too high for consumers </w:t>
            </w:r>
          </w:p>
          <w:p w14:paraId="3CF05AA2" w14:textId="77777777" w:rsidR="000005F4" w:rsidRDefault="000005F4" w:rsidP="000005F4">
            <w:pPr>
              <w:pStyle w:val="TableBullet"/>
            </w:pPr>
            <w:r>
              <w:t>There may be a lack of trust regarding the validity of the label and claims made.</w:t>
            </w:r>
          </w:p>
          <w:p w14:paraId="6BD1BC36" w14:textId="77777777" w:rsidR="000005F4" w:rsidRDefault="000005F4" w:rsidP="000005F4">
            <w:pPr>
              <w:pStyle w:val="TableBullet"/>
            </w:pPr>
            <w:r>
              <w:t>There may be a lack of knowledge and understanding of the merit of environmental claims</w:t>
            </w:r>
          </w:p>
          <w:p w14:paraId="682E48C5" w14:textId="77777777" w:rsidR="000005F4" w:rsidRDefault="000005F4" w:rsidP="000005F4">
            <w:pPr>
              <w:pStyle w:val="TableBullet"/>
            </w:pPr>
            <w:r>
              <w:t>Marketing of visitor locations may increase visitor numbers with negative environmental consequences.</w:t>
            </w:r>
          </w:p>
          <w:p w14:paraId="52AA8FCC" w14:textId="77777777" w:rsidR="000005F4" w:rsidRDefault="000005F4" w:rsidP="0069296B">
            <w:pPr>
              <w:pStyle w:val="Bullet1"/>
              <w:numPr>
                <w:ilvl w:val="0"/>
                <w:numId w:val="0"/>
              </w:numPr>
              <w:ind w:left="397" w:hanging="340"/>
            </w:pPr>
            <w:r>
              <w:t xml:space="preserve">Supply side: </w:t>
            </w:r>
          </w:p>
          <w:p w14:paraId="745B63F7" w14:textId="77777777" w:rsidR="000005F4" w:rsidRDefault="000005F4" w:rsidP="0027409A">
            <w:pPr>
              <w:pStyle w:val="TableBullet"/>
            </w:pPr>
            <w:r w:rsidRPr="00876857">
              <w:t xml:space="preserve">Business is constrained by what is profitable and </w:t>
            </w:r>
            <w:r>
              <w:t>there may not be alignment with what is profitable and what is required for Natura 2000 management</w:t>
            </w:r>
          </w:p>
          <w:p w14:paraId="7116F948" w14:textId="77777777" w:rsidR="000005F4" w:rsidRDefault="000005F4" w:rsidP="0027409A">
            <w:pPr>
              <w:pStyle w:val="TableBullet"/>
            </w:pPr>
            <w:r>
              <w:t xml:space="preserve">Transaction costs for small schemes may be prohibitive. This may be an issue where Natura 2000 sites are small. However co-ordinating larger schemes across multiple sites or with multiple producers may be problematic. </w:t>
            </w:r>
          </w:p>
          <w:p w14:paraId="1966376B" w14:textId="77777777" w:rsidR="000005F4" w:rsidRDefault="000005F4" w:rsidP="0027409A">
            <w:pPr>
              <w:pStyle w:val="TableBullet"/>
            </w:pPr>
            <w:r>
              <w:t>Constrained to sites with the appropriate characteristics for marketed product development.</w:t>
            </w:r>
          </w:p>
          <w:p w14:paraId="0168CBE2" w14:textId="77777777" w:rsidR="000005F4" w:rsidRPr="00E452A2" w:rsidRDefault="000005F4" w:rsidP="0027409A">
            <w:pPr>
              <w:pStyle w:val="TableBullet"/>
            </w:pPr>
            <w:r w:rsidRPr="00876857">
              <w:t xml:space="preserve">Marketing skills are required </w:t>
            </w:r>
            <w:r>
              <w:t xml:space="preserve">to develop and promote brands. </w:t>
            </w:r>
          </w:p>
        </w:tc>
      </w:tr>
      <w:tr w:rsidR="000005F4" w14:paraId="6643C1F3" w14:textId="77777777" w:rsidTr="000005F4">
        <w:trPr>
          <w:trHeight w:val="364"/>
        </w:trPr>
        <w:tc>
          <w:tcPr>
            <w:tcW w:w="1704" w:type="dxa"/>
            <w:shd w:val="clear" w:color="auto" w:fill="auto"/>
          </w:tcPr>
          <w:p w14:paraId="502D8CCC" w14:textId="77777777" w:rsidR="000005F4" w:rsidRDefault="000005F4" w:rsidP="000005F4">
            <w:pPr>
              <w:pStyle w:val="TableTextNoSpace"/>
              <w:rPr>
                <w:b/>
              </w:rPr>
            </w:pPr>
            <w:r w:rsidRPr="007B6DFE">
              <w:rPr>
                <w:b/>
              </w:rPr>
              <w:t>Increasing uptake &amp;</w:t>
            </w:r>
          </w:p>
          <w:p w14:paraId="7E7F3B65" w14:textId="77777777" w:rsidR="000005F4" w:rsidRPr="009F1463" w:rsidRDefault="000005F4" w:rsidP="000005F4">
            <w:pPr>
              <w:pStyle w:val="TableTextNoSpace"/>
              <w:rPr>
                <w:b/>
              </w:rPr>
            </w:pPr>
            <w:r w:rsidRPr="007B6DFE">
              <w:rPr>
                <w:b/>
              </w:rPr>
              <w:t>integr</w:t>
            </w:r>
            <w:r>
              <w:rPr>
                <w:b/>
              </w:rPr>
              <w:t>a</w:t>
            </w:r>
            <w:r w:rsidRPr="007B6DFE">
              <w:rPr>
                <w:b/>
              </w:rPr>
              <w:t>tion</w:t>
            </w:r>
          </w:p>
        </w:tc>
        <w:tc>
          <w:tcPr>
            <w:tcW w:w="7367" w:type="dxa"/>
            <w:shd w:val="clear" w:color="auto" w:fill="auto"/>
          </w:tcPr>
          <w:p w14:paraId="72168C92" w14:textId="77777777" w:rsidR="000005F4" w:rsidRDefault="000005F4" w:rsidP="0027409A">
            <w:pPr>
              <w:pStyle w:val="TableBullet"/>
            </w:pPr>
            <w:r>
              <w:t>Technical assistance may be offered to support business in identifying opportunities and proof of concept, advising on appropriate production processes and marketing.</w:t>
            </w:r>
          </w:p>
          <w:p w14:paraId="661BB90B" w14:textId="77777777" w:rsidR="000005F4" w:rsidRPr="001A6870" w:rsidRDefault="000005F4" w:rsidP="0027409A">
            <w:pPr>
              <w:pStyle w:val="TableBullet"/>
            </w:pPr>
            <w:r w:rsidRPr="001A6870">
              <w:t>Targeting marketed product development in clusters in order to reduce transactions costs, increase environmental effectiveness across neighbouring business, and allow product labelling to align green procurement measures between large corporations and SMEs</w:t>
            </w:r>
            <w:r>
              <w:t>.</w:t>
            </w:r>
          </w:p>
          <w:p w14:paraId="5096CC83" w14:textId="77777777" w:rsidR="000005F4" w:rsidRPr="004867CC" w:rsidRDefault="000005F4" w:rsidP="0027409A">
            <w:pPr>
              <w:pStyle w:val="TableBullet"/>
            </w:pPr>
            <w:r w:rsidRPr="004867CC">
              <w:t xml:space="preserve">Assistance in accessing finance through combinations of funding from different policies and their instruments and use of blended financial packages (involving both providing grants and loans). </w:t>
            </w:r>
            <w:r>
              <w:t>For example, a</w:t>
            </w:r>
            <w:r w:rsidRPr="004867CC">
              <w:t xml:space="preserve"> number of </w:t>
            </w:r>
            <w:r>
              <w:t xml:space="preserve">potential </w:t>
            </w:r>
            <w:r w:rsidRPr="004867CC">
              <w:t>opportunities occur in the EAFRD Rural Development Plan</w:t>
            </w:r>
            <w:r>
              <w:t>:</w:t>
            </w:r>
          </w:p>
          <w:p w14:paraId="44309E8C" w14:textId="77777777" w:rsidR="000005F4" w:rsidRPr="009037AE" w:rsidRDefault="000005F4" w:rsidP="000005F4">
            <w:pPr>
              <w:pStyle w:val="Bullet2"/>
            </w:pPr>
            <w:r w:rsidRPr="009037AE">
              <w:t xml:space="preserve">Support for businesses to encourage assurance / accreditation standards </w:t>
            </w:r>
          </w:p>
          <w:p w14:paraId="183F3C59" w14:textId="77777777" w:rsidR="000005F4" w:rsidRDefault="000005F4" w:rsidP="000005F4">
            <w:pPr>
              <w:pStyle w:val="Bullet2"/>
            </w:pPr>
            <w:r w:rsidRPr="004867CC">
              <w:t xml:space="preserve">Support for the establishment of Producer Groups </w:t>
            </w:r>
          </w:p>
          <w:p w14:paraId="4CFAF3DB" w14:textId="77777777" w:rsidR="000005F4" w:rsidRPr="004867CC" w:rsidRDefault="000005F4" w:rsidP="000005F4">
            <w:pPr>
              <w:pStyle w:val="Bullet2"/>
            </w:pPr>
            <w:r w:rsidRPr="004867CC">
              <w:t xml:space="preserve">Support for Quality Schemes </w:t>
            </w:r>
          </w:p>
          <w:p w14:paraId="5269E403" w14:textId="77777777" w:rsidR="000005F4" w:rsidRDefault="000005F4" w:rsidP="000005F4">
            <w:pPr>
              <w:pStyle w:val="Bullet2"/>
            </w:pPr>
            <w:r>
              <w:t>A</w:t>
            </w:r>
            <w:r w:rsidRPr="009037AE">
              <w:t xml:space="preserve"> flexible </w:t>
            </w:r>
            <w:r>
              <w:t xml:space="preserve">asset </w:t>
            </w:r>
            <w:r w:rsidRPr="009037AE">
              <w:t xml:space="preserve">investment scheme </w:t>
            </w:r>
            <w:r>
              <w:t>(to</w:t>
            </w:r>
            <w:r w:rsidRPr="009037AE">
              <w:t xml:space="preserve"> provide grants, loans and other innovative financial instruments</w:t>
            </w:r>
            <w:r>
              <w:t>)</w:t>
            </w:r>
            <w:r w:rsidRPr="009037AE">
              <w:t xml:space="preserve"> required for agriculture/food/forestry purposes</w:t>
            </w:r>
            <w:r>
              <w:t>,</w:t>
            </w:r>
            <w:r w:rsidRPr="009037AE">
              <w:t xml:space="preserve"> including investments in processing/marketing and/or development of agricultural products </w:t>
            </w:r>
          </w:p>
          <w:p w14:paraId="435D1D8F" w14:textId="77777777" w:rsidR="000005F4" w:rsidRPr="00E452A2" w:rsidRDefault="000005F4" w:rsidP="000005F4">
            <w:pPr>
              <w:pStyle w:val="Bullet2"/>
            </w:pPr>
            <w:r>
              <w:t>Organic farming conversion and maintenance scheme</w:t>
            </w:r>
          </w:p>
        </w:tc>
      </w:tr>
    </w:tbl>
    <w:p w14:paraId="507480A9" w14:textId="77777777" w:rsidR="000005F4" w:rsidRPr="009D2DBC" w:rsidRDefault="000005F4" w:rsidP="000005F4">
      <w:pPr>
        <w:pStyle w:val="BodyText"/>
      </w:pPr>
    </w:p>
    <w:p w14:paraId="2078B720" w14:textId="77777777" w:rsidR="000005F4" w:rsidRDefault="000005F4" w:rsidP="000005F4">
      <w:pPr>
        <w:pStyle w:val="Heading2NoNumb"/>
      </w:pPr>
      <w:bookmarkStart w:id="356" w:name="_Toc408094038"/>
      <w:bookmarkStart w:id="357" w:name="_Toc408138039"/>
      <w:bookmarkStart w:id="358" w:name="_Toc408851028"/>
      <w:bookmarkStart w:id="359" w:name="_Toc421880704"/>
      <w:r>
        <w:t>Nutrient offsetting</w:t>
      </w:r>
      <w:bookmarkEnd w:id="356"/>
      <w:bookmarkEnd w:id="357"/>
      <w:bookmarkEnd w:id="358"/>
      <w:bookmarkEnd w:id="359"/>
      <w:r>
        <w:t xml:space="preserve"> </w:t>
      </w:r>
    </w:p>
    <w:tbl>
      <w:tblPr>
        <w:tblW w:w="9071" w:type="dxa"/>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Layout w:type="fixed"/>
        <w:tblCellMar>
          <w:top w:w="57" w:type="dxa"/>
          <w:left w:w="0" w:type="dxa"/>
          <w:bottom w:w="28" w:type="dxa"/>
          <w:right w:w="0" w:type="dxa"/>
        </w:tblCellMar>
        <w:tblLook w:val="0000" w:firstRow="0" w:lastRow="0" w:firstColumn="0" w:lastColumn="0" w:noHBand="0" w:noVBand="0"/>
      </w:tblPr>
      <w:tblGrid>
        <w:gridCol w:w="1704"/>
        <w:gridCol w:w="7367"/>
      </w:tblGrid>
      <w:tr w:rsidR="000005F4" w14:paraId="0BACD88A" w14:textId="77777777" w:rsidTr="000005F4">
        <w:trPr>
          <w:cantSplit/>
        </w:trPr>
        <w:tc>
          <w:tcPr>
            <w:tcW w:w="1704" w:type="dxa"/>
            <w:shd w:val="clear" w:color="auto" w:fill="auto"/>
          </w:tcPr>
          <w:p w14:paraId="52161766" w14:textId="77777777" w:rsidR="000005F4" w:rsidRDefault="000005F4" w:rsidP="000005F4">
            <w:pPr>
              <w:pStyle w:val="TableHeading"/>
            </w:pPr>
          </w:p>
        </w:tc>
        <w:tc>
          <w:tcPr>
            <w:tcW w:w="7367" w:type="dxa"/>
            <w:shd w:val="solid" w:color="0067AB" w:fill="0067AB"/>
          </w:tcPr>
          <w:p w14:paraId="348C768D" w14:textId="77777777" w:rsidR="000005F4" w:rsidRDefault="000005F4" w:rsidP="000005F4">
            <w:pPr>
              <w:pStyle w:val="TableHeadingWhite"/>
            </w:pPr>
          </w:p>
        </w:tc>
      </w:tr>
      <w:tr w:rsidR="000005F4" w14:paraId="2B3BC77F" w14:textId="77777777" w:rsidTr="000005F4">
        <w:tc>
          <w:tcPr>
            <w:tcW w:w="1704" w:type="dxa"/>
            <w:shd w:val="clear" w:color="auto" w:fill="auto"/>
          </w:tcPr>
          <w:p w14:paraId="00FBED65" w14:textId="77777777" w:rsidR="000005F4" w:rsidRPr="00781F02" w:rsidRDefault="000005F4" w:rsidP="000005F4">
            <w:pPr>
              <w:pStyle w:val="TableTextNoSpace"/>
              <w:rPr>
                <w:b/>
              </w:rPr>
            </w:pPr>
            <w:r w:rsidRPr="00781F02">
              <w:rPr>
                <w:b/>
              </w:rPr>
              <w:t>Background &amp; relevance</w:t>
            </w:r>
          </w:p>
        </w:tc>
        <w:tc>
          <w:tcPr>
            <w:tcW w:w="7367" w:type="dxa"/>
            <w:shd w:val="clear" w:color="auto" w:fill="auto"/>
          </w:tcPr>
          <w:p w14:paraId="5BCEE533" w14:textId="77777777" w:rsidR="000005F4" w:rsidRPr="00E452A2" w:rsidRDefault="000005F4" w:rsidP="000005F4">
            <w:pPr>
              <w:pStyle w:val="TableTextNoSpace"/>
            </w:pPr>
            <w:r>
              <w:t>Nutrient management (particularly diffuse pollution) is one of the key cross-cutting issues influencing terrestrial, marine and freshwater Natura 2000 sites, and changing patterns of upland agriculture are placing increasing pressure on freshwater bodies. Offsetting approaches offer the potential to catalyse investment in terrestrial ecological restoration whilst protecting the aquatic environment</w:t>
            </w:r>
          </w:p>
        </w:tc>
      </w:tr>
      <w:tr w:rsidR="000005F4" w14:paraId="0711EAFE" w14:textId="77777777" w:rsidTr="000005F4">
        <w:tc>
          <w:tcPr>
            <w:tcW w:w="1704" w:type="dxa"/>
            <w:shd w:val="clear" w:color="auto" w:fill="auto"/>
          </w:tcPr>
          <w:p w14:paraId="2F611CA5" w14:textId="77777777" w:rsidR="000005F4" w:rsidRPr="00781F02" w:rsidRDefault="000005F4" w:rsidP="000005F4">
            <w:pPr>
              <w:pStyle w:val="TableTextNoSpace"/>
              <w:rPr>
                <w:b/>
              </w:rPr>
            </w:pPr>
            <w:r w:rsidRPr="00781F02">
              <w:rPr>
                <w:b/>
              </w:rPr>
              <w:t>Funding available</w:t>
            </w:r>
          </w:p>
        </w:tc>
        <w:tc>
          <w:tcPr>
            <w:tcW w:w="7367" w:type="dxa"/>
            <w:shd w:val="clear" w:color="auto" w:fill="auto"/>
          </w:tcPr>
          <w:p w14:paraId="3B94A0B0" w14:textId="77777777" w:rsidR="000005F4" w:rsidRDefault="000005F4" w:rsidP="000005F4">
            <w:pPr>
              <w:pStyle w:val="Bullet1"/>
              <w:numPr>
                <w:ilvl w:val="0"/>
                <w:numId w:val="0"/>
              </w:numPr>
              <w:ind w:left="340" w:hanging="340"/>
            </w:pPr>
            <w:r>
              <w:t xml:space="preserve"> Nutrient offsetting schemes are still in their infancy, but different funding models </w:t>
            </w:r>
          </w:p>
          <w:p w14:paraId="4FE542FF" w14:textId="77777777" w:rsidR="000005F4" w:rsidRDefault="000005F4" w:rsidP="000005F4">
            <w:pPr>
              <w:pStyle w:val="Bullet1"/>
              <w:numPr>
                <w:ilvl w:val="0"/>
                <w:numId w:val="0"/>
              </w:numPr>
              <w:ind w:left="340" w:hanging="340"/>
            </w:pPr>
            <w:r>
              <w:t xml:space="preserve"> are emerging: </w:t>
            </w:r>
          </w:p>
          <w:p w14:paraId="29482048" w14:textId="256BDB65" w:rsidR="000005F4" w:rsidRDefault="000005F4" w:rsidP="0069296B">
            <w:pPr>
              <w:pStyle w:val="TableBullet"/>
            </w:pPr>
            <w:r>
              <w:t>The Nature Fund funded the development of an ‘Ecobank’ linked to the Pembrokeshire Marine SAC</w:t>
            </w:r>
            <w:r w:rsidR="00CA4C1D">
              <w:t xml:space="preserve">. The </w:t>
            </w:r>
            <w:r>
              <w:t xml:space="preserve">project will incentivise habitat creation by farmers and substantial additional investment in monitoring and evidence </w:t>
            </w:r>
          </w:p>
          <w:p w14:paraId="4F0B365C" w14:textId="77777777" w:rsidR="000005F4" w:rsidRDefault="000005F4" w:rsidP="0069296B">
            <w:pPr>
              <w:pStyle w:val="TableBullet"/>
            </w:pPr>
            <w:r>
              <w:t xml:space="preserve">First Milk has recently partnered with NRW and Severn Trent Water to develop an offsetting programme for nutrients relating to a dairy site in Pembrokeshire </w:t>
            </w:r>
          </w:p>
          <w:p w14:paraId="7C3136D8" w14:textId="77777777" w:rsidR="000005F4" w:rsidRPr="00E452A2" w:rsidRDefault="000005F4" w:rsidP="0069296B">
            <w:pPr>
              <w:pStyle w:val="TableBullet"/>
            </w:pPr>
            <w:r>
              <w:t>Benefits to the aquatic environment could point to eligibility for Water Framework Directive linked funds</w:t>
            </w:r>
          </w:p>
        </w:tc>
      </w:tr>
      <w:tr w:rsidR="000005F4" w14:paraId="260451D2" w14:textId="77777777" w:rsidTr="000005F4">
        <w:tc>
          <w:tcPr>
            <w:tcW w:w="1704" w:type="dxa"/>
            <w:shd w:val="clear" w:color="auto" w:fill="auto"/>
          </w:tcPr>
          <w:p w14:paraId="5570C2C0" w14:textId="77777777" w:rsidR="000005F4" w:rsidRPr="00781F02" w:rsidRDefault="000005F4" w:rsidP="000005F4">
            <w:pPr>
              <w:pStyle w:val="TableTextNoSpace"/>
              <w:rPr>
                <w:b/>
              </w:rPr>
            </w:pPr>
            <w:r w:rsidRPr="00781F02">
              <w:rPr>
                <w:b/>
              </w:rPr>
              <w:t>Opportunities for Natura</w:t>
            </w:r>
            <w:r>
              <w:rPr>
                <w:b/>
              </w:rPr>
              <w:t xml:space="preserve"> 2000 </w:t>
            </w:r>
          </w:p>
        </w:tc>
        <w:tc>
          <w:tcPr>
            <w:tcW w:w="7367" w:type="dxa"/>
            <w:shd w:val="clear" w:color="auto" w:fill="auto"/>
          </w:tcPr>
          <w:p w14:paraId="61EC2D98" w14:textId="77777777" w:rsidR="000005F4" w:rsidRDefault="000005F4" w:rsidP="0069296B">
            <w:pPr>
              <w:pStyle w:val="TableBullet"/>
            </w:pPr>
            <w:r>
              <w:t xml:space="preserve">Offsetting can spur major investment in restoration capital works </w:t>
            </w:r>
          </w:p>
          <w:p w14:paraId="3C9E04FF" w14:textId="77777777" w:rsidR="000005F4" w:rsidRDefault="000005F4" w:rsidP="0069296B">
            <w:pPr>
              <w:pStyle w:val="TableBullet"/>
            </w:pPr>
            <w:r>
              <w:t>In light of the sensitivity of many Natura 2000 features, offsetting offers a pragmatic means for achieving targeted reductions of nutrient loading into these priority habitats, compensated for by increased nutrient loads elsewhere</w:t>
            </w:r>
          </w:p>
          <w:p w14:paraId="1532903E" w14:textId="77777777" w:rsidR="000005F4" w:rsidRDefault="000005F4" w:rsidP="0069296B">
            <w:pPr>
              <w:pStyle w:val="TableBullet"/>
            </w:pPr>
            <w:r>
              <w:t xml:space="preserve">This represents a cost-effective solution to water quality management </w:t>
            </w:r>
          </w:p>
          <w:p w14:paraId="4FD459B0" w14:textId="77777777" w:rsidR="000005F4" w:rsidRDefault="000005F4" w:rsidP="0069296B">
            <w:pPr>
              <w:pStyle w:val="TableBullet"/>
            </w:pPr>
            <w:r>
              <w:t xml:space="preserve">Most approaches strengthen engagement with agricultural stakeholders </w:t>
            </w:r>
          </w:p>
          <w:p w14:paraId="20819380" w14:textId="77777777" w:rsidR="000005F4" w:rsidRPr="00E452A2" w:rsidRDefault="000005F4" w:rsidP="0069296B">
            <w:pPr>
              <w:pStyle w:val="TableBullet"/>
            </w:pPr>
            <w:r>
              <w:t xml:space="preserve">Offsetting can also strengthen the evidence base for marine SACs </w:t>
            </w:r>
          </w:p>
        </w:tc>
      </w:tr>
      <w:tr w:rsidR="000005F4" w14:paraId="7D93BE57" w14:textId="77777777" w:rsidTr="000005F4">
        <w:tc>
          <w:tcPr>
            <w:tcW w:w="1704" w:type="dxa"/>
            <w:shd w:val="clear" w:color="auto" w:fill="auto"/>
          </w:tcPr>
          <w:p w14:paraId="0EC3A13C" w14:textId="77777777" w:rsidR="000005F4" w:rsidRPr="00781F02" w:rsidRDefault="000005F4" w:rsidP="000005F4">
            <w:pPr>
              <w:pStyle w:val="TableTextNoSpace"/>
              <w:rPr>
                <w:b/>
              </w:rPr>
            </w:pPr>
            <w:r w:rsidRPr="00781F02">
              <w:rPr>
                <w:b/>
              </w:rPr>
              <w:t>Limitations &amp; constraints</w:t>
            </w:r>
          </w:p>
        </w:tc>
        <w:tc>
          <w:tcPr>
            <w:tcW w:w="7367" w:type="dxa"/>
            <w:shd w:val="clear" w:color="auto" w:fill="auto"/>
          </w:tcPr>
          <w:p w14:paraId="020D3A44" w14:textId="77777777" w:rsidR="000005F4" w:rsidRDefault="000005F4" w:rsidP="0069296B">
            <w:pPr>
              <w:pStyle w:val="TableBullet"/>
            </w:pPr>
            <w:r>
              <w:t xml:space="preserve">Offsetting depends on active cooperation from local farmers </w:t>
            </w:r>
          </w:p>
          <w:p w14:paraId="5080F069" w14:textId="77777777" w:rsidR="000005F4" w:rsidRPr="00E452A2" w:rsidRDefault="000005F4" w:rsidP="0069296B">
            <w:pPr>
              <w:pStyle w:val="TableBullet"/>
            </w:pPr>
            <w:r>
              <w:t xml:space="preserve"> Most schemes require up-front capital to develop offset pools </w:t>
            </w:r>
          </w:p>
        </w:tc>
      </w:tr>
      <w:tr w:rsidR="000005F4" w14:paraId="7B08A1BE" w14:textId="77777777" w:rsidTr="000005F4">
        <w:tc>
          <w:tcPr>
            <w:tcW w:w="1704" w:type="dxa"/>
            <w:shd w:val="clear" w:color="auto" w:fill="auto"/>
          </w:tcPr>
          <w:p w14:paraId="27FA0A6A" w14:textId="77777777" w:rsidR="000005F4" w:rsidRDefault="000005F4" w:rsidP="000005F4">
            <w:pPr>
              <w:pStyle w:val="TableTextNoSpace"/>
              <w:rPr>
                <w:b/>
              </w:rPr>
            </w:pPr>
            <w:r w:rsidRPr="007B6DFE">
              <w:rPr>
                <w:b/>
              </w:rPr>
              <w:t>Increasing uptake &amp;</w:t>
            </w:r>
          </w:p>
          <w:p w14:paraId="3E6E5342" w14:textId="77777777" w:rsidR="000005F4" w:rsidRPr="009F1463" w:rsidRDefault="000005F4" w:rsidP="000005F4">
            <w:pPr>
              <w:pStyle w:val="TableTextNoSpace"/>
              <w:rPr>
                <w:b/>
              </w:rPr>
            </w:pPr>
            <w:r w:rsidRPr="007B6DFE">
              <w:rPr>
                <w:b/>
              </w:rPr>
              <w:t>integr</w:t>
            </w:r>
            <w:r>
              <w:rPr>
                <w:b/>
              </w:rPr>
              <w:t>a</w:t>
            </w:r>
            <w:r w:rsidRPr="007B6DFE">
              <w:rPr>
                <w:b/>
              </w:rPr>
              <w:t>tion</w:t>
            </w:r>
          </w:p>
        </w:tc>
        <w:tc>
          <w:tcPr>
            <w:tcW w:w="7367" w:type="dxa"/>
            <w:shd w:val="clear" w:color="auto" w:fill="auto"/>
          </w:tcPr>
          <w:p w14:paraId="297CE125" w14:textId="77777777" w:rsidR="000005F4" w:rsidRDefault="000005F4" w:rsidP="0069296B">
            <w:pPr>
              <w:pStyle w:val="TableBullet"/>
            </w:pPr>
            <w:r>
              <w:t>Capital investment in ecobanks and other offset pools</w:t>
            </w:r>
          </w:p>
          <w:p w14:paraId="36D61DEF" w14:textId="77777777" w:rsidR="000005F4" w:rsidRDefault="000005F4" w:rsidP="0069296B">
            <w:pPr>
              <w:pStyle w:val="TableBullet"/>
            </w:pPr>
            <w:r>
              <w:t>Engagement with major effluent producers (eg. poultry sector)</w:t>
            </w:r>
          </w:p>
          <w:p w14:paraId="4F473D54" w14:textId="77777777" w:rsidR="000005F4" w:rsidRPr="00E452A2" w:rsidRDefault="000005F4" w:rsidP="0069296B">
            <w:pPr>
              <w:pStyle w:val="TableBullet"/>
            </w:pPr>
            <w:r>
              <w:t xml:space="preserve">Closer engagement with water companies and WFD funds </w:t>
            </w:r>
          </w:p>
        </w:tc>
      </w:tr>
    </w:tbl>
    <w:p w14:paraId="1531FB40" w14:textId="77777777" w:rsidR="000005F4" w:rsidRDefault="000005F4" w:rsidP="0069296B">
      <w:pPr>
        <w:pStyle w:val="Heading2NoNumb"/>
      </w:pPr>
      <w:bookmarkStart w:id="360" w:name="_Toc408094039"/>
      <w:bookmarkStart w:id="361" w:name="_Toc408138040"/>
      <w:bookmarkStart w:id="362" w:name="_Toc408851029"/>
      <w:bookmarkStart w:id="363" w:name="_Toc421880705"/>
      <w:r>
        <w:t>Payments for Ecosystem Services (PES)</w:t>
      </w:r>
      <w:bookmarkEnd w:id="360"/>
      <w:bookmarkEnd w:id="361"/>
      <w:bookmarkEnd w:id="362"/>
      <w:bookmarkEnd w:id="363"/>
    </w:p>
    <w:tbl>
      <w:tblPr>
        <w:tblW w:w="9071" w:type="dxa"/>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Layout w:type="fixed"/>
        <w:tblCellMar>
          <w:top w:w="57" w:type="dxa"/>
          <w:left w:w="0" w:type="dxa"/>
          <w:bottom w:w="28" w:type="dxa"/>
          <w:right w:w="0" w:type="dxa"/>
        </w:tblCellMar>
        <w:tblLook w:val="0000" w:firstRow="0" w:lastRow="0" w:firstColumn="0" w:lastColumn="0" w:noHBand="0" w:noVBand="0"/>
      </w:tblPr>
      <w:tblGrid>
        <w:gridCol w:w="1704"/>
        <w:gridCol w:w="7367"/>
      </w:tblGrid>
      <w:tr w:rsidR="000005F4" w14:paraId="2BD82C1A" w14:textId="77777777" w:rsidTr="000005F4">
        <w:trPr>
          <w:cantSplit/>
        </w:trPr>
        <w:tc>
          <w:tcPr>
            <w:tcW w:w="1704" w:type="dxa"/>
            <w:shd w:val="clear" w:color="auto" w:fill="auto"/>
          </w:tcPr>
          <w:p w14:paraId="3980783A" w14:textId="77777777" w:rsidR="000005F4" w:rsidRDefault="000005F4" w:rsidP="0069296B">
            <w:pPr>
              <w:pStyle w:val="TableHeading"/>
              <w:keepNext/>
            </w:pPr>
          </w:p>
        </w:tc>
        <w:tc>
          <w:tcPr>
            <w:tcW w:w="7367" w:type="dxa"/>
            <w:shd w:val="solid" w:color="0067AB" w:fill="0067AB"/>
          </w:tcPr>
          <w:p w14:paraId="109128D5" w14:textId="77777777" w:rsidR="000005F4" w:rsidRDefault="000005F4" w:rsidP="0069296B">
            <w:pPr>
              <w:pStyle w:val="TableHeadingWhite"/>
              <w:keepNext/>
            </w:pPr>
          </w:p>
        </w:tc>
      </w:tr>
      <w:tr w:rsidR="000005F4" w14:paraId="04490853" w14:textId="77777777" w:rsidTr="000005F4">
        <w:tc>
          <w:tcPr>
            <w:tcW w:w="1704" w:type="dxa"/>
            <w:shd w:val="clear" w:color="auto" w:fill="auto"/>
          </w:tcPr>
          <w:p w14:paraId="1F20A82E" w14:textId="77777777" w:rsidR="000005F4" w:rsidRPr="00781F02" w:rsidRDefault="000005F4" w:rsidP="0069296B">
            <w:pPr>
              <w:pStyle w:val="TableTextNoSpace"/>
              <w:keepNext/>
              <w:rPr>
                <w:b/>
              </w:rPr>
            </w:pPr>
            <w:r w:rsidRPr="00781F02">
              <w:rPr>
                <w:b/>
              </w:rPr>
              <w:t>Background &amp; relevance</w:t>
            </w:r>
          </w:p>
        </w:tc>
        <w:tc>
          <w:tcPr>
            <w:tcW w:w="7367" w:type="dxa"/>
            <w:shd w:val="clear" w:color="auto" w:fill="auto"/>
          </w:tcPr>
          <w:p w14:paraId="42E0B22B" w14:textId="135215A6" w:rsidR="000005F4" w:rsidRDefault="000005F4" w:rsidP="0069296B">
            <w:pPr>
              <w:pStyle w:val="TableTextNoSpace"/>
              <w:keepNext/>
              <w:rPr>
                <w:szCs w:val="20"/>
              </w:rPr>
            </w:pPr>
            <w:r w:rsidRPr="00691C0D">
              <w:rPr>
                <w:szCs w:val="20"/>
              </w:rPr>
              <w:t xml:space="preserve">A PES scheme can be used to encourage the protection and enhancement of ecosystem services through a voluntary transaction between the provider of the service and a beneficiary. Service providers are typically land-owners and managers. Beneficiaries may be specific e.g. a water company, or general e.g. society. The ecosystem protection/enhancement is secured by paying the providers for the ecosystems service, for which they </w:t>
            </w:r>
            <w:r>
              <w:rPr>
                <w:szCs w:val="20"/>
              </w:rPr>
              <w:t xml:space="preserve">would otherwise </w:t>
            </w:r>
            <w:r w:rsidRPr="00691C0D">
              <w:rPr>
                <w:szCs w:val="20"/>
              </w:rPr>
              <w:t xml:space="preserve">receive no payment. </w:t>
            </w:r>
            <w:r>
              <w:rPr>
                <w:szCs w:val="20"/>
              </w:rPr>
              <w:t xml:space="preserve">This encourages positive management that benefits ecosystems, and discourages activities with negative impacts </w:t>
            </w:r>
            <w:r w:rsidRPr="00691C0D">
              <w:rPr>
                <w:szCs w:val="20"/>
              </w:rPr>
              <w:t>(</w:t>
            </w:r>
            <w:r w:rsidR="00CA4C1D">
              <w:rPr>
                <w:szCs w:val="20"/>
              </w:rPr>
              <w:t>e.g.</w:t>
            </w:r>
            <w:r w:rsidRPr="00691C0D">
              <w:rPr>
                <w:szCs w:val="20"/>
              </w:rPr>
              <w:t xml:space="preserve"> maintain a forest for its watershed management services rather than fell its trees for timber</w:t>
            </w:r>
            <w:r>
              <w:rPr>
                <w:szCs w:val="20"/>
              </w:rPr>
              <w:t>)</w:t>
            </w:r>
            <w:r w:rsidRPr="00762175">
              <w:rPr>
                <w:szCs w:val="20"/>
              </w:rPr>
              <w:t>. Schemes can be split into public payment schemes to encourage provision of ecosystem services and privately-organised deals in which individual beneficiaries of ecosystem services contract directly with landowners.</w:t>
            </w:r>
          </w:p>
          <w:p w14:paraId="41200412" w14:textId="77777777" w:rsidR="000005F4" w:rsidRPr="00762175" w:rsidRDefault="000005F4" w:rsidP="0069296B">
            <w:pPr>
              <w:pStyle w:val="TableTextNoSpace"/>
              <w:keepNext/>
              <w:rPr>
                <w:sz w:val="22"/>
                <w:szCs w:val="22"/>
              </w:rPr>
            </w:pPr>
            <w:r>
              <w:rPr>
                <w:szCs w:val="20"/>
              </w:rPr>
              <w:t>There are a limited number of examples of PES schemes in Wales (excluding Glastir agri-</w:t>
            </w:r>
            <w:r w:rsidRPr="00B921E4">
              <w:rPr>
                <w:szCs w:val="20"/>
              </w:rPr>
              <w:t xml:space="preserve">environment scheme, which can be classified as a form of PES). </w:t>
            </w:r>
            <w:r>
              <w:rPr>
                <w:szCs w:val="20"/>
              </w:rPr>
              <w:t xml:space="preserve">One </w:t>
            </w:r>
            <w:r w:rsidRPr="00B921E4">
              <w:rPr>
                <w:szCs w:val="20"/>
              </w:rPr>
              <w:t>example</w:t>
            </w:r>
            <w:r>
              <w:rPr>
                <w:szCs w:val="20"/>
              </w:rPr>
              <w:t xml:space="preserve"> is</w:t>
            </w:r>
            <w:r w:rsidRPr="00B921E4">
              <w:rPr>
                <w:szCs w:val="20"/>
              </w:rPr>
              <w:t xml:space="preserve"> t</w:t>
            </w:r>
            <w:r w:rsidRPr="00E32E98">
              <w:rPr>
                <w:szCs w:val="20"/>
              </w:rPr>
              <w:t>he Pumlumon Project in the Cambrian mountains led by the Montgomeryshire Wildlife Trust</w:t>
            </w:r>
          </w:p>
        </w:tc>
      </w:tr>
      <w:tr w:rsidR="000005F4" w14:paraId="124DDD8B" w14:textId="77777777" w:rsidTr="000005F4">
        <w:tc>
          <w:tcPr>
            <w:tcW w:w="1704" w:type="dxa"/>
            <w:shd w:val="clear" w:color="auto" w:fill="auto"/>
          </w:tcPr>
          <w:p w14:paraId="00D10D35" w14:textId="77777777" w:rsidR="000005F4" w:rsidRPr="00781F02" w:rsidRDefault="000005F4" w:rsidP="000005F4">
            <w:pPr>
              <w:pStyle w:val="TableTextNoSpace"/>
              <w:rPr>
                <w:b/>
              </w:rPr>
            </w:pPr>
            <w:r w:rsidRPr="00781F02">
              <w:rPr>
                <w:b/>
              </w:rPr>
              <w:t>Funding available</w:t>
            </w:r>
          </w:p>
        </w:tc>
        <w:tc>
          <w:tcPr>
            <w:tcW w:w="7367" w:type="dxa"/>
            <w:shd w:val="clear" w:color="auto" w:fill="auto"/>
          </w:tcPr>
          <w:p w14:paraId="6EF44E71" w14:textId="77777777" w:rsidR="000005F4" w:rsidRDefault="000005F4" w:rsidP="000005F4">
            <w:pPr>
              <w:pStyle w:val="TableBullet"/>
            </w:pPr>
            <w:r>
              <w:t>A PES scheme is both a source of funding and a management mechanism. As a generator of funding, the scale available will be commensurate to the benefits delivered and/or the finance required to secure the protection/enhancement of the ecosystem for the service of relevance. The overall funds generated will depend on the number and scale of agreements established. There are no known meaningful privately-organised biodiversity-PES schemes currently operational in Wales</w:t>
            </w:r>
            <w:r>
              <w:rPr>
                <w:rStyle w:val="FootnoteReference"/>
              </w:rPr>
              <w:footnoteReference w:id="4"/>
            </w:r>
            <w:r>
              <w:t>.</w:t>
            </w:r>
          </w:p>
          <w:p w14:paraId="2D723AFE" w14:textId="77777777" w:rsidR="000005F4" w:rsidRPr="00E452A2" w:rsidRDefault="000005F4" w:rsidP="000005F4">
            <w:pPr>
              <w:pStyle w:val="TableBullet"/>
            </w:pPr>
            <w:r>
              <w:t>Private PES schemes are not widely established in the UK, and setting up a scheme can require significant upfront costs, to develop the concept, compile the necessary evidence, match buyers and sellers, and establish a basis for transactions. PES therefore tend to have significant initial funding needs. Funding sources could potentially include: public sector (e.g. NRW), NGOs (e.g. RSPB) and corporate sponsorship (e.g. water companies).</w:t>
            </w:r>
          </w:p>
        </w:tc>
      </w:tr>
      <w:tr w:rsidR="000005F4" w14:paraId="56056AFC" w14:textId="77777777" w:rsidTr="000005F4">
        <w:tc>
          <w:tcPr>
            <w:tcW w:w="1704" w:type="dxa"/>
            <w:shd w:val="clear" w:color="auto" w:fill="auto"/>
          </w:tcPr>
          <w:p w14:paraId="5038EAF9" w14:textId="77777777" w:rsidR="000005F4" w:rsidRPr="00781F02" w:rsidRDefault="000005F4" w:rsidP="000005F4">
            <w:pPr>
              <w:pStyle w:val="TableTextNoSpace"/>
              <w:rPr>
                <w:b/>
              </w:rPr>
            </w:pPr>
            <w:r w:rsidRPr="00781F02">
              <w:rPr>
                <w:b/>
              </w:rPr>
              <w:t>Opportunities for Natura</w:t>
            </w:r>
            <w:r>
              <w:rPr>
                <w:b/>
              </w:rPr>
              <w:t xml:space="preserve"> 2000 </w:t>
            </w:r>
          </w:p>
        </w:tc>
        <w:tc>
          <w:tcPr>
            <w:tcW w:w="7367" w:type="dxa"/>
            <w:shd w:val="clear" w:color="auto" w:fill="auto"/>
          </w:tcPr>
          <w:p w14:paraId="329B2541" w14:textId="77777777" w:rsidR="000005F4" w:rsidRDefault="000005F4" w:rsidP="0069296B">
            <w:pPr>
              <w:pStyle w:val="TableBullet"/>
            </w:pPr>
            <w:r>
              <w:t>Natura 2000 sites deliver significant ecosystem services, and have the potential to raise additional payments from beneficiaries such as water companies and carbon markets.  This could help to finance habitat restoration and management in particular.</w:t>
            </w:r>
          </w:p>
          <w:p w14:paraId="04F0FD71" w14:textId="77777777" w:rsidR="000005F4" w:rsidRDefault="000005F4" w:rsidP="0069296B">
            <w:pPr>
              <w:pStyle w:val="TableBullet"/>
            </w:pPr>
            <w:r>
              <w:t xml:space="preserve">PES is appropriate for providing for ongoing management actions. However this will be subject to the specifics of individual PES contracts - </w:t>
            </w:r>
            <w:r>
              <w:rPr>
                <w:szCs w:val="20"/>
              </w:rPr>
              <w:t>contractual arrangements need to reflect the long time frames required, property rights and inherent environmental complexities and uncertainty.</w:t>
            </w:r>
          </w:p>
          <w:p w14:paraId="2C378ED3" w14:textId="77777777" w:rsidR="000005F4" w:rsidRDefault="000005F4" w:rsidP="0069296B">
            <w:pPr>
              <w:pStyle w:val="TableBullet"/>
            </w:pPr>
            <w:r>
              <w:t>Of three areas identified by Cascade (2014) as being most appropriate for PES, two are relevant for Natura 2000 sites and issues and risks that they face:</w:t>
            </w:r>
          </w:p>
          <w:p w14:paraId="6A6F0606" w14:textId="77777777" w:rsidR="000005F4" w:rsidRPr="003C1089" w:rsidRDefault="000005F4" w:rsidP="000005F4">
            <w:pPr>
              <w:pStyle w:val="TableNumbList"/>
              <w:numPr>
                <w:ilvl w:val="0"/>
                <w:numId w:val="28"/>
              </w:numPr>
              <w:rPr>
                <w:sz w:val="22"/>
              </w:rPr>
            </w:pPr>
            <w:r w:rsidRPr="003C1089">
              <w:rPr>
                <w:sz w:val="20"/>
              </w:rPr>
              <w:t xml:space="preserve">water management in terms of flood risk management and water quality/quantity improvements </w:t>
            </w:r>
          </w:p>
          <w:p w14:paraId="4046F80F" w14:textId="77777777" w:rsidR="000005F4" w:rsidRPr="003C1089" w:rsidRDefault="000005F4" w:rsidP="000005F4">
            <w:pPr>
              <w:pStyle w:val="TableNumbList"/>
              <w:numPr>
                <w:ilvl w:val="0"/>
                <w:numId w:val="28"/>
              </w:numPr>
              <w:rPr>
                <w:sz w:val="22"/>
              </w:rPr>
            </w:pPr>
            <w:r w:rsidRPr="003C1089">
              <w:rPr>
                <w:sz w:val="20"/>
              </w:rPr>
              <w:t>land management to improve wild species diversity, fisheries and pollination</w:t>
            </w:r>
          </w:p>
          <w:p w14:paraId="7DA73628" w14:textId="77777777" w:rsidR="000005F4" w:rsidRPr="004C0706" w:rsidRDefault="000005F4" w:rsidP="000005F4">
            <w:pPr>
              <w:pStyle w:val="TableNumbList"/>
              <w:numPr>
                <w:ilvl w:val="0"/>
                <w:numId w:val="0"/>
              </w:numPr>
              <w:rPr>
                <w:sz w:val="20"/>
              </w:rPr>
            </w:pPr>
          </w:p>
          <w:p w14:paraId="12D58D27" w14:textId="77777777" w:rsidR="000005F4" w:rsidRPr="00B921E4" w:rsidRDefault="000005F4" w:rsidP="000005F4">
            <w:pPr>
              <w:pStyle w:val="TableBullet"/>
            </w:pPr>
            <w:r>
              <w:t>PES schemes are well suited to working at a landscape and catchment level.</w:t>
            </w:r>
          </w:p>
          <w:p w14:paraId="2594C4F2" w14:textId="77777777" w:rsidR="000005F4" w:rsidRPr="00972498" w:rsidRDefault="000005F4" w:rsidP="000005F4">
            <w:pPr>
              <w:pStyle w:val="TableBullet"/>
              <w:rPr>
                <w:szCs w:val="20"/>
              </w:rPr>
            </w:pPr>
            <w:r w:rsidRPr="00E32E98">
              <w:rPr>
                <w:szCs w:val="20"/>
              </w:rPr>
              <w:t>For water quality and biodiversity, appropriate interventions will depend on the location and aims of the scheme and could include upland peatland management, changing agricultural practices and habitat restoration. A PES scheme should bring additional benefits to those already delivered through established schemes such as Glastir.</w:t>
            </w:r>
          </w:p>
          <w:p w14:paraId="57543F18" w14:textId="77777777" w:rsidR="000005F4" w:rsidRPr="00E452A2" w:rsidRDefault="000005F4" w:rsidP="000005F4">
            <w:pPr>
              <w:pStyle w:val="TableBullet"/>
            </w:pPr>
            <w:r>
              <w:t>With regard the ecosystem approach, there are three emerging NRW Natural Resource Management Trial Areas, and a further seven area based trials to be run by Welsh Government across specific Nature Action Zones. However, whilst their main purpose is to implement the ecosystem approach to environmental management, there is scope for development of pilot PES schemes as part of this. However, a simple mapping exercise (Cascade, 2014) found that there is very limited, and only peripheral overlap between these areas and Natura 2000 sites, which limits their direct relevance for Natura 2000.</w:t>
            </w:r>
          </w:p>
        </w:tc>
      </w:tr>
      <w:tr w:rsidR="000005F4" w14:paraId="18797378" w14:textId="77777777" w:rsidTr="000005F4">
        <w:tc>
          <w:tcPr>
            <w:tcW w:w="1704" w:type="dxa"/>
            <w:shd w:val="clear" w:color="auto" w:fill="auto"/>
          </w:tcPr>
          <w:p w14:paraId="28E63BA3" w14:textId="77777777" w:rsidR="000005F4" w:rsidRPr="00781F02" w:rsidRDefault="000005F4" w:rsidP="000005F4">
            <w:pPr>
              <w:pStyle w:val="TableTextNoSpace"/>
              <w:rPr>
                <w:b/>
              </w:rPr>
            </w:pPr>
            <w:r w:rsidRPr="00781F02">
              <w:rPr>
                <w:b/>
              </w:rPr>
              <w:t>Limitations &amp; constraints</w:t>
            </w:r>
          </w:p>
        </w:tc>
        <w:tc>
          <w:tcPr>
            <w:tcW w:w="7367" w:type="dxa"/>
            <w:shd w:val="clear" w:color="auto" w:fill="auto"/>
          </w:tcPr>
          <w:p w14:paraId="238A99E2" w14:textId="77777777" w:rsidR="000005F4" w:rsidRDefault="000005F4" w:rsidP="000005F4">
            <w:pPr>
              <w:pStyle w:val="TableBullet"/>
              <w:numPr>
                <w:ilvl w:val="0"/>
                <w:numId w:val="0"/>
              </w:numPr>
              <w:ind w:left="57"/>
              <w:rPr>
                <w:szCs w:val="20"/>
              </w:rPr>
            </w:pPr>
            <w:r>
              <w:rPr>
                <w:szCs w:val="20"/>
              </w:rPr>
              <w:t>There are a variety of potential limitations and constraints, the most significant and relevant regarding use for Natura 2000 are summarised below:</w:t>
            </w:r>
          </w:p>
          <w:p w14:paraId="173E3963" w14:textId="33EBBC50" w:rsidR="000005F4" w:rsidRDefault="000005F4" w:rsidP="000005F4">
            <w:pPr>
              <w:pStyle w:val="TableBullet"/>
              <w:rPr>
                <w:szCs w:val="20"/>
              </w:rPr>
            </w:pPr>
            <w:r>
              <w:rPr>
                <w:szCs w:val="20"/>
              </w:rPr>
              <w:t xml:space="preserve">Despite advances, private </w:t>
            </w:r>
            <w:r w:rsidRPr="00B86E24">
              <w:rPr>
                <w:szCs w:val="20"/>
              </w:rPr>
              <w:t xml:space="preserve">PES </w:t>
            </w:r>
            <w:r>
              <w:rPr>
                <w:szCs w:val="20"/>
              </w:rPr>
              <w:t>schemes are</w:t>
            </w:r>
            <w:r w:rsidRPr="00B86E24">
              <w:rPr>
                <w:szCs w:val="20"/>
              </w:rPr>
              <w:t xml:space="preserve"> not yet an established</w:t>
            </w:r>
            <w:r>
              <w:rPr>
                <w:szCs w:val="20"/>
              </w:rPr>
              <w:t xml:space="preserve"> approach in Wales</w:t>
            </w:r>
            <w:r w:rsidRPr="00B86E24">
              <w:rPr>
                <w:szCs w:val="20"/>
              </w:rPr>
              <w:t xml:space="preserve"> with current activity focussed on developing national implementation strategies and frameworks and undertaking pilots.</w:t>
            </w:r>
            <w:r w:rsidRPr="004C0706">
              <w:rPr>
                <w:szCs w:val="20"/>
              </w:rPr>
              <w:t xml:space="preserve"> </w:t>
            </w:r>
            <w:r w:rsidRPr="00E34127">
              <w:rPr>
                <w:szCs w:val="20"/>
              </w:rPr>
              <w:t xml:space="preserve">There are a </w:t>
            </w:r>
            <w:r w:rsidRPr="004C0706">
              <w:rPr>
                <w:szCs w:val="20"/>
              </w:rPr>
              <w:t xml:space="preserve">number of issues that need to be addressed in order to enable broader implementation that government organisations need to address to prepare the ground for PES agreements and they are largely not currently in place in Wales (Cascade, 2014). In the short term PES is therefore unlikely to provide a significant opportunity for delivering Natura 2000 needs. </w:t>
            </w:r>
          </w:p>
          <w:p w14:paraId="492C4CFA" w14:textId="75A42898" w:rsidR="000005F4" w:rsidRDefault="000005F4" w:rsidP="000005F4">
            <w:pPr>
              <w:pStyle w:val="TableBullet"/>
              <w:rPr>
                <w:szCs w:val="20"/>
              </w:rPr>
            </w:pPr>
            <w:r>
              <w:rPr>
                <w:szCs w:val="20"/>
              </w:rPr>
              <w:t xml:space="preserve">It can difficult to identify and quantify the services that are being provided – </w:t>
            </w:r>
            <w:r w:rsidR="00392544">
              <w:rPr>
                <w:szCs w:val="20"/>
              </w:rPr>
              <w:t xml:space="preserve">particularly </w:t>
            </w:r>
            <w:r>
              <w:rPr>
                <w:szCs w:val="20"/>
              </w:rPr>
              <w:t>in the marine environment. Establishing PES based on inputs rather than outputs can circumvent this, however this reduces certainty for the buyer and may thereby be insufficient.</w:t>
            </w:r>
          </w:p>
          <w:p w14:paraId="4391EDA2" w14:textId="280365CA" w:rsidR="000005F4" w:rsidRPr="00B921E4" w:rsidRDefault="000005F4" w:rsidP="000005F4">
            <w:pPr>
              <w:pStyle w:val="TableBullet"/>
              <w:rPr>
                <w:rFonts w:cs="Arial"/>
                <w:szCs w:val="20"/>
              </w:rPr>
            </w:pPr>
            <w:r>
              <w:t xml:space="preserve">Where services are </w:t>
            </w:r>
            <w:r w:rsidR="006245F7">
              <w:t>not privately owned and are publically accessible</w:t>
            </w:r>
            <w:r>
              <w:t xml:space="preserve">, it may </w:t>
            </w:r>
            <w:r w:rsidRPr="00B921E4">
              <w:rPr>
                <w:rFonts w:cs="Arial"/>
                <w:szCs w:val="20"/>
              </w:rPr>
              <w:t>only be feasible to implement PES schemes using public sector buyers rather than private sector, due to the potential for ‘free-riding’</w:t>
            </w:r>
            <w:r>
              <w:rPr>
                <w:rFonts w:cs="Arial"/>
                <w:szCs w:val="20"/>
              </w:rPr>
              <w:t>, unless a combined agreement can be made with a group of beneficiaries.</w:t>
            </w:r>
          </w:p>
          <w:p w14:paraId="50563F62" w14:textId="67794F7F" w:rsidR="000005F4" w:rsidRPr="00B921E4" w:rsidRDefault="000005F4" w:rsidP="000005F4">
            <w:pPr>
              <w:pStyle w:val="TableBullet"/>
              <w:rPr>
                <w:rFonts w:cs="Arial"/>
                <w:szCs w:val="20"/>
              </w:rPr>
            </w:pPr>
            <w:r w:rsidRPr="00B921E4">
              <w:rPr>
                <w:rFonts w:cs="Arial"/>
                <w:szCs w:val="20"/>
              </w:rPr>
              <w:t xml:space="preserve">The current standard for agreements with farmers is </w:t>
            </w:r>
            <w:r w:rsidR="00392544">
              <w:rPr>
                <w:rFonts w:cs="Arial"/>
                <w:szCs w:val="20"/>
              </w:rPr>
              <w:t xml:space="preserve">five </w:t>
            </w:r>
            <w:r w:rsidRPr="00B921E4">
              <w:rPr>
                <w:rFonts w:cs="Arial"/>
                <w:szCs w:val="20"/>
              </w:rPr>
              <w:t>years</w:t>
            </w:r>
            <w:r w:rsidR="00392544">
              <w:rPr>
                <w:rFonts w:cs="Arial"/>
                <w:szCs w:val="20"/>
              </w:rPr>
              <w:t>. L</w:t>
            </w:r>
            <w:r w:rsidRPr="00B921E4">
              <w:rPr>
                <w:rFonts w:cs="Arial"/>
                <w:szCs w:val="20"/>
              </w:rPr>
              <w:t>andowners tend to favour less risky, short-term agreements to provide ecosystem services, but investors and government need to ensure these benefits are secured for the long-term and not reversed.</w:t>
            </w:r>
          </w:p>
          <w:p w14:paraId="17CA8326" w14:textId="77777777" w:rsidR="000005F4" w:rsidRPr="00B86E24" w:rsidRDefault="000005F4" w:rsidP="000005F4">
            <w:pPr>
              <w:pStyle w:val="TableBullet"/>
              <w:rPr>
                <w:szCs w:val="20"/>
              </w:rPr>
            </w:pPr>
            <w:r>
              <w:t>In the short term opportunities are likely to focus at a simple level for a small numb</w:t>
            </w:r>
            <w:r w:rsidRPr="004C0706">
              <w:t>er of individual ecosystem services, such as peatland carbon, woodland carbon and/or river water quality to establish momentum in the system prior to wider multi-beneficiary schemes incorporating the wider ecosystem benefits</w:t>
            </w:r>
            <w:r w:rsidRPr="00762175">
              <w:t xml:space="preserve"> </w:t>
            </w:r>
            <w:r>
              <w:t>e.g. biodiversity.</w:t>
            </w:r>
          </w:p>
          <w:p w14:paraId="4F15F589" w14:textId="77777777" w:rsidR="000005F4" w:rsidRPr="008C70EA" w:rsidRDefault="000005F4" w:rsidP="000005F4">
            <w:pPr>
              <w:pStyle w:val="TableBullet"/>
              <w:rPr>
                <w:szCs w:val="20"/>
              </w:rPr>
            </w:pPr>
            <w:r>
              <w:rPr>
                <w:szCs w:val="20"/>
              </w:rPr>
              <w:t xml:space="preserve">There can be high start-up and transaction costs for PES schemes, particular as there is currently limited skills, experience and standardisation. </w:t>
            </w:r>
            <w:r w:rsidRPr="00B86E24">
              <w:rPr>
                <w:szCs w:val="20"/>
              </w:rPr>
              <w:t xml:space="preserve">Funding approaches, both in terms of short term “seed corn” to get schemes up and running and longer term Governmental support are </w:t>
            </w:r>
            <w:r>
              <w:rPr>
                <w:szCs w:val="20"/>
              </w:rPr>
              <w:t>therefore required.</w:t>
            </w:r>
          </w:p>
        </w:tc>
      </w:tr>
      <w:tr w:rsidR="000005F4" w14:paraId="141A640E" w14:textId="77777777" w:rsidTr="000005F4">
        <w:trPr>
          <w:trHeight w:val="842"/>
        </w:trPr>
        <w:tc>
          <w:tcPr>
            <w:tcW w:w="1704" w:type="dxa"/>
            <w:shd w:val="clear" w:color="auto" w:fill="auto"/>
          </w:tcPr>
          <w:p w14:paraId="064F8F40" w14:textId="77777777" w:rsidR="000005F4" w:rsidRDefault="000005F4" w:rsidP="000005F4">
            <w:pPr>
              <w:pStyle w:val="TableTextNoSpace"/>
              <w:rPr>
                <w:b/>
              </w:rPr>
            </w:pPr>
            <w:r w:rsidRPr="007B6DFE">
              <w:rPr>
                <w:b/>
              </w:rPr>
              <w:t>Increasing uptake &amp;</w:t>
            </w:r>
          </w:p>
          <w:p w14:paraId="353736C2" w14:textId="77777777" w:rsidR="000005F4" w:rsidRPr="009F1463" w:rsidRDefault="000005F4" w:rsidP="000005F4">
            <w:pPr>
              <w:pStyle w:val="TableTextNoSpace"/>
              <w:rPr>
                <w:b/>
              </w:rPr>
            </w:pPr>
            <w:r w:rsidRPr="007B6DFE">
              <w:rPr>
                <w:b/>
              </w:rPr>
              <w:t>integr</w:t>
            </w:r>
            <w:r>
              <w:rPr>
                <w:b/>
              </w:rPr>
              <w:t>a</w:t>
            </w:r>
            <w:r w:rsidRPr="007B6DFE">
              <w:rPr>
                <w:b/>
              </w:rPr>
              <w:t>tion</w:t>
            </w:r>
          </w:p>
        </w:tc>
        <w:tc>
          <w:tcPr>
            <w:tcW w:w="7367" w:type="dxa"/>
            <w:shd w:val="clear" w:color="auto" w:fill="auto"/>
          </w:tcPr>
          <w:p w14:paraId="223C8646" w14:textId="77777777" w:rsidR="000005F4" w:rsidRDefault="000005F4" w:rsidP="000005F4">
            <w:pPr>
              <w:pStyle w:val="TableBullet"/>
            </w:pPr>
            <w:r>
              <w:t xml:space="preserve">NRW has indicated its preferred role regarding PES as a market participant (Cascade, 2014) – that is, as a seller (where NRW is a landowner e.g. its forestry landholding), and as a buyer (specifically in terms of flood risk management). </w:t>
            </w:r>
          </w:p>
          <w:p w14:paraId="06F7DE16" w14:textId="77777777" w:rsidR="000005F4" w:rsidRDefault="000005F4" w:rsidP="000005F4">
            <w:pPr>
              <w:pStyle w:val="TableBullet"/>
            </w:pPr>
            <w:r>
              <w:t>For the broader development of PES in Wales there is an emphasis on ‘learning by doing’ whilst national frameworks are developed. Exploration of potential pilots should be considered in the short term.</w:t>
            </w:r>
          </w:p>
          <w:p w14:paraId="6E0F9D60" w14:textId="56D34978" w:rsidR="000005F4" w:rsidRDefault="000005F4" w:rsidP="000005F4">
            <w:pPr>
              <w:pStyle w:val="TableBullet"/>
            </w:pPr>
            <w:r>
              <w:t>Additional funding streams which could be accessed include: (i) European funds, most notably the LIFE Programme; (ii) alignment of public and private funding routes. For example, SCaMP has combined budgets from United Utilities with agri-environment scheme  funding in England; (iii) other relevant parties e.g. NGOs.</w:t>
            </w:r>
          </w:p>
          <w:p w14:paraId="68154C3B" w14:textId="77777777" w:rsidR="000005F4" w:rsidRPr="00E452A2" w:rsidRDefault="000005F4" w:rsidP="000005F4">
            <w:pPr>
              <w:pStyle w:val="TableBullet"/>
            </w:pPr>
            <w:r w:rsidRPr="00B86E24">
              <w:rPr>
                <w:szCs w:val="20"/>
              </w:rPr>
              <w:t>Implementation of ecosystems markets needs to be made in the context of existing initiatives such as Glastir, to ensure that the new approach is integrated and that perverse or confusing incentives are not created. Terminology should be chosen carefully to avoid confusion, particularly in light of recent changes to the Glastir scheme and the impending new RDP</w:t>
            </w:r>
            <w:r>
              <w:rPr>
                <w:szCs w:val="20"/>
              </w:rPr>
              <w:t>.</w:t>
            </w:r>
          </w:p>
        </w:tc>
      </w:tr>
    </w:tbl>
    <w:p w14:paraId="537D20C9" w14:textId="77777777" w:rsidR="000005F4" w:rsidRPr="00B167ED" w:rsidRDefault="000005F4" w:rsidP="000005F4">
      <w:pPr>
        <w:pStyle w:val="BodyText"/>
      </w:pPr>
    </w:p>
    <w:p w14:paraId="025FA59A" w14:textId="77777777" w:rsidR="000005F4" w:rsidRDefault="000005F4" w:rsidP="000005F4">
      <w:pPr>
        <w:pStyle w:val="Heading2NoNumb"/>
      </w:pPr>
      <w:bookmarkStart w:id="364" w:name="_Toc408094040"/>
      <w:bookmarkStart w:id="365" w:name="_Toc408138041"/>
      <w:bookmarkStart w:id="366" w:name="_Toc408851030"/>
      <w:bookmarkStart w:id="367" w:name="_Toc421880706"/>
      <w:r>
        <w:t>Visitor payback schemes</w:t>
      </w:r>
      <w:bookmarkEnd w:id="364"/>
      <w:bookmarkEnd w:id="365"/>
      <w:bookmarkEnd w:id="366"/>
      <w:bookmarkEnd w:id="367"/>
      <w:r>
        <w:t xml:space="preserve"> </w:t>
      </w:r>
    </w:p>
    <w:tbl>
      <w:tblPr>
        <w:tblW w:w="9071" w:type="dxa"/>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Layout w:type="fixed"/>
        <w:tblCellMar>
          <w:top w:w="57" w:type="dxa"/>
          <w:left w:w="0" w:type="dxa"/>
          <w:bottom w:w="28" w:type="dxa"/>
          <w:right w:w="0" w:type="dxa"/>
        </w:tblCellMar>
        <w:tblLook w:val="0000" w:firstRow="0" w:lastRow="0" w:firstColumn="0" w:lastColumn="0" w:noHBand="0" w:noVBand="0"/>
      </w:tblPr>
      <w:tblGrid>
        <w:gridCol w:w="1704"/>
        <w:gridCol w:w="7367"/>
      </w:tblGrid>
      <w:tr w:rsidR="000005F4" w14:paraId="0F787160" w14:textId="77777777" w:rsidTr="000005F4">
        <w:trPr>
          <w:cantSplit/>
        </w:trPr>
        <w:tc>
          <w:tcPr>
            <w:tcW w:w="1704" w:type="dxa"/>
            <w:shd w:val="clear" w:color="auto" w:fill="auto"/>
          </w:tcPr>
          <w:p w14:paraId="2A60AB9C" w14:textId="77777777" w:rsidR="000005F4" w:rsidRDefault="000005F4" w:rsidP="000005F4">
            <w:pPr>
              <w:pStyle w:val="TableHeading"/>
            </w:pPr>
          </w:p>
        </w:tc>
        <w:tc>
          <w:tcPr>
            <w:tcW w:w="7367" w:type="dxa"/>
            <w:shd w:val="solid" w:color="0067AB" w:fill="0067AB"/>
          </w:tcPr>
          <w:p w14:paraId="59A44F06" w14:textId="77777777" w:rsidR="000005F4" w:rsidRDefault="000005F4" w:rsidP="000005F4">
            <w:pPr>
              <w:pStyle w:val="TableHeadingWhite"/>
            </w:pPr>
          </w:p>
        </w:tc>
      </w:tr>
      <w:tr w:rsidR="000005F4" w14:paraId="7DF37E3C" w14:textId="77777777" w:rsidTr="000005F4">
        <w:tc>
          <w:tcPr>
            <w:tcW w:w="1704" w:type="dxa"/>
            <w:shd w:val="clear" w:color="auto" w:fill="auto"/>
          </w:tcPr>
          <w:p w14:paraId="1AA21B56" w14:textId="77777777" w:rsidR="000005F4" w:rsidRPr="00781F02" w:rsidRDefault="000005F4" w:rsidP="000005F4">
            <w:pPr>
              <w:pStyle w:val="TableTextNoSpace"/>
              <w:rPr>
                <w:b/>
              </w:rPr>
            </w:pPr>
            <w:r w:rsidRPr="00781F02">
              <w:rPr>
                <w:b/>
              </w:rPr>
              <w:t>Background &amp; relevance</w:t>
            </w:r>
          </w:p>
        </w:tc>
        <w:tc>
          <w:tcPr>
            <w:tcW w:w="7367" w:type="dxa"/>
            <w:shd w:val="clear" w:color="auto" w:fill="auto"/>
          </w:tcPr>
          <w:p w14:paraId="57FF7334" w14:textId="6F5F8C44" w:rsidR="000005F4" w:rsidRPr="00E452A2" w:rsidRDefault="000005F4" w:rsidP="000005F4">
            <w:pPr>
              <w:pStyle w:val="TableTextNoSpace"/>
            </w:pPr>
            <w:r>
              <w:t>Visitor payback schemes</w:t>
            </w:r>
            <w:r w:rsidR="00392544">
              <w:t xml:space="preserve"> (VPS)</w:t>
            </w:r>
            <w:r>
              <w:t xml:space="preserve"> range from donations to cover general operations and maintenance of sites to those that seek to secure funding for more specialist management activities or in relation to particular services. Payback schemes are increasingly used to cover the costs of maintaining recreational and educational resources that visitors benefit from, and an ecosystem services approach appears to have some application. </w:t>
            </w:r>
          </w:p>
        </w:tc>
      </w:tr>
      <w:tr w:rsidR="000005F4" w14:paraId="4E9CAF6F" w14:textId="77777777" w:rsidTr="000005F4">
        <w:tc>
          <w:tcPr>
            <w:tcW w:w="1704" w:type="dxa"/>
            <w:shd w:val="clear" w:color="auto" w:fill="auto"/>
          </w:tcPr>
          <w:p w14:paraId="013EB6AB" w14:textId="77777777" w:rsidR="000005F4" w:rsidRPr="00781F02" w:rsidRDefault="000005F4" w:rsidP="000005F4">
            <w:pPr>
              <w:pStyle w:val="TableTextNoSpace"/>
              <w:rPr>
                <w:b/>
              </w:rPr>
            </w:pPr>
            <w:r w:rsidRPr="00781F02">
              <w:rPr>
                <w:b/>
              </w:rPr>
              <w:t>Funding available</w:t>
            </w:r>
          </w:p>
        </w:tc>
        <w:tc>
          <w:tcPr>
            <w:tcW w:w="7367" w:type="dxa"/>
            <w:shd w:val="clear" w:color="auto" w:fill="auto"/>
          </w:tcPr>
          <w:p w14:paraId="5DF25CC4" w14:textId="2BB8EF16" w:rsidR="000005F4" w:rsidRDefault="000005F4" w:rsidP="000005F4">
            <w:pPr>
              <w:pStyle w:val="TableBullet"/>
            </w:pPr>
            <w:r>
              <w:t>It is difficult to estimate the overall volume of voluntary visitor payback schemes although Nurture Lakeland, a specialist consul</w:t>
            </w:r>
            <w:r w:rsidR="0069296B">
              <w:t xml:space="preserve">tancy engaged in the design of </w:t>
            </w:r>
            <w:r>
              <w:t>VPS, has raised around £1.7m across the UK over 10 years through visitor payback.</w:t>
            </w:r>
          </w:p>
          <w:p w14:paraId="14BDC0DE" w14:textId="020C821E" w:rsidR="000005F4" w:rsidRPr="00E452A2" w:rsidRDefault="000005F4" w:rsidP="00392544">
            <w:pPr>
              <w:pStyle w:val="TableBullet"/>
            </w:pPr>
            <w:r w:rsidRPr="00D37891">
              <w:rPr>
                <w:rFonts w:cs="Arial"/>
                <w:szCs w:val="20"/>
              </w:rPr>
              <w:t>In Cumbria</w:t>
            </w:r>
            <w:r w:rsidRPr="000005F4">
              <w:rPr>
                <w:rFonts w:cs="Arial"/>
                <w:szCs w:val="20"/>
              </w:rPr>
              <w:t>, the Tourism &amp; Conservation Partnership has been administrating a successful visitor payback scheme since 1993. It employs three full time staff members and over 250 businesses are involved with the scheme, fundraising for a wide variety of access, conservation and environmental education projects. The Partnership generates approximately £125,000 in visitor contributions each year</w:t>
            </w:r>
          </w:p>
        </w:tc>
      </w:tr>
      <w:tr w:rsidR="000005F4" w14:paraId="5D268430" w14:textId="77777777" w:rsidTr="000005F4">
        <w:tc>
          <w:tcPr>
            <w:tcW w:w="1704" w:type="dxa"/>
            <w:shd w:val="clear" w:color="auto" w:fill="auto"/>
          </w:tcPr>
          <w:p w14:paraId="6C03044C" w14:textId="77777777" w:rsidR="000005F4" w:rsidRPr="00781F02" w:rsidRDefault="000005F4" w:rsidP="000005F4">
            <w:pPr>
              <w:pStyle w:val="TableTextNoSpace"/>
              <w:rPr>
                <w:b/>
              </w:rPr>
            </w:pPr>
            <w:r w:rsidRPr="00781F02">
              <w:rPr>
                <w:b/>
              </w:rPr>
              <w:t>Opportunities for Natura</w:t>
            </w:r>
            <w:r>
              <w:rPr>
                <w:b/>
              </w:rPr>
              <w:t xml:space="preserve"> 2000 </w:t>
            </w:r>
          </w:p>
        </w:tc>
        <w:tc>
          <w:tcPr>
            <w:tcW w:w="7367" w:type="dxa"/>
            <w:shd w:val="clear" w:color="auto" w:fill="auto"/>
          </w:tcPr>
          <w:p w14:paraId="4AC8C2AE" w14:textId="77777777" w:rsidR="000005F4" w:rsidRDefault="000005F4" w:rsidP="0069296B">
            <w:pPr>
              <w:pStyle w:val="TableBullet"/>
            </w:pPr>
            <w:r>
              <w:rPr>
                <w:lang w:eastAsia="en-GB"/>
              </w:rPr>
              <w:t xml:space="preserve">Payback schemes can use a variety of means to generate funds including: </w:t>
            </w:r>
            <w:r w:rsidRPr="00894EBD">
              <w:rPr>
                <w:lang w:eastAsia="en-GB"/>
              </w:rPr>
              <w:t>supplements</w:t>
            </w:r>
            <w:r>
              <w:rPr>
                <w:lang w:eastAsia="en-GB"/>
              </w:rPr>
              <w:t xml:space="preserve">, </w:t>
            </w:r>
            <w:r w:rsidRPr="00894EBD">
              <w:rPr>
                <w:lang w:eastAsia="en-GB"/>
              </w:rPr>
              <w:t>percentage from sale of product or service</w:t>
            </w:r>
            <w:r>
              <w:rPr>
                <w:lang w:eastAsia="en-GB"/>
              </w:rPr>
              <w:t xml:space="preserve">, </w:t>
            </w:r>
            <w:r w:rsidRPr="00894EBD">
              <w:rPr>
                <w:lang w:eastAsia="en-GB"/>
              </w:rPr>
              <w:t>collections</w:t>
            </w:r>
            <w:r>
              <w:rPr>
                <w:lang w:eastAsia="en-GB"/>
              </w:rPr>
              <w:t xml:space="preserve">, </w:t>
            </w:r>
            <w:r w:rsidRPr="00894EBD">
              <w:rPr>
                <w:lang w:eastAsia="en-GB"/>
              </w:rPr>
              <w:t>corporate sponsorship</w:t>
            </w:r>
            <w:r>
              <w:rPr>
                <w:lang w:eastAsia="en-GB"/>
              </w:rPr>
              <w:t xml:space="preserve">, </w:t>
            </w:r>
            <w:r w:rsidRPr="00894EBD">
              <w:rPr>
                <w:lang w:eastAsia="en-GB"/>
              </w:rPr>
              <w:t>participation</w:t>
            </w:r>
            <w:r>
              <w:rPr>
                <w:lang w:eastAsia="en-GB"/>
              </w:rPr>
              <w:t xml:space="preserve"> charges, parking charges, </w:t>
            </w:r>
            <w:r w:rsidRPr="00894EBD">
              <w:rPr>
                <w:lang w:eastAsia="en-GB"/>
              </w:rPr>
              <w:t>membership</w:t>
            </w:r>
            <w:r>
              <w:rPr>
                <w:lang w:eastAsia="en-GB"/>
              </w:rPr>
              <w:t xml:space="preserve">, </w:t>
            </w:r>
            <w:r w:rsidRPr="00894EBD">
              <w:rPr>
                <w:lang w:eastAsia="en-GB"/>
              </w:rPr>
              <w:t>fundraising events</w:t>
            </w:r>
          </w:p>
          <w:p w14:paraId="12E17CC8" w14:textId="77777777" w:rsidR="000005F4" w:rsidRDefault="000005F4" w:rsidP="0069296B">
            <w:pPr>
              <w:pStyle w:val="TableBullet"/>
            </w:pPr>
            <w:r>
              <w:t>It has the potential to finance a wide range of relevant actions, including not only visitor facilities and infrastructure but also habitat management, restoration, monitoring and management planning.</w:t>
            </w:r>
          </w:p>
          <w:p w14:paraId="6F7CC9E3" w14:textId="77777777" w:rsidR="000005F4" w:rsidRDefault="000005F4" w:rsidP="0069296B">
            <w:pPr>
              <w:pStyle w:val="TableBullet"/>
            </w:pPr>
            <w:r w:rsidRPr="00894EBD">
              <w:t xml:space="preserve">Parking charges can generate significant sums, depending on scale and usage. </w:t>
            </w:r>
          </w:p>
          <w:p w14:paraId="215A0360" w14:textId="77777777" w:rsidR="000005F4" w:rsidRPr="00894EBD" w:rsidRDefault="000005F4" w:rsidP="0069296B">
            <w:pPr>
              <w:pStyle w:val="TableBullet"/>
            </w:pPr>
            <w:r w:rsidRPr="00894EBD">
              <w:t xml:space="preserve">Donations are likely to be improved </w:t>
            </w:r>
            <w:r w:rsidRPr="006B2291">
              <w:rPr>
                <w:color w:val="202020"/>
              </w:rPr>
              <w:t xml:space="preserve">where a specific project or activity is being proposed for funding, rather than just general maintenance </w:t>
            </w:r>
            <w:r w:rsidRPr="008A0F8D">
              <w:rPr>
                <w:color w:val="202020"/>
              </w:rPr>
              <w:t>etc.</w:t>
            </w:r>
          </w:p>
          <w:p w14:paraId="154041BC" w14:textId="77777777" w:rsidR="000005F4" w:rsidRPr="00E452A2" w:rsidRDefault="000005F4" w:rsidP="0069296B">
            <w:pPr>
              <w:pStyle w:val="TableBullet"/>
            </w:pPr>
            <w:r>
              <w:t xml:space="preserve">A tourism levy provides a comprehensive route for capturing an element of the cultural ecosystem services provided by Natura 2000 areas via tourism businesses. This can be set up as opt-in or opt-out levies </w:t>
            </w:r>
          </w:p>
        </w:tc>
      </w:tr>
      <w:tr w:rsidR="000005F4" w14:paraId="2C20D0C4" w14:textId="77777777" w:rsidTr="000005F4">
        <w:tc>
          <w:tcPr>
            <w:tcW w:w="1704" w:type="dxa"/>
            <w:shd w:val="clear" w:color="auto" w:fill="auto"/>
          </w:tcPr>
          <w:p w14:paraId="29AA1CCD" w14:textId="77777777" w:rsidR="000005F4" w:rsidRPr="00781F02" w:rsidRDefault="000005F4" w:rsidP="000005F4">
            <w:pPr>
              <w:pStyle w:val="TableTextNoSpace"/>
              <w:rPr>
                <w:b/>
              </w:rPr>
            </w:pPr>
            <w:r w:rsidRPr="00781F02">
              <w:rPr>
                <w:b/>
              </w:rPr>
              <w:t>Limitations &amp; constraints</w:t>
            </w:r>
          </w:p>
        </w:tc>
        <w:tc>
          <w:tcPr>
            <w:tcW w:w="7367" w:type="dxa"/>
            <w:shd w:val="clear" w:color="auto" w:fill="auto"/>
          </w:tcPr>
          <w:p w14:paraId="7E1FA582" w14:textId="77777777" w:rsidR="000005F4" w:rsidRPr="006B2291" w:rsidRDefault="000005F4" w:rsidP="0069296B">
            <w:pPr>
              <w:pStyle w:val="TableBullet"/>
              <w:rPr>
                <w:rFonts w:cs="Arial"/>
                <w:szCs w:val="20"/>
              </w:rPr>
            </w:pPr>
            <w:r>
              <w:t xml:space="preserve">Some up-front investments are needed in design, marketing, collection or enforcement. </w:t>
            </w:r>
            <w:r w:rsidRPr="00E02B36">
              <w:rPr>
                <w:rFonts w:cs="Arial"/>
                <w:szCs w:val="20"/>
              </w:rPr>
              <w:t>These can be significant where buy-in by local businesses is required.</w:t>
            </w:r>
          </w:p>
          <w:p w14:paraId="1F1D5F8B" w14:textId="77777777" w:rsidR="000005F4" w:rsidRPr="000005F4" w:rsidRDefault="000005F4" w:rsidP="0069296B">
            <w:pPr>
              <w:pStyle w:val="TableBullet"/>
              <w:rPr>
                <w:rFonts w:cs="Arial"/>
                <w:szCs w:val="20"/>
              </w:rPr>
            </w:pPr>
            <w:r>
              <w:t xml:space="preserve">Since the network is predominantly funded by the public sector, many visitors may be resistant to the </w:t>
            </w:r>
            <w:r w:rsidRPr="000005F4">
              <w:t>perception of being ‘taxed twice’.</w:t>
            </w:r>
            <w:r w:rsidRPr="000005F4">
              <w:rPr>
                <w:rFonts w:cs="Arial"/>
                <w:szCs w:val="20"/>
              </w:rPr>
              <w:t xml:space="preserve"> Tourists and businesses are less likely to give donations/support for projects that they see as paying for a statutory role of the local authority. Similarly, visitors are likely to show resistance to having to pay for a facility which was previously free.</w:t>
            </w:r>
          </w:p>
          <w:p w14:paraId="44E71FF4" w14:textId="309B6940" w:rsidR="000005F4" w:rsidRPr="00E02B36" w:rsidRDefault="000005F4" w:rsidP="0069296B">
            <w:pPr>
              <w:pStyle w:val="TableBullet"/>
              <w:rPr>
                <w:rFonts w:cs="Arial"/>
                <w:szCs w:val="20"/>
              </w:rPr>
            </w:pPr>
            <w:r w:rsidRPr="000005F4">
              <w:rPr>
                <w:rFonts w:cs="Arial"/>
                <w:szCs w:val="20"/>
              </w:rPr>
              <w:t xml:space="preserve">Tourism levies may require legislation. As has been seen with the Community Infrastructure </w:t>
            </w:r>
            <w:r w:rsidR="00392544">
              <w:rPr>
                <w:rFonts w:cs="Arial"/>
                <w:szCs w:val="20"/>
              </w:rPr>
              <w:t>F</w:t>
            </w:r>
            <w:r w:rsidRPr="000005F4">
              <w:rPr>
                <w:rFonts w:cs="Arial"/>
                <w:szCs w:val="20"/>
              </w:rPr>
              <w:t>und, they can prove unpopular with local businesses and residents.</w:t>
            </w:r>
            <w:r w:rsidR="00392544">
              <w:rPr>
                <w:rFonts w:cs="Arial"/>
                <w:szCs w:val="20"/>
              </w:rPr>
              <w:t xml:space="preserve"> They are l</w:t>
            </w:r>
            <w:r w:rsidRPr="000005F4">
              <w:rPr>
                <w:rFonts w:cs="Arial"/>
                <w:szCs w:val="20"/>
              </w:rPr>
              <w:t>ikely to be unsuitable for small sites and sites which are not a dominant visitor attraction at a local or sub-regional scale</w:t>
            </w:r>
            <w:r w:rsidRPr="008A0F8D">
              <w:rPr>
                <w:rFonts w:cs="Arial"/>
                <w:szCs w:val="20"/>
              </w:rPr>
              <w:t>.</w:t>
            </w:r>
          </w:p>
          <w:p w14:paraId="71C19FEA" w14:textId="77777777" w:rsidR="000005F4" w:rsidRPr="00E452A2" w:rsidRDefault="000005F4" w:rsidP="0069296B">
            <w:pPr>
              <w:pStyle w:val="TableBullet"/>
            </w:pPr>
            <w:r w:rsidRPr="008A0F8D">
              <w:rPr>
                <w:rFonts w:cs="Arial"/>
                <w:szCs w:val="20"/>
              </w:rPr>
              <w:t>Collection boxes (for donations, car parks etc.) have a poor track record in generating meaningful sums.</w:t>
            </w:r>
            <w:r>
              <w:t xml:space="preserve"> </w:t>
            </w:r>
          </w:p>
        </w:tc>
      </w:tr>
      <w:tr w:rsidR="000005F4" w14:paraId="1B29CB0C" w14:textId="77777777" w:rsidTr="000005F4">
        <w:tc>
          <w:tcPr>
            <w:tcW w:w="1704" w:type="dxa"/>
            <w:shd w:val="clear" w:color="auto" w:fill="auto"/>
          </w:tcPr>
          <w:p w14:paraId="01F5B351" w14:textId="77777777" w:rsidR="000005F4" w:rsidRDefault="000005F4" w:rsidP="000005F4">
            <w:pPr>
              <w:pStyle w:val="TableTextNoSpace"/>
              <w:rPr>
                <w:b/>
              </w:rPr>
            </w:pPr>
            <w:r w:rsidRPr="007B6DFE">
              <w:rPr>
                <w:b/>
              </w:rPr>
              <w:t>Increasing uptake &amp;</w:t>
            </w:r>
          </w:p>
          <w:p w14:paraId="49ECE22C" w14:textId="77777777" w:rsidR="000005F4" w:rsidRPr="009F1463" w:rsidRDefault="000005F4" w:rsidP="000005F4">
            <w:pPr>
              <w:pStyle w:val="TableTextNoSpace"/>
              <w:rPr>
                <w:b/>
              </w:rPr>
            </w:pPr>
            <w:r w:rsidRPr="007B6DFE">
              <w:rPr>
                <w:b/>
              </w:rPr>
              <w:t>integr</w:t>
            </w:r>
            <w:r>
              <w:rPr>
                <w:b/>
              </w:rPr>
              <w:t>a</w:t>
            </w:r>
            <w:r w:rsidRPr="007B6DFE">
              <w:rPr>
                <w:b/>
              </w:rPr>
              <w:t>tion</w:t>
            </w:r>
          </w:p>
        </w:tc>
        <w:tc>
          <w:tcPr>
            <w:tcW w:w="7367" w:type="dxa"/>
            <w:shd w:val="clear" w:color="auto" w:fill="auto"/>
          </w:tcPr>
          <w:p w14:paraId="1FAD9139" w14:textId="77777777" w:rsidR="000005F4" w:rsidRDefault="000005F4" w:rsidP="0069296B">
            <w:pPr>
              <w:pStyle w:val="TableBullet"/>
            </w:pPr>
            <w:r>
              <w:t>An ecosystem services approach (drawing on existing evidence on ecosystem services relating to the Natura 2000 network) should be established as best practice and can help to identify potential beneficiaries to be targeted.</w:t>
            </w:r>
          </w:p>
          <w:p w14:paraId="60A8FD04" w14:textId="77777777" w:rsidR="000005F4" w:rsidRDefault="000005F4" w:rsidP="0069296B">
            <w:pPr>
              <w:pStyle w:val="TableBullet"/>
            </w:pPr>
            <w:r>
              <w:t xml:space="preserve">Development of web application based payment can address many of the practical issues with setting up payment schemes </w:t>
            </w:r>
          </w:p>
          <w:p w14:paraId="4DFF5CF7" w14:textId="52A6BB27" w:rsidR="000005F4" w:rsidRDefault="000005F4" w:rsidP="0069296B">
            <w:pPr>
              <w:pStyle w:val="TableBullet"/>
            </w:pPr>
            <w:r>
              <w:t>Development through the National Parks could be prioritised- since the</w:t>
            </w:r>
            <w:r w:rsidR="00392544">
              <w:t xml:space="preserve">y often </w:t>
            </w:r>
            <w:r>
              <w:t>have prior experience with visitor payback schemes.</w:t>
            </w:r>
          </w:p>
          <w:p w14:paraId="589E59C1" w14:textId="77777777" w:rsidR="000005F4" w:rsidRDefault="000005F4" w:rsidP="0069296B">
            <w:pPr>
              <w:pStyle w:val="TableBullet"/>
            </w:pPr>
            <w:r>
              <w:t>Ensuring simple administrative procedures to reduce ongoing overheads and ensure financial sustainability</w:t>
            </w:r>
          </w:p>
          <w:p w14:paraId="4DE61BC7" w14:textId="3B832125" w:rsidR="000005F4" w:rsidRPr="000005F4" w:rsidRDefault="000005F4" w:rsidP="0069296B">
            <w:pPr>
              <w:pStyle w:val="TableBullet"/>
            </w:pPr>
            <w:r w:rsidRPr="00D85F99">
              <w:t>It can be easier to introduce payments schemes for specific attractions or in relation to significant upgrades or restoration which help to demonstrate additional visitor value compared to the situation prior to charges.</w:t>
            </w:r>
            <w:r>
              <w:t xml:space="preserve"> This is particularly the case where the scheme is to be administered by a </w:t>
            </w:r>
            <w:r w:rsidR="00392544">
              <w:t>l</w:t>
            </w:r>
            <w:r>
              <w:t xml:space="preserve">ocal </w:t>
            </w:r>
            <w:r w:rsidR="00392544">
              <w:t>a</w:t>
            </w:r>
            <w:r>
              <w:t xml:space="preserve">uthority or Statutory Body. </w:t>
            </w:r>
            <w:r w:rsidRPr="000005F4">
              <w:t>Payback schemes may be most successful when resulting expenditure is on issues of most relevance to visitors. This may restrict the scope of application</w:t>
            </w:r>
            <w:r w:rsidR="00392544">
              <w:t>.</w:t>
            </w:r>
          </w:p>
          <w:p w14:paraId="0FC472E5" w14:textId="77777777" w:rsidR="000005F4" w:rsidRPr="000005F4" w:rsidRDefault="000005F4" w:rsidP="0069296B">
            <w:pPr>
              <w:pStyle w:val="TableBullet"/>
              <w:rPr>
                <w:rFonts w:cs="Arial"/>
                <w:szCs w:val="20"/>
              </w:rPr>
            </w:pPr>
            <w:r w:rsidRPr="000005F4">
              <w:rPr>
                <w:rFonts w:cs="Arial"/>
                <w:szCs w:val="20"/>
              </w:rPr>
              <w:t>Visitor payback schemes are most effective when they involve a co-ordinated effort between the tourist industry, the local community and the environmental sector.</w:t>
            </w:r>
          </w:p>
          <w:p w14:paraId="7E78673F" w14:textId="77777777" w:rsidR="000005F4" w:rsidRPr="000005F4" w:rsidRDefault="000005F4" w:rsidP="0069296B">
            <w:pPr>
              <w:pStyle w:val="TableBullet"/>
              <w:rPr>
                <w:rFonts w:cs="Arial"/>
                <w:szCs w:val="20"/>
              </w:rPr>
            </w:pPr>
            <w:r w:rsidRPr="000005F4">
              <w:rPr>
                <w:rFonts w:cs="Arial"/>
                <w:szCs w:val="20"/>
              </w:rPr>
              <w:t>Image and brand is an important driver in gaining business interest to help administer visitor levies.</w:t>
            </w:r>
          </w:p>
          <w:p w14:paraId="6C1DD498" w14:textId="2ADD2D4C" w:rsidR="000005F4" w:rsidRPr="000005F4" w:rsidRDefault="000005F4" w:rsidP="0069296B">
            <w:pPr>
              <w:pStyle w:val="TableBullet"/>
            </w:pPr>
            <w:r w:rsidRPr="000005F4">
              <w:rPr>
                <w:rFonts w:cs="Arial"/>
                <w:szCs w:val="20"/>
              </w:rPr>
              <w:t>Review feasibility of establishing payback</w:t>
            </w:r>
            <w:r w:rsidRPr="000005F4">
              <w:t xml:space="preserve"> mechanisms on a site-by-site basis or on a network basis. </w:t>
            </w:r>
          </w:p>
          <w:p w14:paraId="6CA912D3" w14:textId="77777777" w:rsidR="00392544" w:rsidRPr="000005F4" w:rsidRDefault="00392544" w:rsidP="0069296B">
            <w:pPr>
              <w:pStyle w:val="TableBullet"/>
            </w:pPr>
            <w:r w:rsidRPr="000005F4">
              <w:t>Source funding for feasibility studies and start-up costs. Potentially applicable funding sources include:</w:t>
            </w:r>
          </w:p>
          <w:p w14:paraId="1C8C3F4B" w14:textId="4F1E1917" w:rsidR="00B63F10" w:rsidRDefault="00B63F10" w:rsidP="00B63F10">
            <w:pPr>
              <w:pStyle w:val="Bullet1"/>
              <w:numPr>
                <w:ilvl w:val="0"/>
                <w:numId w:val="59"/>
              </w:numPr>
            </w:pPr>
            <w:r>
              <w:t>E</w:t>
            </w:r>
            <w:r w:rsidRPr="000005F4">
              <w:t xml:space="preserve">RDF &amp; EAFRD: accessed as part of SME innovation </w:t>
            </w:r>
            <w:r>
              <w:t>e.g. payback mechanisms and</w:t>
            </w:r>
            <w:r w:rsidRPr="000005F4">
              <w:t xml:space="preserve"> IT infrastructure; rural business diversification</w:t>
            </w:r>
            <w:r>
              <w:t>.</w:t>
            </w:r>
          </w:p>
          <w:p w14:paraId="28D502D8" w14:textId="6D8CD6EC" w:rsidR="00392544" w:rsidRDefault="00392544" w:rsidP="00B63F10">
            <w:pPr>
              <w:pStyle w:val="Bullet1"/>
              <w:numPr>
                <w:ilvl w:val="0"/>
                <w:numId w:val="59"/>
              </w:numPr>
            </w:pPr>
            <w:r>
              <w:t>LIFE: access as part of broader applied research projects.</w:t>
            </w:r>
          </w:p>
          <w:p w14:paraId="0EDAE799" w14:textId="572F75D9" w:rsidR="00392544" w:rsidRDefault="00392544" w:rsidP="00B63F10">
            <w:pPr>
              <w:pStyle w:val="Bullet1"/>
              <w:numPr>
                <w:ilvl w:val="0"/>
                <w:numId w:val="59"/>
              </w:numPr>
            </w:pPr>
            <w:r>
              <w:t>NRW: accessed where small scale funds are required for high level feasibility/scoping study for most promising locations.</w:t>
            </w:r>
          </w:p>
          <w:p w14:paraId="7EF384DC" w14:textId="52C8F3FA" w:rsidR="00392544" w:rsidRDefault="00392544" w:rsidP="00B63F10">
            <w:pPr>
              <w:pStyle w:val="Bullet1"/>
              <w:numPr>
                <w:ilvl w:val="0"/>
                <w:numId w:val="59"/>
              </w:numPr>
            </w:pPr>
            <w:r>
              <w:t>Charitable/lottery grants: accessed via those interested in market mechanisms and conservation or directly via those with direct interest in a particular site.</w:t>
            </w:r>
          </w:p>
          <w:p w14:paraId="646F4152" w14:textId="44F10655" w:rsidR="000005F4" w:rsidRPr="00E452A2" w:rsidRDefault="00392544" w:rsidP="00B63F10">
            <w:pPr>
              <w:pStyle w:val="Bullet1"/>
              <w:numPr>
                <w:ilvl w:val="0"/>
                <w:numId w:val="59"/>
              </w:numPr>
            </w:pPr>
            <w:r>
              <w:t>Loan finance: requires robust business plan.</w:t>
            </w:r>
          </w:p>
        </w:tc>
      </w:tr>
    </w:tbl>
    <w:p w14:paraId="2D5F402F" w14:textId="77777777" w:rsidR="000005F4" w:rsidRDefault="000005F4" w:rsidP="000005F4">
      <w:pPr>
        <w:rPr>
          <w:rFonts w:ascii="Calibri" w:hAnsi="Calibri"/>
          <w:b/>
          <w:color w:val="0067AC"/>
          <w:sz w:val="26"/>
        </w:rPr>
      </w:pPr>
    </w:p>
    <w:p w14:paraId="3A2E2716" w14:textId="77777777" w:rsidR="000005F4" w:rsidRDefault="000005F4" w:rsidP="000005F4">
      <w:pPr>
        <w:pStyle w:val="BodyText"/>
        <w:ind w:left="0"/>
      </w:pPr>
    </w:p>
    <w:p w14:paraId="179E52EF" w14:textId="77777777" w:rsidR="000005F4" w:rsidRDefault="000005F4" w:rsidP="000005F4">
      <w:pPr>
        <w:pStyle w:val="BodyText"/>
        <w:ind w:left="0"/>
      </w:pPr>
    </w:p>
    <w:p w14:paraId="2FE0496E" w14:textId="77777777" w:rsidR="000005F4" w:rsidRDefault="000005F4" w:rsidP="000005F4">
      <w:pPr>
        <w:pStyle w:val="AnnexHeading"/>
      </w:pPr>
      <w:bookmarkStart w:id="368" w:name="_Toc405980803"/>
      <w:bookmarkStart w:id="369" w:name="_Toc405993445"/>
      <w:bookmarkStart w:id="370" w:name="_Toc407618022"/>
      <w:bookmarkStart w:id="371" w:name="_Toc408094041"/>
      <w:bookmarkStart w:id="372" w:name="_Toc408138042"/>
      <w:bookmarkStart w:id="373" w:name="_Toc408851031"/>
      <w:bookmarkStart w:id="374" w:name="_Toc421880707"/>
      <w:r>
        <w:t>EU Funds - detailed analysis</w:t>
      </w:r>
      <w:bookmarkEnd w:id="368"/>
      <w:bookmarkEnd w:id="369"/>
      <w:bookmarkEnd w:id="370"/>
      <w:bookmarkEnd w:id="371"/>
      <w:bookmarkEnd w:id="372"/>
      <w:r>
        <w:t xml:space="preserve"> of relevance of articles in legal texts</w:t>
      </w:r>
      <w:bookmarkEnd w:id="373"/>
      <w:bookmarkEnd w:id="374"/>
    </w:p>
    <w:p w14:paraId="4A6DDA0D" w14:textId="77777777" w:rsidR="000005F4" w:rsidRDefault="000005F4" w:rsidP="000005F4">
      <w:r>
        <w:t xml:space="preserve">This Annex provides a detailed reviews of the EU funds to identify elements which provide for funding of Natura 2000 management actions. It draws on the individual regulations, the EU Financing Handbook and available Wales fund programmes and consultation documents. </w:t>
      </w:r>
    </w:p>
    <w:p w14:paraId="7352FD6F" w14:textId="77777777" w:rsidR="000005F4" w:rsidRDefault="000005F4" w:rsidP="000005F4">
      <w:pPr>
        <w:pStyle w:val="Heading2NoNumb"/>
      </w:pPr>
      <w:bookmarkStart w:id="375" w:name="_Toc408094042"/>
      <w:bookmarkStart w:id="376" w:name="_Toc408138043"/>
      <w:bookmarkStart w:id="377" w:name="_Toc408851032"/>
      <w:bookmarkStart w:id="378" w:name="_Toc421880708"/>
      <w:r>
        <w:t>EMFF</w:t>
      </w:r>
      <w:bookmarkEnd w:id="375"/>
      <w:bookmarkEnd w:id="376"/>
      <w:bookmarkEnd w:id="377"/>
      <w:bookmarkEnd w:id="378"/>
    </w:p>
    <w:p w14:paraId="51D18DEC" w14:textId="77777777" w:rsidR="000005F4" w:rsidRPr="004419C4" w:rsidRDefault="000005F4" w:rsidP="000005F4">
      <w:pPr>
        <w:rPr>
          <w:i/>
        </w:rPr>
      </w:pPr>
      <w:r w:rsidRPr="004419C4">
        <w:rPr>
          <w:i/>
        </w:rPr>
        <w:t xml:space="preserve">Note: Articles most directly relevant for Natura 2000 actions are highlighted. </w:t>
      </w:r>
    </w:p>
    <w:p w14:paraId="6F3E87A6" w14:textId="77777777" w:rsidR="000005F4" w:rsidRPr="00DA337C" w:rsidRDefault="000005F4" w:rsidP="000005F4">
      <w:pPr>
        <w:pStyle w:val="AnnexTable"/>
      </w:pPr>
      <w:bookmarkStart w:id="379" w:name="_Toc405993435"/>
      <w:bookmarkStart w:id="380" w:name="_Toc407942722"/>
      <w:bookmarkStart w:id="381" w:name="_Toc408094128"/>
      <w:bookmarkStart w:id="382" w:name="_Toc408851112"/>
      <w:r>
        <w:t>Summary of Wales-relevant articles in the EMFF Operational Programme</w:t>
      </w:r>
      <w:bookmarkEnd w:id="379"/>
      <w:bookmarkEnd w:id="380"/>
      <w:bookmarkEnd w:id="381"/>
      <w:bookmarkEnd w:id="382"/>
    </w:p>
    <w:tbl>
      <w:tblPr>
        <w:tblW w:w="9071" w:type="dxa"/>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Layout w:type="fixed"/>
        <w:tblCellMar>
          <w:top w:w="57" w:type="dxa"/>
          <w:left w:w="0" w:type="dxa"/>
          <w:bottom w:w="28" w:type="dxa"/>
          <w:right w:w="0" w:type="dxa"/>
        </w:tblCellMar>
        <w:tblLook w:val="0000" w:firstRow="0" w:lastRow="0" w:firstColumn="0" w:lastColumn="0" w:noHBand="0" w:noVBand="0"/>
      </w:tblPr>
      <w:tblGrid>
        <w:gridCol w:w="1982"/>
        <w:gridCol w:w="7089"/>
      </w:tblGrid>
      <w:tr w:rsidR="000005F4" w14:paraId="6F5784A9" w14:textId="77777777" w:rsidTr="000005F4">
        <w:trPr>
          <w:cantSplit/>
        </w:trPr>
        <w:tc>
          <w:tcPr>
            <w:tcW w:w="1982" w:type="dxa"/>
            <w:shd w:val="clear" w:color="auto" w:fill="auto"/>
          </w:tcPr>
          <w:p w14:paraId="4CE6E13E" w14:textId="77777777" w:rsidR="000005F4" w:rsidRDefault="000005F4" w:rsidP="000005F4">
            <w:pPr>
              <w:pStyle w:val="TableHeading"/>
            </w:pPr>
            <w:r>
              <w:t>Article Title</w:t>
            </w:r>
          </w:p>
        </w:tc>
        <w:tc>
          <w:tcPr>
            <w:tcW w:w="7089" w:type="dxa"/>
            <w:shd w:val="solid" w:color="0067AB" w:fill="0067AB"/>
          </w:tcPr>
          <w:p w14:paraId="505BDDC4" w14:textId="77777777" w:rsidR="000005F4" w:rsidRDefault="000005F4" w:rsidP="000005F4">
            <w:pPr>
              <w:pStyle w:val="TableHeadingWhite"/>
            </w:pPr>
            <w:r>
              <w:t>Article Detail</w:t>
            </w:r>
          </w:p>
        </w:tc>
      </w:tr>
      <w:tr w:rsidR="000005F4" w14:paraId="06FE34C9" w14:textId="77777777" w:rsidTr="000005F4">
        <w:tc>
          <w:tcPr>
            <w:tcW w:w="1982" w:type="dxa"/>
            <w:shd w:val="clear" w:color="auto" w:fill="auto"/>
          </w:tcPr>
          <w:p w14:paraId="0B894D25" w14:textId="77777777" w:rsidR="000005F4" w:rsidRPr="00F24942" w:rsidRDefault="000005F4" w:rsidP="000005F4">
            <w:pPr>
              <w:pStyle w:val="TableTextNoSpace"/>
              <w:rPr>
                <w:rFonts w:cs="Arial"/>
                <w:sz w:val="18"/>
                <w:szCs w:val="18"/>
              </w:rPr>
            </w:pPr>
            <w:r w:rsidRPr="00F24942">
              <w:rPr>
                <w:rFonts w:cs="Arial"/>
                <w:color w:val="000000"/>
                <w:sz w:val="18"/>
                <w:szCs w:val="18"/>
              </w:rPr>
              <w:t>Article 27</w:t>
            </w:r>
          </w:p>
        </w:tc>
        <w:tc>
          <w:tcPr>
            <w:tcW w:w="7089" w:type="dxa"/>
            <w:shd w:val="clear" w:color="auto" w:fill="auto"/>
          </w:tcPr>
          <w:p w14:paraId="2D6140C3" w14:textId="77777777" w:rsidR="000005F4" w:rsidRPr="00F24942" w:rsidRDefault="000005F4" w:rsidP="000005F4">
            <w:pPr>
              <w:pStyle w:val="TableTextNoSpace"/>
              <w:rPr>
                <w:rFonts w:cs="Arial"/>
                <w:sz w:val="18"/>
                <w:szCs w:val="18"/>
              </w:rPr>
            </w:pPr>
            <w:r w:rsidRPr="00F24942">
              <w:rPr>
                <w:rFonts w:cs="Arial"/>
                <w:color w:val="000000"/>
                <w:sz w:val="18"/>
                <w:szCs w:val="18"/>
              </w:rPr>
              <w:t>Advisory services. (1)(b) Provisioning professional advice on environmental sustainability, with a focus on limiting and, where possible, eliminating the negative impact of fishing activities on marine, terrestrial and freshwater ecosystems</w:t>
            </w:r>
          </w:p>
        </w:tc>
      </w:tr>
      <w:tr w:rsidR="000005F4" w14:paraId="2468006C" w14:textId="77777777" w:rsidTr="000005F4">
        <w:tc>
          <w:tcPr>
            <w:tcW w:w="1982" w:type="dxa"/>
            <w:shd w:val="clear" w:color="auto" w:fill="auto"/>
          </w:tcPr>
          <w:p w14:paraId="613BC27B" w14:textId="77777777" w:rsidR="000005F4" w:rsidRPr="00F24942" w:rsidRDefault="000005F4" w:rsidP="000005F4">
            <w:pPr>
              <w:pStyle w:val="TableTextNoSpace"/>
              <w:rPr>
                <w:rFonts w:cs="Arial"/>
                <w:sz w:val="18"/>
                <w:szCs w:val="18"/>
              </w:rPr>
            </w:pPr>
            <w:r w:rsidRPr="00F24942">
              <w:rPr>
                <w:rFonts w:cs="Arial"/>
                <w:color w:val="000000"/>
                <w:sz w:val="18"/>
                <w:szCs w:val="18"/>
              </w:rPr>
              <w:t xml:space="preserve">Article 28 </w:t>
            </w:r>
          </w:p>
        </w:tc>
        <w:tc>
          <w:tcPr>
            <w:tcW w:w="7089" w:type="dxa"/>
            <w:shd w:val="clear" w:color="auto" w:fill="auto"/>
          </w:tcPr>
          <w:p w14:paraId="4CA0E31E" w14:textId="77777777" w:rsidR="000005F4" w:rsidRPr="00F24942" w:rsidRDefault="000005F4" w:rsidP="000005F4">
            <w:pPr>
              <w:pStyle w:val="TableTextNoSpace"/>
              <w:rPr>
                <w:rFonts w:cs="Arial"/>
                <w:color w:val="000000"/>
                <w:sz w:val="18"/>
                <w:szCs w:val="18"/>
              </w:rPr>
            </w:pPr>
            <w:r w:rsidRPr="00F24942">
              <w:rPr>
                <w:rFonts w:cs="Arial"/>
                <w:color w:val="000000"/>
                <w:sz w:val="18"/>
                <w:szCs w:val="18"/>
              </w:rPr>
              <w:t>Partnerships between scientists  and fishermen, with a view to transfer knowledge: data collection and management activities, studies, pilot projects, dissemination of knowledge and research results, seminars and best practices</w:t>
            </w:r>
          </w:p>
          <w:p w14:paraId="5335C818" w14:textId="77777777" w:rsidR="000005F4" w:rsidRPr="00F24942" w:rsidRDefault="000005F4" w:rsidP="000005F4">
            <w:pPr>
              <w:pStyle w:val="TableTextNoSpace"/>
              <w:rPr>
                <w:rFonts w:cs="Arial"/>
                <w:color w:val="000000"/>
                <w:sz w:val="18"/>
                <w:szCs w:val="18"/>
              </w:rPr>
            </w:pPr>
            <w:r w:rsidRPr="00F24942">
              <w:rPr>
                <w:rFonts w:cs="Arial"/>
                <w:color w:val="000000"/>
                <w:sz w:val="18"/>
                <w:szCs w:val="18"/>
              </w:rPr>
              <w:t xml:space="preserve">(1)(a)(b) Creation of and activities carried out by a network composed by one or more independent scientific bodies and fishermen or one or more organisations of fishermen; </w:t>
            </w:r>
          </w:p>
          <w:p w14:paraId="514A2486" w14:textId="77777777" w:rsidR="000005F4" w:rsidRPr="00F24942" w:rsidRDefault="000005F4" w:rsidP="000005F4">
            <w:pPr>
              <w:pStyle w:val="TableTextNoSpace"/>
              <w:rPr>
                <w:rFonts w:cs="Arial"/>
                <w:sz w:val="18"/>
                <w:szCs w:val="18"/>
              </w:rPr>
            </w:pPr>
            <w:r w:rsidRPr="00F24942">
              <w:rPr>
                <w:rFonts w:cs="Arial"/>
                <w:color w:val="000000"/>
                <w:sz w:val="18"/>
                <w:szCs w:val="18"/>
              </w:rPr>
              <w:t>(2) Activities may cover data collection and  management activities, studies, pilot projects, dissemination of knowledge and research results, seminars</w:t>
            </w:r>
            <w:r w:rsidRPr="00F24942">
              <w:rPr>
                <w:rFonts w:cs="Arial"/>
                <w:color w:val="000000"/>
                <w:sz w:val="18"/>
                <w:szCs w:val="18"/>
              </w:rPr>
              <w:br/>
              <w:t>and best practices</w:t>
            </w:r>
          </w:p>
        </w:tc>
      </w:tr>
      <w:tr w:rsidR="000005F4" w14:paraId="41736A85" w14:textId="77777777" w:rsidTr="000005F4">
        <w:tc>
          <w:tcPr>
            <w:tcW w:w="1982" w:type="dxa"/>
            <w:shd w:val="clear" w:color="auto" w:fill="auto"/>
          </w:tcPr>
          <w:p w14:paraId="44E4FD9C" w14:textId="77777777" w:rsidR="000005F4" w:rsidRPr="00F24942" w:rsidRDefault="000005F4" w:rsidP="000005F4">
            <w:pPr>
              <w:pStyle w:val="TableTextNoSpace"/>
              <w:rPr>
                <w:rFonts w:cs="Arial"/>
                <w:sz w:val="18"/>
                <w:szCs w:val="18"/>
              </w:rPr>
            </w:pPr>
            <w:r w:rsidRPr="00F24942">
              <w:rPr>
                <w:rFonts w:cs="Arial"/>
                <w:color w:val="000000"/>
                <w:sz w:val="18"/>
                <w:szCs w:val="18"/>
              </w:rPr>
              <w:t xml:space="preserve">Article 29(1)(a) </w:t>
            </w:r>
          </w:p>
        </w:tc>
        <w:tc>
          <w:tcPr>
            <w:tcW w:w="7089" w:type="dxa"/>
            <w:shd w:val="clear" w:color="auto" w:fill="auto"/>
          </w:tcPr>
          <w:p w14:paraId="1FE2235D" w14:textId="77777777" w:rsidR="000005F4" w:rsidRPr="00F24942" w:rsidRDefault="000005F4" w:rsidP="000005F4">
            <w:pPr>
              <w:pStyle w:val="TableTextNoSpace"/>
              <w:rPr>
                <w:rFonts w:cs="Arial"/>
                <w:sz w:val="18"/>
                <w:szCs w:val="18"/>
              </w:rPr>
            </w:pPr>
            <w:r w:rsidRPr="00F24942">
              <w:rPr>
                <w:rFonts w:cs="Arial"/>
                <w:color w:val="000000"/>
                <w:sz w:val="18"/>
                <w:szCs w:val="18"/>
              </w:rPr>
              <w:t>Promotion of human capital, job creation and social dialogue. (1)(a) Professional training, lifelong learning, joint projects, the dissemination</w:t>
            </w:r>
            <w:r>
              <w:rPr>
                <w:rFonts w:cs="Arial"/>
                <w:color w:val="000000"/>
                <w:sz w:val="18"/>
                <w:szCs w:val="18"/>
              </w:rPr>
              <w:t xml:space="preserve"> </w:t>
            </w:r>
            <w:r w:rsidRPr="00F24942">
              <w:rPr>
                <w:rFonts w:cs="Arial"/>
                <w:color w:val="000000"/>
                <w:sz w:val="18"/>
                <w:szCs w:val="18"/>
              </w:rPr>
              <w:t>of knowledge of an economic, technical, regulatory or scientific nature</w:t>
            </w:r>
            <w:r>
              <w:rPr>
                <w:rFonts w:cs="Arial"/>
                <w:color w:val="000000"/>
                <w:sz w:val="18"/>
                <w:szCs w:val="18"/>
              </w:rPr>
              <w:t xml:space="preserve"> </w:t>
            </w:r>
            <w:r w:rsidRPr="00F24942">
              <w:rPr>
                <w:rFonts w:cs="Arial"/>
                <w:color w:val="000000"/>
                <w:sz w:val="18"/>
                <w:szCs w:val="18"/>
              </w:rPr>
              <w:t>and of innovative practices, and the acquisition of new professional skills,</w:t>
            </w:r>
            <w:r>
              <w:rPr>
                <w:rFonts w:cs="Arial"/>
                <w:color w:val="000000"/>
                <w:sz w:val="18"/>
                <w:szCs w:val="18"/>
              </w:rPr>
              <w:t xml:space="preserve"> </w:t>
            </w:r>
            <w:r w:rsidRPr="00F24942">
              <w:rPr>
                <w:rFonts w:cs="Arial"/>
                <w:color w:val="000000"/>
                <w:sz w:val="18"/>
                <w:szCs w:val="18"/>
              </w:rPr>
              <w:t>in particular linked to the sustainable management of marine ecosystems</w:t>
            </w:r>
            <w:r>
              <w:rPr>
                <w:rFonts w:cs="Arial"/>
                <w:color w:val="000000"/>
                <w:sz w:val="18"/>
                <w:szCs w:val="18"/>
              </w:rPr>
              <w:t xml:space="preserve"> </w:t>
            </w:r>
            <w:r w:rsidRPr="00F24942">
              <w:rPr>
                <w:rFonts w:cs="Arial"/>
                <w:color w:val="000000"/>
                <w:sz w:val="18"/>
                <w:szCs w:val="18"/>
              </w:rPr>
              <w:t>[…]</w:t>
            </w:r>
          </w:p>
        </w:tc>
      </w:tr>
      <w:tr w:rsidR="000005F4" w14:paraId="10DB52EA" w14:textId="77777777" w:rsidTr="000005F4">
        <w:tc>
          <w:tcPr>
            <w:tcW w:w="1982" w:type="dxa"/>
            <w:shd w:val="clear" w:color="auto" w:fill="auto"/>
          </w:tcPr>
          <w:p w14:paraId="03CA51F4" w14:textId="77777777" w:rsidR="000005F4" w:rsidRPr="00F24942" w:rsidRDefault="000005F4" w:rsidP="000005F4">
            <w:pPr>
              <w:pStyle w:val="TableTextNoSpace"/>
              <w:rPr>
                <w:rFonts w:cs="Arial"/>
                <w:sz w:val="18"/>
                <w:szCs w:val="18"/>
              </w:rPr>
            </w:pPr>
            <w:r w:rsidRPr="00F24942">
              <w:rPr>
                <w:rFonts w:cs="Arial"/>
                <w:color w:val="000000"/>
                <w:sz w:val="18"/>
                <w:szCs w:val="18"/>
              </w:rPr>
              <w:t xml:space="preserve">Article 30(1) </w:t>
            </w:r>
          </w:p>
        </w:tc>
        <w:tc>
          <w:tcPr>
            <w:tcW w:w="7089" w:type="dxa"/>
            <w:shd w:val="clear" w:color="auto" w:fill="auto"/>
          </w:tcPr>
          <w:p w14:paraId="03B6A4C2" w14:textId="77777777" w:rsidR="000005F4" w:rsidRPr="00F24942" w:rsidRDefault="000005F4" w:rsidP="000005F4">
            <w:pPr>
              <w:pStyle w:val="TableTextNoSpace"/>
              <w:rPr>
                <w:rFonts w:cs="Arial"/>
                <w:color w:val="000000"/>
                <w:sz w:val="18"/>
                <w:szCs w:val="18"/>
              </w:rPr>
            </w:pPr>
            <w:r w:rsidRPr="00F24942">
              <w:rPr>
                <w:rFonts w:cs="Arial"/>
                <w:color w:val="000000"/>
                <w:sz w:val="18"/>
                <w:szCs w:val="18"/>
              </w:rPr>
              <w:t>Diversification and new forms of income (1) Investments contributing to the diversification of the income of fishermen through the development of complementary activities, including investments on board, angling tourism, restaurants, environmental services related to fishing and educational activities concerning fishing</w:t>
            </w:r>
          </w:p>
        </w:tc>
      </w:tr>
      <w:tr w:rsidR="000005F4" w14:paraId="66D32A4E" w14:textId="77777777" w:rsidTr="000005F4">
        <w:tc>
          <w:tcPr>
            <w:tcW w:w="1982" w:type="dxa"/>
            <w:shd w:val="clear" w:color="auto" w:fill="auto"/>
          </w:tcPr>
          <w:p w14:paraId="49088378" w14:textId="77777777" w:rsidR="000005F4" w:rsidRPr="00F24942" w:rsidRDefault="000005F4" w:rsidP="000005F4">
            <w:pPr>
              <w:pStyle w:val="TableTextNoSpace"/>
              <w:rPr>
                <w:rFonts w:cs="Arial"/>
                <w:sz w:val="18"/>
                <w:szCs w:val="18"/>
              </w:rPr>
            </w:pPr>
            <w:r w:rsidRPr="00F24942">
              <w:rPr>
                <w:rFonts w:cs="Arial"/>
                <w:color w:val="000000"/>
                <w:sz w:val="18"/>
                <w:szCs w:val="18"/>
              </w:rPr>
              <w:t xml:space="preserve">Article 37(1)(b) </w:t>
            </w:r>
          </w:p>
        </w:tc>
        <w:tc>
          <w:tcPr>
            <w:tcW w:w="7089" w:type="dxa"/>
            <w:shd w:val="clear" w:color="auto" w:fill="auto"/>
          </w:tcPr>
          <w:p w14:paraId="66A86FBA" w14:textId="77777777" w:rsidR="000005F4" w:rsidRPr="00F24942" w:rsidRDefault="000005F4" w:rsidP="000005F4">
            <w:pPr>
              <w:pStyle w:val="TableTextNoSpace"/>
              <w:rPr>
                <w:rFonts w:cs="Arial"/>
                <w:sz w:val="18"/>
                <w:szCs w:val="18"/>
              </w:rPr>
            </w:pPr>
            <w:r w:rsidRPr="00F24942">
              <w:rPr>
                <w:rFonts w:cs="Arial"/>
                <w:color w:val="000000"/>
                <w:sz w:val="18"/>
                <w:szCs w:val="18"/>
              </w:rPr>
              <w:t>Design and implementation of conservation measures and regional</w:t>
            </w:r>
            <w:r w:rsidRPr="00F24942">
              <w:rPr>
                <w:rFonts w:cs="Arial"/>
                <w:color w:val="000000"/>
                <w:sz w:val="18"/>
                <w:szCs w:val="18"/>
              </w:rPr>
              <w:br/>
              <w:t>cooperation (1)(b) Stakeholder participation and cooperation between Member States in designing and implementing conservation measures and regionalisation</w:t>
            </w:r>
          </w:p>
        </w:tc>
      </w:tr>
      <w:tr w:rsidR="000005F4" w14:paraId="047A828F" w14:textId="77777777" w:rsidTr="000005F4">
        <w:tc>
          <w:tcPr>
            <w:tcW w:w="1982" w:type="dxa"/>
            <w:shd w:val="clear" w:color="auto" w:fill="auto"/>
          </w:tcPr>
          <w:p w14:paraId="4E0AD637" w14:textId="77777777" w:rsidR="000005F4" w:rsidRPr="00F24942" w:rsidRDefault="000005F4" w:rsidP="000005F4">
            <w:pPr>
              <w:pStyle w:val="TableTextNoSpace"/>
              <w:rPr>
                <w:rFonts w:cs="Arial"/>
                <w:sz w:val="18"/>
                <w:szCs w:val="18"/>
              </w:rPr>
            </w:pPr>
            <w:r w:rsidRPr="00F24942">
              <w:rPr>
                <w:rFonts w:cs="Arial"/>
                <w:color w:val="000000"/>
                <w:sz w:val="18"/>
                <w:szCs w:val="18"/>
              </w:rPr>
              <w:t xml:space="preserve">Article 38(1)(a–d) </w:t>
            </w:r>
          </w:p>
        </w:tc>
        <w:tc>
          <w:tcPr>
            <w:tcW w:w="7089" w:type="dxa"/>
            <w:shd w:val="clear" w:color="auto" w:fill="auto"/>
          </w:tcPr>
          <w:p w14:paraId="10C8DAB1" w14:textId="77777777" w:rsidR="000005F4" w:rsidRPr="00F24942" w:rsidRDefault="000005F4" w:rsidP="0069296B">
            <w:pPr>
              <w:pStyle w:val="TableTextNoSpace"/>
              <w:jc w:val="left"/>
              <w:rPr>
                <w:rFonts w:cs="Arial"/>
                <w:sz w:val="18"/>
                <w:szCs w:val="18"/>
              </w:rPr>
            </w:pPr>
            <w:r w:rsidRPr="00F24942">
              <w:rPr>
                <w:rFonts w:cs="Arial"/>
                <w:color w:val="000000"/>
                <w:sz w:val="18"/>
                <w:szCs w:val="18"/>
              </w:rPr>
              <w:t xml:space="preserve">Limitation of the impact of fishing on the marine environment and adaptation of fishing to the protection of species. </w:t>
            </w:r>
            <w:r w:rsidRPr="00F24942">
              <w:rPr>
                <w:rFonts w:cs="Arial"/>
                <w:color w:val="000000"/>
                <w:sz w:val="18"/>
                <w:szCs w:val="18"/>
              </w:rPr>
              <w:br/>
              <w:t>(1)(a) Investment in equipment improving size selectivity or species selectivity of fishing gear</w:t>
            </w:r>
            <w:r w:rsidRPr="00F24942">
              <w:rPr>
                <w:rFonts w:cs="Arial"/>
                <w:color w:val="000000"/>
                <w:sz w:val="18"/>
                <w:szCs w:val="18"/>
              </w:rPr>
              <w:br/>
              <w:t>(1)(b) Investment in on board or in equipment that eliminates discards by avoiding and reducing unwanted  catches of commercial stocks, or that deals with unwanted catches</w:t>
            </w:r>
            <w:r w:rsidRPr="00F24942">
              <w:rPr>
                <w:rFonts w:cs="Arial"/>
                <w:color w:val="000000"/>
                <w:sz w:val="18"/>
                <w:szCs w:val="18"/>
              </w:rPr>
              <w:br/>
              <w:t>(1)(c) Investment in equipment that limits and, where possible, eliminates the physical and biological impacts of fishing on ecosystem or sea bed</w:t>
            </w:r>
            <w:r w:rsidRPr="00F24942">
              <w:rPr>
                <w:rFonts w:cs="Arial"/>
                <w:color w:val="000000"/>
                <w:sz w:val="18"/>
                <w:szCs w:val="18"/>
              </w:rPr>
              <w:br/>
              <w:t>(1)(d) Investment in equipment that protects gear and catches from mammals and birds protected by Habitats and Birds Directives, provided that it does not undermine the selectivity of the fishing gear and that all appropriate measures are introduced to avoid physical damage to the predators</w:t>
            </w:r>
          </w:p>
        </w:tc>
      </w:tr>
      <w:tr w:rsidR="000005F4" w14:paraId="24690C34" w14:textId="77777777" w:rsidTr="000005F4">
        <w:tc>
          <w:tcPr>
            <w:tcW w:w="1982" w:type="dxa"/>
            <w:shd w:val="clear" w:color="auto" w:fill="auto"/>
          </w:tcPr>
          <w:p w14:paraId="6AEF5BA6" w14:textId="77777777" w:rsidR="000005F4" w:rsidRPr="00F24942" w:rsidRDefault="000005F4" w:rsidP="000005F4">
            <w:pPr>
              <w:pStyle w:val="TableTextNoSpace"/>
              <w:rPr>
                <w:rFonts w:cs="Arial"/>
                <w:sz w:val="18"/>
                <w:szCs w:val="18"/>
              </w:rPr>
            </w:pPr>
            <w:r w:rsidRPr="00F24942">
              <w:rPr>
                <w:rFonts w:cs="Arial"/>
                <w:color w:val="000000"/>
                <w:sz w:val="18"/>
                <w:szCs w:val="18"/>
              </w:rPr>
              <w:t xml:space="preserve">Article 39 </w:t>
            </w:r>
          </w:p>
        </w:tc>
        <w:tc>
          <w:tcPr>
            <w:tcW w:w="7089" w:type="dxa"/>
            <w:shd w:val="clear" w:color="auto" w:fill="auto"/>
          </w:tcPr>
          <w:p w14:paraId="7B9BD5E1" w14:textId="77777777" w:rsidR="000005F4" w:rsidRPr="00F24942" w:rsidRDefault="000005F4" w:rsidP="000005F4">
            <w:pPr>
              <w:pStyle w:val="TableTextNoSpace"/>
              <w:rPr>
                <w:rFonts w:cs="Arial"/>
                <w:sz w:val="18"/>
                <w:szCs w:val="18"/>
              </w:rPr>
            </w:pPr>
            <w:r w:rsidRPr="00F24942">
              <w:rPr>
                <w:rFonts w:cs="Arial"/>
                <w:color w:val="000000"/>
                <w:sz w:val="18"/>
                <w:szCs w:val="18"/>
              </w:rPr>
              <w:t>Innovation linked to the conservation of marine biological resources. Support to operations aimed at developing or introducing new technical or organisational knowledge that reduces the impact of fishing activities on the environment, including improved fishing techniques and gear selectivity, or aimed at achieving a more sustainable use of marine biological resources and coexistence with protected predators</w:t>
            </w:r>
          </w:p>
        </w:tc>
      </w:tr>
      <w:tr w:rsidR="000005F4" w14:paraId="3FF327BA" w14:textId="77777777" w:rsidTr="000005F4">
        <w:tc>
          <w:tcPr>
            <w:tcW w:w="1982" w:type="dxa"/>
            <w:shd w:val="clear" w:color="auto" w:fill="auto"/>
          </w:tcPr>
          <w:p w14:paraId="6D05FD48" w14:textId="77777777" w:rsidR="000005F4" w:rsidRPr="00F24942" w:rsidRDefault="000005F4" w:rsidP="000005F4">
            <w:pPr>
              <w:pStyle w:val="TableTextNoSpace"/>
              <w:rPr>
                <w:rFonts w:cs="Arial"/>
                <w:sz w:val="18"/>
                <w:szCs w:val="18"/>
              </w:rPr>
            </w:pPr>
            <w:r w:rsidRPr="00F24942">
              <w:rPr>
                <w:rFonts w:cs="Arial"/>
                <w:color w:val="000000"/>
                <w:sz w:val="18"/>
                <w:szCs w:val="18"/>
              </w:rPr>
              <w:t xml:space="preserve">Article 40(1)(a) </w:t>
            </w:r>
          </w:p>
        </w:tc>
        <w:tc>
          <w:tcPr>
            <w:tcW w:w="7089" w:type="dxa"/>
            <w:shd w:val="clear" w:color="auto" w:fill="auto"/>
          </w:tcPr>
          <w:p w14:paraId="19D29D8F" w14:textId="77777777" w:rsidR="000005F4" w:rsidRPr="00F24942" w:rsidRDefault="000005F4" w:rsidP="000005F4">
            <w:pPr>
              <w:pStyle w:val="TableTextNoSpace"/>
              <w:rPr>
                <w:rFonts w:cs="Arial"/>
                <w:sz w:val="18"/>
                <w:szCs w:val="18"/>
              </w:rPr>
            </w:pPr>
            <w:r w:rsidRPr="00F24942">
              <w:rPr>
                <w:rFonts w:cs="Arial"/>
                <w:color w:val="000000"/>
                <w:sz w:val="18"/>
                <w:szCs w:val="18"/>
              </w:rPr>
              <w:t>Protection and restoration of marine biodiversity and ecosystems and compensation regimes. 1)(a) Collection of waste by fishermen from the sea such as the removal of lost fishing gear and marine litter</w:t>
            </w:r>
          </w:p>
        </w:tc>
      </w:tr>
      <w:tr w:rsidR="000005F4" w14:paraId="2C2DF082" w14:textId="77777777" w:rsidTr="000005F4">
        <w:tc>
          <w:tcPr>
            <w:tcW w:w="1982" w:type="dxa"/>
            <w:shd w:val="clear" w:color="auto" w:fill="auto"/>
          </w:tcPr>
          <w:p w14:paraId="6E47EDEC" w14:textId="77777777" w:rsidR="000005F4" w:rsidRPr="00F24942" w:rsidRDefault="000005F4" w:rsidP="000005F4">
            <w:pPr>
              <w:pStyle w:val="TableTextNoSpace"/>
              <w:rPr>
                <w:rFonts w:cs="Arial"/>
                <w:sz w:val="18"/>
                <w:szCs w:val="18"/>
              </w:rPr>
            </w:pPr>
            <w:r w:rsidRPr="00F24942">
              <w:rPr>
                <w:rFonts w:cs="Arial"/>
                <w:color w:val="000000"/>
                <w:sz w:val="18"/>
                <w:szCs w:val="18"/>
              </w:rPr>
              <w:t xml:space="preserve">Article 40(1)(b) </w:t>
            </w:r>
          </w:p>
        </w:tc>
        <w:tc>
          <w:tcPr>
            <w:tcW w:w="7089" w:type="dxa"/>
            <w:shd w:val="clear" w:color="auto" w:fill="auto"/>
          </w:tcPr>
          <w:p w14:paraId="587F7164" w14:textId="77777777" w:rsidR="000005F4" w:rsidRPr="00F24942" w:rsidRDefault="000005F4" w:rsidP="000005F4">
            <w:pPr>
              <w:pStyle w:val="TableTextNoSpace"/>
              <w:rPr>
                <w:rFonts w:cs="Arial"/>
                <w:sz w:val="18"/>
                <w:szCs w:val="18"/>
              </w:rPr>
            </w:pPr>
            <w:r w:rsidRPr="00F24942">
              <w:rPr>
                <w:rFonts w:cs="Arial"/>
                <w:color w:val="000000"/>
                <w:sz w:val="18"/>
                <w:szCs w:val="18"/>
              </w:rPr>
              <w:t>Protection and restoration of marine biodiversity and ecosystems and compensation regimes. (1)(b) Construction, installation or modernisation of static or movable facilities intended to protect and enhance marine fauna and flora, including their scientific preparation and evaluation</w:t>
            </w:r>
          </w:p>
        </w:tc>
      </w:tr>
      <w:tr w:rsidR="000005F4" w14:paraId="180D079C" w14:textId="77777777" w:rsidTr="000005F4">
        <w:tc>
          <w:tcPr>
            <w:tcW w:w="1982" w:type="dxa"/>
            <w:shd w:val="clear" w:color="auto" w:fill="auto"/>
          </w:tcPr>
          <w:p w14:paraId="79706345" w14:textId="77777777" w:rsidR="000005F4" w:rsidRPr="00F24942" w:rsidRDefault="000005F4" w:rsidP="000005F4">
            <w:pPr>
              <w:pStyle w:val="TableTextNoSpace"/>
              <w:rPr>
                <w:rFonts w:cs="Arial"/>
                <w:sz w:val="18"/>
                <w:szCs w:val="18"/>
              </w:rPr>
            </w:pPr>
            <w:r w:rsidRPr="00F24942">
              <w:rPr>
                <w:rFonts w:cs="Arial"/>
                <w:color w:val="000000"/>
                <w:sz w:val="18"/>
                <w:szCs w:val="18"/>
              </w:rPr>
              <w:t>Article 40(1)(c)</w:t>
            </w:r>
          </w:p>
        </w:tc>
        <w:tc>
          <w:tcPr>
            <w:tcW w:w="7089" w:type="dxa"/>
            <w:shd w:val="clear" w:color="auto" w:fill="auto"/>
          </w:tcPr>
          <w:p w14:paraId="679D492C" w14:textId="77777777" w:rsidR="000005F4" w:rsidRPr="00F24942" w:rsidRDefault="000005F4" w:rsidP="000005F4">
            <w:pPr>
              <w:pStyle w:val="TableTextNoSpace"/>
              <w:rPr>
                <w:rFonts w:cs="Arial"/>
                <w:sz w:val="18"/>
                <w:szCs w:val="18"/>
              </w:rPr>
            </w:pPr>
            <w:r w:rsidRPr="00F24942">
              <w:rPr>
                <w:rFonts w:cs="Arial"/>
                <w:color w:val="000000"/>
                <w:sz w:val="18"/>
                <w:szCs w:val="18"/>
              </w:rPr>
              <w:t>Protection and restoration of marine biodiversity and ecosystems and compensation regimes. 1)(c) better management or conservation of marine biological resources</w:t>
            </w:r>
          </w:p>
        </w:tc>
      </w:tr>
      <w:tr w:rsidR="000005F4" w14:paraId="25F21325" w14:textId="77777777" w:rsidTr="000005F4">
        <w:tc>
          <w:tcPr>
            <w:tcW w:w="1982" w:type="dxa"/>
            <w:shd w:val="clear" w:color="auto" w:fill="EAF1DD" w:themeFill="accent3" w:themeFillTint="33"/>
          </w:tcPr>
          <w:p w14:paraId="46E9B15B" w14:textId="77777777" w:rsidR="000005F4" w:rsidRPr="00F24942" w:rsidRDefault="000005F4" w:rsidP="000005F4">
            <w:pPr>
              <w:pStyle w:val="TableTextNoSpace"/>
              <w:rPr>
                <w:rFonts w:cs="Arial"/>
                <w:sz w:val="18"/>
                <w:szCs w:val="18"/>
              </w:rPr>
            </w:pPr>
            <w:r w:rsidRPr="00F24942">
              <w:rPr>
                <w:rFonts w:cs="Arial"/>
                <w:sz w:val="18"/>
                <w:szCs w:val="18"/>
              </w:rPr>
              <w:t xml:space="preserve">Article 40(1)(d) </w:t>
            </w:r>
          </w:p>
        </w:tc>
        <w:tc>
          <w:tcPr>
            <w:tcW w:w="7089" w:type="dxa"/>
            <w:shd w:val="clear" w:color="auto" w:fill="EAF1DD" w:themeFill="accent3" w:themeFillTint="33"/>
          </w:tcPr>
          <w:p w14:paraId="0E45C70E" w14:textId="77777777" w:rsidR="000005F4" w:rsidRPr="00F24942" w:rsidRDefault="000005F4" w:rsidP="000005F4">
            <w:pPr>
              <w:pStyle w:val="TableTextNoSpace"/>
              <w:rPr>
                <w:rFonts w:cs="Arial"/>
                <w:sz w:val="18"/>
                <w:szCs w:val="18"/>
              </w:rPr>
            </w:pPr>
            <w:r w:rsidRPr="00F24942">
              <w:rPr>
                <w:rFonts w:cs="Arial"/>
                <w:sz w:val="18"/>
                <w:szCs w:val="18"/>
              </w:rPr>
              <w:t>Protection and restoration of marine biodiversity and ecosystems and compensation regimes. 1)(d) preparation, including studies, drawing-up, monitoring and updating of protection and management plans for fishery-related activities relating to Natura 2000 sites and spatial protected areas under MSFD and relating to other special habitats</w:t>
            </w:r>
          </w:p>
        </w:tc>
      </w:tr>
      <w:tr w:rsidR="000005F4" w14:paraId="1F69B574" w14:textId="77777777" w:rsidTr="000005F4">
        <w:tc>
          <w:tcPr>
            <w:tcW w:w="1982" w:type="dxa"/>
            <w:shd w:val="clear" w:color="auto" w:fill="EAF1DD" w:themeFill="accent3" w:themeFillTint="33"/>
          </w:tcPr>
          <w:p w14:paraId="52D5289D" w14:textId="77777777" w:rsidR="000005F4" w:rsidRPr="00F24942" w:rsidRDefault="000005F4" w:rsidP="000005F4">
            <w:pPr>
              <w:pStyle w:val="TableTextNoSpace"/>
              <w:rPr>
                <w:rFonts w:cs="Arial"/>
                <w:sz w:val="18"/>
                <w:szCs w:val="18"/>
              </w:rPr>
            </w:pPr>
            <w:r w:rsidRPr="00F24942">
              <w:rPr>
                <w:rFonts w:cs="Arial"/>
                <w:sz w:val="18"/>
                <w:szCs w:val="18"/>
              </w:rPr>
              <w:t xml:space="preserve">Article 40(1)(e) </w:t>
            </w:r>
          </w:p>
        </w:tc>
        <w:tc>
          <w:tcPr>
            <w:tcW w:w="7089" w:type="dxa"/>
            <w:shd w:val="clear" w:color="auto" w:fill="EAF1DD" w:themeFill="accent3" w:themeFillTint="33"/>
          </w:tcPr>
          <w:p w14:paraId="5683F563" w14:textId="77777777" w:rsidR="000005F4" w:rsidRPr="00F24942" w:rsidRDefault="000005F4" w:rsidP="000005F4">
            <w:pPr>
              <w:pStyle w:val="TableTextNoSpace"/>
              <w:rPr>
                <w:rFonts w:cs="Arial"/>
                <w:sz w:val="18"/>
                <w:szCs w:val="18"/>
              </w:rPr>
            </w:pPr>
            <w:r w:rsidRPr="00F24942">
              <w:rPr>
                <w:rFonts w:cs="Arial"/>
                <w:sz w:val="18"/>
                <w:szCs w:val="18"/>
              </w:rPr>
              <w:t>Protection and restoration of marine biodiversity and ecosystems and compensation regimes. (1)(e) Management, restoration and monitoring of Natura 2000 sites</w:t>
            </w:r>
          </w:p>
        </w:tc>
      </w:tr>
      <w:tr w:rsidR="000005F4" w14:paraId="33A40C32" w14:textId="77777777" w:rsidTr="000005F4">
        <w:tc>
          <w:tcPr>
            <w:tcW w:w="1982" w:type="dxa"/>
            <w:shd w:val="clear" w:color="auto" w:fill="EAF1DD" w:themeFill="accent3" w:themeFillTint="33"/>
          </w:tcPr>
          <w:p w14:paraId="3562D87E" w14:textId="77777777" w:rsidR="000005F4" w:rsidRPr="00F24942" w:rsidRDefault="000005F4" w:rsidP="000005F4">
            <w:pPr>
              <w:pStyle w:val="TableTextNoSpace"/>
              <w:rPr>
                <w:rFonts w:cs="Arial"/>
                <w:sz w:val="18"/>
                <w:szCs w:val="18"/>
              </w:rPr>
            </w:pPr>
            <w:r w:rsidRPr="00F24942">
              <w:rPr>
                <w:rFonts w:cs="Arial"/>
                <w:sz w:val="18"/>
                <w:szCs w:val="18"/>
              </w:rPr>
              <w:t xml:space="preserve">Article 40(1)(f) </w:t>
            </w:r>
          </w:p>
        </w:tc>
        <w:tc>
          <w:tcPr>
            <w:tcW w:w="7089" w:type="dxa"/>
            <w:shd w:val="clear" w:color="auto" w:fill="EAF1DD" w:themeFill="accent3" w:themeFillTint="33"/>
          </w:tcPr>
          <w:p w14:paraId="2C1819D7" w14:textId="77777777" w:rsidR="000005F4" w:rsidRPr="00F24942" w:rsidRDefault="000005F4" w:rsidP="000005F4">
            <w:pPr>
              <w:pStyle w:val="TableTextNoSpace"/>
              <w:rPr>
                <w:rFonts w:cs="Arial"/>
                <w:sz w:val="18"/>
                <w:szCs w:val="18"/>
              </w:rPr>
            </w:pPr>
            <w:r w:rsidRPr="00F24942">
              <w:rPr>
                <w:rFonts w:cs="Arial"/>
                <w:sz w:val="18"/>
                <w:szCs w:val="18"/>
              </w:rPr>
              <w:t>Protection and restoration of marine biodiversity and ecosystems and compensation regimes. (1)(f) Support for management, restoration and monitoring of MPAs in view of the implementation of the spatial protection measures referred to in the MSFD</w:t>
            </w:r>
          </w:p>
        </w:tc>
      </w:tr>
      <w:tr w:rsidR="000005F4" w14:paraId="6ED935F0" w14:textId="77777777" w:rsidTr="000005F4">
        <w:tc>
          <w:tcPr>
            <w:tcW w:w="1982" w:type="dxa"/>
            <w:shd w:val="clear" w:color="auto" w:fill="EAF1DD" w:themeFill="accent3" w:themeFillTint="33"/>
          </w:tcPr>
          <w:p w14:paraId="3774B1C2" w14:textId="77777777" w:rsidR="000005F4" w:rsidRPr="00F24942" w:rsidRDefault="000005F4" w:rsidP="000005F4">
            <w:pPr>
              <w:pStyle w:val="TableTextNoSpace"/>
              <w:rPr>
                <w:rFonts w:cs="Arial"/>
                <w:sz w:val="18"/>
                <w:szCs w:val="18"/>
              </w:rPr>
            </w:pPr>
            <w:r w:rsidRPr="00F24942">
              <w:rPr>
                <w:rFonts w:cs="Arial"/>
                <w:sz w:val="18"/>
                <w:szCs w:val="18"/>
              </w:rPr>
              <w:t xml:space="preserve">Article 40(1)(g) </w:t>
            </w:r>
          </w:p>
        </w:tc>
        <w:tc>
          <w:tcPr>
            <w:tcW w:w="7089" w:type="dxa"/>
            <w:shd w:val="clear" w:color="auto" w:fill="EAF1DD" w:themeFill="accent3" w:themeFillTint="33"/>
          </w:tcPr>
          <w:p w14:paraId="12D41FEB" w14:textId="77777777" w:rsidR="000005F4" w:rsidRPr="00F24942" w:rsidRDefault="000005F4" w:rsidP="000005F4">
            <w:pPr>
              <w:pStyle w:val="TableTextNoSpace"/>
              <w:rPr>
                <w:rFonts w:cs="Arial"/>
                <w:sz w:val="18"/>
                <w:szCs w:val="18"/>
              </w:rPr>
            </w:pPr>
            <w:r w:rsidRPr="00F24942">
              <w:rPr>
                <w:rFonts w:cs="Arial"/>
                <w:sz w:val="18"/>
                <w:szCs w:val="18"/>
              </w:rPr>
              <w:t>Protection and restoration of marine biodiversity and ecosystems and compensation regimes. (1)(g) increasing environmental awareness, involving fishermen, with regard to the protection and restoration of marine biodiversity</w:t>
            </w:r>
          </w:p>
        </w:tc>
      </w:tr>
      <w:tr w:rsidR="000005F4" w14:paraId="064F3E7B" w14:textId="77777777" w:rsidTr="000005F4">
        <w:tc>
          <w:tcPr>
            <w:tcW w:w="1982" w:type="dxa"/>
            <w:shd w:val="clear" w:color="auto" w:fill="EAF1DD" w:themeFill="accent3" w:themeFillTint="33"/>
          </w:tcPr>
          <w:p w14:paraId="1DF7218A" w14:textId="77777777" w:rsidR="000005F4" w:rsidRPr="00F24942" w:rsidRDefault="000005F4" w:rsidP="000005F4">
            <w:pPr>
              <w:pStyle w:val="TableTextNoSpace"/>
              <w:rPr>
                <w:rFonts w:cs="Arial"/>
                <w:sz w:val="18"/>
                <w:szCs w:val="18"/>
              </w:rPr>
            </w:pPr>
            <w:r w:rsidRPr="00F24942">
              <w:rPr>
                <w:rFonts w:cs="Arial"/>
                <w:sz w:val="18"/>
                <w:szCs w:val="18"/>
              </w:rPr>
              <w:t>Article 40(1)(h)</w:t>
            </w:r>
          </w:p>
        </w:tc>
        <w:tc>
          <w:tcPr>
            <w:tcW w:w="7089" w:type="dxa"/>
            <w:shd w:val="clear" w:color="auto" w:fill="EAF1DD" w:themeFill="accent3" w:themeFillTint="33"/>
          </w:tcPr>
          <w:p w14:paraId="2CCE6D99" w14:textId="77777777" w:rsidR="000005F4" w:rsidRPr="00F24942" w:rsidRDefault="000005F4" w:rsidP="000005F4">
            <w:pPr>
              <w:pStyle w:val="TableTextNoSpace"/>
              <w:rPr>
                <w:rFonts w:cs="Arial"/>
                <w:sz w:val="18"/>
                <w:szCs w:val="18"/>
              </w:rPr>
            </w:pPr>
            <w:r w:rsidRPr="00F24942">
              <w:rPr>
                <w:rFonts w:cs="Arial"/>
                <w:sz w:val="18"/>
                <w:szCs w:val="18"/>
              </w:rPr>
              <w:t>Protection and restoration of marine biodiversity and ecosystems and compensation regimes. 1)(h) schemes for compensation for damage to catches caused by mammals and birds protected by the Habitats and Birds Directives</w:t>
            </w:r>
          </w:p>
        </w:tc>
      </w:tr>
      <w:tr w:rsidR="000005F4" w14:paraId="2C0891DC" w14:textId="77777777" w:rsidTr="000005F4">
        <w:tc>
          <w:tcPr>
            <w:tcW w:w="1982" w:type="dxa"/>
            <w:shd w:val="clear" w:color="auto" w:fill="EAF1DD" w:themeFill="accent3" w:themeFillTint="33"/>
          </w:tcPr>
          <w:p w14:paraId="291CBB7E" w14:textId="77777777" w:rsidR="000005F4" w:rsidRPr="00F24942" w:rsidRDefault="000005F4" w:rsidP="000005F4">
            <w:pPr>
              <w:pStyle w:val="TableTextNoSpace"/>
              <w:rPr>
                <w:rFonts w:cs="Arial"/>
                <w:sz w:val="18"/>
                <w:szCs w:val="18"/>
              </w:rPr>
            </w:pPr>
            <w:r w:rsidRPr="00F24942">
              <w:rPr>
                <w:rFonts w:cs="Arial"/>
                <w:sz w:val="18"/>
                <w:szCs w:val="18"/>
              </w:rPr>
              <w:t xml:space="preserve">Article 40(1)(i) </w:t>
            </w:r>
          </w:p>
        </w:tc>
        <w:tc>
          <w:tcPr>
            <w:tcW w:w="7089" w:type="dxa"/>
            <w:shd w:val="clear" w:color="auto" w:fill="EAF1DD" w:themeFill="accent3" w:themeFillTint="33"/>
          </w:tcPr>
          <w:p w14:paraId="4E519D33" w14:textId="77777777" w:rsidR="000005F4" w:rsidRPr="00F24942" w:rsidRDefault="000005F4" w:rsidP="000005F4">
            <w:pPr>
              <w:pStyle w:val="TableTextNoSpace"/>
              <w:rPr>
                <w:rFonts w:cs="Arial"/>
                <w:sz w:val="18"/>
                <w:szCs w:val="18"/>
              </w:rPr>
            </w:pPr>
            <w:r w:rsidRPr="00F24942">
              <w:rPr>
                <w:rFonts w:cs="Arial"/>
                <w:sz w:val="18"/>
                <w:szCs w:val="18"/>
              </w:rPr>
              <w:t>Protection and restoration of marine biodiversity and ecosystems and compensation regimes. (1)(i) Participation in other actions aimed at maintaining and enhancing biodiversity and ecosystem services, such as the restoration of specific marine and coastal habitats in support of sustainable fish stocks, including their scientific preparation and evaluation</w:t>
            </w:r>
          </w:p>
        </w:tc>
      </w:tr>
      <w:tr w:rsidR="000005F4" w14:paraId="244F2CD3" w14:textId="77777777" w:rsidTr="000005F4">
        <w:tc>
          <w:tcPr>
            <w:tcW w:w="1982" w:type="dxa"/>
            <w:shd w:val="clear" w:color="auto" w:fill="auto"/>
          </w:tcPr>
          <w:p w14:paraId="5FD060B7" w14:textId="77777777" w:rsidR="000005F4" w:rsidRPr="00F24942" w:rsidRDefault="000005F4" w:rsidP="000005F4">
            <w:pPr>
              <w:pStyle w:val="TableTextNoSpace"/>
              <w:rPr>
                <w:rFonts w:cs="Arial"/>
                <w:sz w:val="18"/>
                <w:szCs w:val="18"/>
              </w:rPr>
            </w:pPr>
            <w:r w:rsidRPr="00F24942">
              <w:rPr>
                <w:rFonts w:cs="Arial"/>
                <w:sz w:val="18"/>
                <w:szCs w:val="18"/>
              </w:rPr>
              <w:t>Art 44(3)</w:t>
            </w:r>
          </w:p>
        </w:tc>
        <w:tc>
          <w:tcPr>
            <w:tcW w:w="7089" w:type="dxa"/>
            <w:shd w:val="clear" w:color="auto" w:fill="auto"/>
          </w:tcPr>
          <w:p w14:paraId="581B245F" w14:textId="77777777" w:rsidR="000005F4" w:rsidRPr="00F24942" w:rsidRDefault="000005F4" w:rsidP="000005F4">
            <w:pPr>
              <w:autoSpaceDE w:val="0"/>
              <w:autoSpaceDN w:val="0"/>
              <w:adjustRightInd w:val="0"/>
              <w:spacing w:before="0" w:after="0" w:line="240" w:lineRule="auto"/>
              <w:ind w:left="57"/>
              <w:rPr>
                <w:rFonts w:cs="Arial"/>
                <w:sz w:val="18"/>
                <w:szCs w:val="18"/>
              </w:rPr>
            </w:pPr>
            <w:r w:rsidRPr="00F24942">
              <w:rPr>
                <w:rFonts w:cs="Arial"/>
                <w:sz w:val="18"/>
                <w:szCs w:val="18"/>
              </w:rPr>
              <w:t>Inland fishing and inland aquatic fauna and flora. (3) Support for the development and facilitation […] for the advisory services in accordance with Article 27 and for partnerships between scientists</w:t>
            </w:r>
            <w:r>
              <w:rPr>
                <w:rFonts w:cs="Arial"/>
                <w:sz w:val="18"/>
                <w:szCs w:val="18"/>
              </w:rPr>
              <w:t xml:space="preserve"> </w:t>
            </w:r>
            <w:r w:rsidRPr="00F24942">
              <w:rPr>
                <w:rFonts w:cs="Arial"/>
                <w:sz w:val="18"/>
                <w:szCs w:val="18"/>
              </w:rPr>
              <w:t>and fishermen in accordance with Article 28</w:t>
            </w:r>
          </w:p>
        </w:tc>
      </w:tr>
      <w:tr w:rsidR="000005F4" w14:paraId="71D3B60C" w14:textId="77777777" w:rsidTr="000005F4">
        <w:tc>
          <w:tcPr>
            <w:tcW w:w="1982" w:type="dxa"/>
            <w:shd w:val="clear" w:color="auto" w:fill="auto"/>
          </w:tcPr>
          <w:p w14:paraId="0C776C1A" w14:textId="77777777" w:rsidR="000005F4" w:rsidRPr="00F24942" w:rsidRDefault="000005F4" w:rsidP="000005F4">
            <w:pPr>
              <w:pStyle w:val="TableTextNoSpace"/>
              <w:rPr>
                <w:rFonts w:cs="Arial"/>
                <w:sz w:val="18"/>
                <w:szCs w:val="18"/>
              </w:rPr>
            </w:pPr>
            <w:r w:rsidRPr="00F24942">
              <w:rPr>
                <w:rFonts w:cs="Arial"/>
                <w:sz w:val="18"/>
                <w:szCs w:val="18"/>
              </w:rPr>
              <w:t>Art 44(4)</w:t>
            </w:r>
          </w:p>
        </w:tc>
        <w:tc>
          <w:tcPr>
            <w:tcW w:w="7089" w:type="dxa"/>
            <w:shd w:val="clear" w:color="auto" w:fill="auto"/>
          </w:tcPr>
          <w:p w14:paraId="5C7AE5EE" w14:textId="77777777" w:rsidR="000005F4" w:rsidRPr="00F24942" w:rsidRDefault="000005F4" w:rsidP="000005F4">
            <w:pPr>
              <w:autoSpaceDE w:val="0"/>
              <w:autoSpaceDN w:val="0"/>
              <w:adjustRightInd w:val="0"/>
              <w:spacing w:before="0" w:after="0" w:line="240" w:lineRule="auto"/>
              <w:ind w:left="57"/>
              <w:rPr>
                <w:rFonts w:cs="Arial"/>
                <w:sz w:val="18"/>
                <w:szCs w:val="18"/>
              </w:rPr>
            </w:pPr>
            <w:r w:rsidRPr="00F24942">
              <w:rPr>
                <w:rFonts w:cs="Arial"/>
                <w:sz w:val="18"/>
                <w:szCs w:val="18"/>
              </w:rPr>
              <w:t>Inland fishing and inland aquatic fauna and flora. (4) Diversification of inland fishing activities to complementary activities under the conditions laid down in Article 30</w:t>
            </w:r>
          </w:p>
        </w:tc>
      </w:tr>
      <w:tr w:rsidR="000005F4" w14:paraId="20661022" w14:textId="77777777" w:rsidTr="000005F4">
        <w:tc>
          <w:tcPr>
            <w:tcW w:w="1982" w:type="dxa"/>
            <w:shd w:val="clear" w:color="auto" w:fill="auto"/>
          </w:tcPr>
          <w:p w14:paraId="61FBDB59" w14:textId="77777777" w:rsidR="000005F4" w:rsidRPr="00F24942" w:rsidRDefault="000005F4" w:rsidP="000005F4">
            <w:pPr>
              <w:pStyle w:val="TableTextNoSpace"/>
              <w:rPr>
                <w:rFonts w:cs="Arial"/>
                <w:sz w:val="18"/>
                <w:szCs w:val="18"/>
              </w:rPr>
            </w:pPr>
            <w:r w:rsidRPr="00F24942">
              <w:rPr>
                <w:rFonts w:cs="Arial"/>
                <w:sz w:val="18"/>
                <w:szCs w:val="18"/>
              </w:rPr>
              <w:t>Art 44(6)(a)</w:t>
            </w:r>
          </w:p>
        </w:tc>
        <w:tc>
          <w:tcPr>
            <w:tcW w:w="7089" w:type="dxa"/>
            <w:shd w:val="clear" w:color="auto" w:fill="auto"/>
          </w:tcPr>
          <w:p w14:paraId="161AE23E" w14:textId="77777777" w:rsidR="000005F4" w:rsidRPr="00F24942" w:rsidRDefault="000005F4" w:rsidP="000005F4">
            <w:pPr>
              <w:autoSpaceDE w:val="0"/>
              <w:autoSpaceDN w:val="0"/>
              <w:adjustRightInd w:val="0"/>
              <w:spacing w:before="0" w:after="0" w:line="240" w:lineRule="auto"/>
              <w:ind w:left="57"/>
              <w:rPr>
                <w:rFonts w:cs="Arial"/>
                <w:sz w:val="18"/>
                <w:szCs w:val="18"/>
              </w:rPr>
            </w:pPr>
            <w:r w:rsidRPr="00F24942">
              <w:rPr>
                <w:rFonts w:cs="Arial"/>
                <w:sz w:val="18"/>
                <w:szCs w:val="18"/>
              </w:rPr>
              <w:t>Inland fishing and inland aquatic fauna and flora. (6)(a) Management, restoration and monitoring of Natura 2000 sites which are affected by fishing activities, and the rehabilitation of inland waters in accordance with the Water Framework Directive (e.g. spawning grounds and migration routes for migratory species), where relevant with the participation of inland fishermen</w:t>
            </w:r>
          </w:p>
        </w:tc>
      </w:tr>
      <w:tr w:rsidR="000005F4" w14:paraId="289ECE50" w14:textId="77777777" w:rsidTr="000005F4">
        <w:tc>
          <w:tcPr>
            <w:tcW w:w="1982" w:type="dxa"/>
            <w:shd w:val="clear" w:color="auto" w:fill="auto"/>
          </w:tcPr>
          <w:p w14:paraId="0685B741" w14:textId="77777777" w:rsidR="000005F4" w:rsidRPr="00F24942" w:rsidRDefault="000005F4" w:rsidP="000005F4">
            <w:pPr>
              <w:pStyle w:val="TableTextNoSpace"/>
              <w:rPr>
                <w:rFonts w:cs="Arial"/>
                <w:sz w:val="18"/>
                <w:szCs w:val="18"/>
              </w:rPr>
            </w:pPr>
            <w:r w:rsidRPr="00F24942">
              <w:rPr>
                <w:rFonts w:cs="Arial"/>
                <w:sz w:val="18"/>
                <w:szCs w:val="18"/>
              </w:rPr>
              <w:t>Art 44(6)(b)</w:t>
            </w:r>
          </w:p>
        </w:tc>
        <w:tc>
          <w:tcPr>
            <w:tcW w:w="7089" w:type="dxa"/>
            <w:shd w:val="clear" w:color="auto" w:fill="auto"/>
          </w:tcPr>
          <w:p w14:paraId="52D3F65A" w14:textId="77777777" w:rsidR="000005F4" w:rsidRPr="00F24942" w:rsidRDefault="000005F4" w:rsidP="000005F4">
            <w:pPr>
              <w:autoSpaceDE w:val="0"/>
              <w:autoSpaceDN w:val="0"/>
              <w:adjustRightInd w:val="0"/>
              <w:spacing w:before="0" w:after="0" w:line="240" w:lineRule="auto"/>
              <w:ind w:left="57"/>
              <w:rPr>
                <w:rFonts w:cs="Arial"/>
                <w:sz w:val="18"/>
                <w:szCs w:val="18"/>
              </w:rPr>
            </w:pPr>
            <w:r w:rsidRPr="00F24942">
              <w:rPr>
                <w:rFonts w:cs="Arial"/>
                <w:sz w:val="18"/>
                <w:szCs w:val="18"/>
              </w:rPr>
              <w:t>Inland fishing and inland aquatic fauna and flora. (6)(b) Construction, modernisation or installation of static or movable facilities intended to protect and enhance aquatic fauna and flora, including their scientific preparation, monitoring and evaluation</w:t>
            </w:r>
          </w:p>
        </w:tc>
      </w:tr>
      <w:tr w:rsidR="000005F4" w14:paraId="45C8901A" w14:textId="77777777" w:rsidTr="000005F4">
        <w:tc>
          <w:tcPr>
            <w:tcW w:w="1982" w:type="dxa"/>
            <w:shd w:val="clear" w:color="auto" w:fill="auto"/>
          </w:tcPr>
          <w:p w14:paraId="6F5D90F3" w14:textId="77777777" w:rsidR="000005F4" w:rsidRPr="00F24942" w:rsidRDefault="000005F4" w:rsidP="000005F4">
            <w:pPr>
              <w:pStyle w:val="TableTextNoSpace"/>
              <w:rPr>
                <w:rFonts w:cs="Arial"/>
                <w:sz w:val="18"/>
                <w:szCs w:val="18"/>
              </w:rPr>
            </w:pPr>
            <w:r w:rsidRPr="00F24942">
              <w:rPr>
                <w:rFonts w:cs="Arial"/>
                <w:color w:val="000000"/>
                <w:sz w:val="18"/>
                <w:szCs w:val="18"/>
              </w:rPr>
              <w:t xml:space="preserve">Article 47(1)(a) </w:t>
            </w:r>
          </w:p>
        </w:tc>
        <w:tc>
          <w:tcPr>
            <w:tcW w:w="7089" w:type="dxa"/>
            <w:shd w:val="clear" w:color="auto" w:fill="auto"/>
          </w:tcPr>
          <w:p w14:paraId="738EBBD3" w14:textId="77777777" w:rsidR="000005F4" w:rsidRPr="00F24942" w:rsidRDefault="000005F4" w:rsidP="000005F4">
            <w:pPr>
              <w:pStyle w:val="TableTextNoSpace"/>
              <w:rPr>
                <w:rFonts w:cs="Arial"/>
                <w:sz w:val="18"/>
                <w:szCs w:val="18"/>
              </w:rPr>
            </w:pPr>
            <w:r w:rsidRPr="00F24942">
              <w:rPr>
                <w:rFonts w:cs="Arial"/>
                <w:color w:val="000000"/>
                <w:sz w:val="18"/>
                <w:szCs w:val="18"/>
              </w:rPr>
              <w:t>Innovation. (1)(a) Technical, scientific or organisational knowledge in aquaculture farms which reduces the impact on the environment […] fosters a sustainable use of resources in aquaculture, improves animal welfare or facilitates new sustainable production methods</w:t>
            </w:r>
          </w:p>
        </w:tc>
      </w:tr>
      <w:tr w:rsidR="000005F4" w14:paraId="62A3E8D9" w14:textId="77777777" w:rsidTr="000005F4">
        <w:tc>
          <w:tcPr>
            <w:tcW w:w="1982" w:type="dxa"/>
            <w:shd w:val="clear" w:color="auto" w:fill="EAF1DD" w:themeFill="accent3" w:themeFillTint="33"/>
          </w:tcPr>
          <w:p w14:paraId="3A4D186D" w14:textId="77777777" w:rsidR="000005F4" w:rsidRPr="00F24942" w:rsidRDefault="000005F4" w:rsidP="000005F4">
            <w:pPr>
              <w:pStyle w:val="TableTextNoSpace"/>
              <w:rPr>
                <w:rFonts w:cs="Arial"/>
                <w:sz w:val="18"/>
                <w:szCs w:val="18"/>
              </w:rPr>
            </w:pPr>
            <w:r w:rsidRPr="00F24942">
              <w:rPr>
                <w:rFonts w:cs="Arial"/>
                <w:sz w:val="18"/>
                <w:szCs w:val="18"/>
              </w:rPr>
              <w:t xml:space="preserve">Article 48(1)(e) </w:t>
            </w:r>
          </w:p>
        </w:tc>
        <w:tc>
          <w:tcPr>
            <w:tcW w:w="7089" w:type="dxa"/>
            <w:shd w:val="clear" w:color="auto" w:fill="EAF1DD" w:themeFill="accent3" w:themeFillTint="33"/>
          </w:tcPr>
          <w:p w14:paraId="3AAEE56A" w14:textId="77777777" w:rsidR="000005F4" w:rsidRPr="00F24942" w:rsidRDefault="000005F4" w:rsidP="000005F4">
            <w:pPr>
              <w:pStyle w:val="TableTextNoSpace"/>
              <w:rPr>
                <w:rFonts w:cs="Arial"/>
                <w:sz w:val="18"/>
                <w:szCs w:val="18"/>
              </w:rPr>
            </w:pPr>
            <w:r w:rsidRPr="00F24942">
              <w:rPr>
                <w:rFonts w:cs="Arial"/>
                <w:sz w:val="18"/>
                <w:szCs w:val="18"/>
              </w:rPr>
              <w:t>Productive investments in aquaculture. (1)(e) Investments in reducing the negative impact or enhancing the positive effects on the environment and increasing resource efficiency</w:t>
            </w:r>
          </w:p>
        </w:tc>
      </w:tr>
      <w:tr w:rsidR="000005F4" w14:paraId="5B469A2C" w14:textId="77777777" w:rsidTr="000005F4">
        <w:tc>
          <w:tcPr>
            <w:tcW w:w="1982" w:type="dxa"/>
            <w:shd w:val="clear" w:color="auto" w:fill="auto"/>
          </w:tcPr>
          <w:p w14:paraId="4528C8C3" w14:textId="77777777" w:rsidR="000005F4" w:rsidRPr="00F24942" w:rsidRDefault="000005F4" w:rsidP="000005F4">
            <w:pPr>
              <w:pStyle w:val="TableTextNoSpace"/>
              <w:rPr>
                <w:rFonts w:cs="Arial"/>
                <w:sz w:val="18"/>
                <w:szCs w:val="18"/>
              </w:rPr>
            </w:pPr>
            <w:r w:rsidRPr="00F24942">
              <w:rPr>
                <w:rFonts w:cs="Arial"/>
                <w:color w:val="000000"/>
                <w:sz w:val="18"/>
                <w:szCs w:val="18"/>
              </w:rPr>
              <w:t xml:space="preserve">Article 48(1)(g) </w:t>
            </w:r>
          </w:p>
        </w:tc>
        <w:tc>
          <w:tcPr>
            <w:tcW w:w="7089" w:type="dxa"/>
            <w:shd w:val="clear" w:color="auto" w:fill="auto"/>
          </w:tcPr>
          <w:p w14:paraId="48AACB50" w14:textId="77777777" w:rsidR="000005F4" w:rsidRPr="00F24942" w:rsidRDefault="000005F4" w:rsidP="000005F4">
            <w:pPr>
              <w:pStyle w:val="TableTextNoSpace"/>
              <w:rPr>
                <w:rFonts w:cs="Arial"/>
                <w:sz w:val="18"/>
                <w:szCs w:val="18"/>
              </w:rPr>
            </w:pPr>
            <w:r w:rsidRPr="00F24942">
              <w:rPr>
                <w:rFonts w:cs="Arial"/>
                <w:color w:val="000000"/>
                <w:sz w:val="18"/>
                <w:szCs w:val="18"/>
              </w:rPr>
              <w:t>Productive investments in aquaculture. (1)(g) Restoration of existing aquaculture ponds or lagoons through the removal of silt, or investments aimed at the prevention of silt deposits</w:t>
            </w:r>
          </w:p>
        </w:tc>
      </w:tr>
      <w:tr w:rsidR="000005F4" w14:paraId="610D7CAB" w14:textId="77777777" w:rsidTr="000005F4">
        <w:tc>
          <w:tcPr>
            <w:tcW w:w="1982" w:type="dxa"/>
            <w:shd w:val="clear" w:color="auto" w:fill="auto"/>
          </w:tcPr>
          <w:p w14:paraId="3E956938" w14:textId="77777777" w:rsidR="000005F4" w:rsidRPr="00F24942" w:rsidRDefault="000005F4" w:rsidP="000005F4">
            <w:pPr>
              <w:pStyle w:val="TableTextNoSpace"/>
              <w:rPr>
                <w:rFonts w:cs="Arial"/>
                <w:sz w:val="18"/>
                <w:szCs w:val="18"/>
              </w:rPr>
            </w:pPr>
            <w:r w:rsidRPr="00F24942">
              <w:rPr>
                <w:rFonts w:cs="Arial"/>
                <w:color w:val="000000"/>
                <w:sz w:val="18"/>
                <w:szCs w:val="18"/>
              </w:rPr>
              <w:t xml:space="preserve">Article 48.1(h) </w:t>
            </w:r>
          </w:p>
        </w:tc>
        <w:tc>
          <w:tcPr>
            <w:tcW w:w="7089" w:type="dxa"/>
            <w:shd w:val="clear" w:color="auto" w:fill="auto"/>
          </w:tcPr>
          <w:p w14:paraId="04F25E04" w14:textId="77777777" w:rsidR="000005F4" w:rsidRPr="00F24942" w:rsidRDefault="000005F4" w:rsidP="000005F4">
            <w:pPr>
              <w:pStyle w:val="TableTextNoSpace"/>
              <w:rPr>
                <w:rFonts w:cs="Arial"/>
                <w:sz w:val="18"/>
                <w:szCs w:val="18"/>
              </w:rPr>
            </w:pPr>
            <w:r w:rsidRPr="00F24942">
              <w:rPr>
                <w:rFonts w:cs="Arial"/>
                <w:color w:val="000000"/>
                <w:sz w:val="18"/>
                <w:szCs w:val="18"/>
              </w:rPr>
              <w:t>Productive investments in aquaculture. (1)(h) Diversification of the income of aquaculture enterprises through the development of complementary activities outside aquaculture (i.e. aquaculture environmental services)</w:t>
            </w:r>
          </w:p>
        </w:tc>
      </w:tr>
      <w:tr w:rsidR="000005F4" w14:paraId="4C25249C" w14:textId="77777777" w:rsidTr="000005F4">
        <w:tc>
          <w:tcPr>
            <w:tcW w:w="1982" w:type="dxa"/>
            <w:shd w:val="clear" w:color="auto" w:fill="auto"/>
          </w:tcPr>
          <w:p w14:paraId="5D749552" w14:textId="77777777" w:rsidR="000005F4" w:rsidRPr="00F24942" w:rsidRDefault="000005F4" w:rsidP="000005F4">
            <w:pPr>
              <w:pStyle w:val="TableTextNoSpace"/>
              <w:rPr>
                <w:rFonts w:cs="Arial"/>
                <w:sz w:val="18"/>
                <w:szCs w:val="18"/>
              </w:rPr>
            </w:pPr>
            <w:r w:rsidRPr="00F24942">
              <w:rPr>
                <w:rFonts w:cs="Arial"/>
                <w:sz w:val="18"/>
                <w:szCs w:val="18"/>
              </w:rPr>
              <w:t xml:space="preserve">Article 48(1)(i-j) </w:t>
            </w:r>
          </w:p>
        </w:tc>
        <w:tc>
          <w:tcPr>
            <w:tcW w:w="7089" w:type="dxa"/>
            <w:shd w:val="clear" w:color="auto" w:fill="auto"/>
          </w:tcPr>
          <w:p w14:paraId="5C914587" w14:textId="77777777" w:rsidR="000005F4" w:rsidRPr="00F24942" w:rsidRDefault="000005F4" w:rsidP="000005F4">
            <w:pPr>
              <w:pStyle w:val="TableTextNoSpace"/>
              <w:rPr>
                <w:rFonts w:cs="Arial"/>
                <w:sz w:val="18"/>
                <w:szCs w:val="18"/>
              </w:rPr>
            </w:pPr>
            <w:r w:rsidRPr="00F24942">
              <w:rPr>
                <w:rFonts w:cs="Arial"/>
                <w:sz w:val="18"/>
                <w:szCs w:val="18"/>
              </w:rPr>
              <w:t>Productive investments in aquaculture. (1)(i) Investments resulting in a substantial reduction in the impact of aquaculture enterprises on water usage and quality</w:t>
            </w:r>
          </w:p>
        </w:tc>
      </w:tr>
      <w:tr w:rsidR="000005F4" w14:paraId="71B43591" w14:textId="77777777" w:rsidTr="000005F4">
        <w:tc>
          <w:tcPr>
            <w:tcW w:w="1982" w:type="dxa"/>
            <w:shd w:val="clear" w:color="auto" w:fill="auto"/>
          </w:tcPr>
          <w:p w14:paraId="47FA42F9" w14:textId="77777777" w:rsidR="000005F4" w:rsidRPr="00F24942" w:rsidRDefault="000005F4" w:rsidP="000005F4">
            <w:pPr>
              <w:pStyle w:val="TableTextNoSpace"/>
              <w:rPr>
                <w:rFonts w:cs="Arial"/>
                <w:sz w:val="18"/>
                <w:szCs w:val="18"/>
              </w:rPr>
            </w:pPr>
            <w:r w:rsidRPr="00F24942">
              <w:rPr>
                <w:rFonts w:cs="Arial"/>
                <w:sz w:val="18"/>
                <w:szCs w:val="18"/>
              </w:rPr>
              <w:t>Article 49(1)(b)</w:t>
            </w:r>
          </w:p>
        </w:tc>
        <w:tc>
          <w:tcPr>
            <w:tcW w:w="7089" w:type="dxa"/>
            <w:shd w:val="clear" w:color="auto" w:fill="auto"/>
          </w:tcPr>
          <w:p w14:paraId="66E81D2D" w14:textId="77777777" w:rsidR="000005F4" w:rsidRPr="00F24942" w:rsidRDefault="000005F4" w:rsidP="000005F4">
            <w:pPr>
              <w:pStyle w:val="TableTextNoSpace"/>
              <w:rPr>
                <w:rFonts w:cs="Arial"/>
                <w:sz w:val="18"/>
                <w:szCs w:val="18"/>
              </w:rPr>
            </w:pPr>
            <w:r w:rsidRPr="00F24942">
              <w:rPr>
                <w:rFonts w:cs="Arial"/>
                <w:sz w:val="18"/>
                <w:szCs w:val="18"/>
              </w:rPr>
              <w:t>Management, relief and advisory services for aquaculture farms. (1)b) Purchase of farm advisory services of a technical, scientific, legal, environmental or economic nature</w:t>
            </w:r>
          </w:p>
        </w:tc>
      </w:tr>
      <w:tr w:rsidR="000005F4" w14:paraId="644A586E" w14:textId="77777777" w:rsidTr="000005F4">
        <w:tc>
          <w:tcPr>
            <w:tcW w:w="1982" w:type="dxa"/>
            <w:shd w:val="clear" w:color="auto" w:fill="auto"/>
          </w:tcPr>
          <w:p w14:paraId="2977DCEF" w14:textId="77777777" w:rsidR="000005F4" w:rsidRPr="00F24942" w:rsidRDefault="000005F4" w:rsidP="000005F4">
            <w:pPr>
              <w:pStyle w:val="TableTextNoSpace"/>
              <w:rPr>
                <w:rFonts w:cs="Arial"/>
                <w:sz w:val="18"/>
                <w:szCs w:val="18"/>
              </w:rPr>
            </w:pPr>
            <w:r w:rsidRPr="00F24942">
              <w:rPr>
                <w:rFonts w:cs="Arial"/>
                <w:sz w:val="18"/>
                <w:szCs w:val="18"/>
              </w:rPr>
              <w:t xml:space="preserve">Article 50(1)(a) </w:t>
            </w:r>
          </w:p>
        </w:tc>
        <w:tc>
          <w:tcPr>
            <w:tcW w:w="7089" w:type="dxa"/>
            <w:shd w:val="clear" w:color="auto" w:fill="auto"/>
          </w:tcPr>
          <w:p w14:paraId="76638DF8" w14:textId="77777777" w:rsidR="000005F4" w:rsidRPr="00F24942" w:rsidRDefault="000005F4" w:rsidP="000005F4">
            <w:pPr>
              <w:pStyle w:val="TableTextNoSpace"/>
              <w:rPr>
                <w:rFonts w:cs="Arial"/>
                <w:sz w:val="18"/>
                <w:szCs w:val="18"/>
              </w:rPr>
            </w:pPr>
            <w:r w:rsidRPr="00F24942">
              <w:rPr>
                <w:rFonts w:cs="Arial"/>
                <w:sz w:val="18"/>
                <w:szCs w:val="18"/>
              </w:rPr>
              <w:t>Promotion of human capital and networking. (1)(a) Professional training, lifelong learning, the dissemination of scientific and technical knowledge and innovative practices, the acquisition of new professional skills in aquaculture and with regard to the reduction of the environmental impact of aquaculture operations</w:t>
            </w:r>
          </w:p>
        </w:tc>
      </w:tr>
      <w:tr w:rsidR="000005F4" w14:paraId="4F2BF277" w14:textId="77777777" w:rsidTr="000005F4">
        <w:tc>
          <w:tcPr>
            <w:tcW w:w="1982" w:type="dxa"/>
            <w:shd w:val="clear" w:color="auto" w:fill="auto"/>
          </w:tcPr>
          <w:p w14:paraId="132F5F30" w14:textId="77777777" w:rsidR="000005F4" w:rsidRPr="00F24942" w:rsidRDefault="000005F4" w:rsidP="000005F4">
            <w:pPr>
              <w:pStyle w:val="TableTextNoSpace"/>
              <w:rPr>
                <w:rFonts w:cs="Arial"/>
                <w:sz w:val="18"/>
                <w:szCs w:val="18"/>
              </w:rPr>
            </w:pPr>
            <w:r w:rsidRPr="00F24942">
              <w:rPr>
                <w:rFonts w:cs="Arial"/>
                <w:sz w:val="18"/>
                <w:szCs w:val="18"/>
              </w:rPr>
              <w:t>Article 54(1)(a-b)</w:t>
            </w:r>
          </w:p>
        </w:tc>
        <w:tc>
          <w:tcPr>
            <w:tcW w:w="7089" w:type="dxa"/>
            <w:shd w:val="clear" w:color="auto" w:fill="auto"/>
          </w:tcPr>
          <w:p w14:paraId="1B636525" w14:textId="77777777" w:rsidR="000005F4" w:rsidRPr="00F24942" w:rsidRDefault="000005F4" w:rsidP="000005F4">
            <w:pPr>
              <w:pStyle w:val="TableTextNoSpace"/>
              <w:rPr>
                <w:rFonts w:cs="Arial"/>
                <w:sz w:val="18"/>
                <w:szCs w:val="18"/>
              </w:rPr>
            </w:pPr>
            <w:r w:rsidRPr="00F24942">
              <w:rPr>
                <w:rFonts w:cs="Arial"/>
                <w:sz w:val="18"/>
                <w:szCs w:val="18"/>
              </w:rPr>
              <w:t>Aquaculture providing environmental services. (1)(a) Aquaculture methods compatible with specific environmental needs and subject to specific management requirements resulting from the designation of Natura 2000 areas</w:t>
            </w:r>
          </w:p>
        </w:tc>
      </w:tr>
      <w:tr w:rsidR="000005F4" w14:paraId="684C2A15" w14:textId="77777777" w:rsidTr="000005F4">
        <w:tc>
          <w:tcPr>
            <w:tcW w:w="1982" w:type="dxa"/>
            <w:shd w:val="clear" w:color="auto" w:fill="auto"/>
          </w:tcPr>
          <w:p w14:paraId="640197A5" w14:textId="77777777" w:rsidR="000005F4" w:rsidRPr="00F24942" w:rsidRDefault="000005F4" w:rsidP="000005F4">
            <w:pPr>
              <w:pStyle w:val="TableTextNoSpace"/>
              <w:rPr>
                <w:rFonts w:cs="Arial"/>
                <w:sz w:val="18"/>
                <w:szCs w:val="18"/>
              </w:rPr>
            </w:pPr>
            <w:r w:rsidRPr="00F24942">
              <w:rPr>
                <w:rFonts w:cs="Arial"/>
                <w:sz w:val="18"/>
                <w:szCs w:val="18"/>
              </w:rPr>
              <w:t xml:space="preserve">Article 54(1)(b) </w:t>
            </w:r>
          </w:p>
        </w:tc>
        <w:tc>
          <w:tcPr>
            <w:tcW w:w="7089" w:type="dxa"/>
            <w:shd w:val="clear" w:color="auto" w:fill="auto"/>
          </w:tcPr>
          <w:p w14:paraId="2C237BAB" w14:textId="77777777" w:rsidR="000005F4" w:rsidRPr="00F24942" w:rsidRDefault="000005F4" w:rsidP="000005F4">
            <w:pPr>
              <w:pStyle w:val="TableTextNoSpace"/>
              <w:rPr>
                <w:rFonts w:cs="Arial"/>
                <w:sz w:val="18"/>
                <w:szCs w:val="18"/>
              </w:rPr>
            </w:pPr>
            <w:r w:rsidRPr="00F24942">
              <w:rPr>
                <w:rFonts w:cs="Arial"/>
                <w:sz w:val="18"/>
                <w:szCs w:val="18"/>
              </w:rPr>
              <w:t>Aquaculture providing environmental services. (1)(b) Participation in ex-situ conservation and reproduction of aquatic animals, within the framework of conservation and biodiversity restoration programmes</w:t>
            </w:r>
          </w:p>
        </w:tc>
      </w:tr>
      <w:tr w:rsidR="000005F4" w14:paraId="5BE4EB72" w14:textId="77777777" w:rsidTr="000005F4">
        <w:tc>
          <w:tcPr>
            <w:tcW w:w="1982" w:type="dxa"/>
            <w:shd w:val="clear" w:color="auto" w:fill="auto"/>
          </w:tcPr>
          <w:p w14:paraId="4CF75519" w14:textId="77777777" w:rsidR="000005F4" w:rsidRPr="00F24942" w:rsidRDefault="000005F4" w:rsidP="000005F4">
            <w:pPr>
              <w:pStyle w:val="TableTextNoSpace"/>
              <w:rPr>
                <w:rFonts w:cs="Arial"/>
                <w:sz w:val="18"/>
                <w:szCs w:val="18"/>
              </w:rPr>
            </w:pPr>
            <w:r w:rsidRPr="00F24942">
              <w:rPr>
                <w:rFonts w:cs="Arial"/>
                <w:sz w:val="18"/>
                <w:szCs w:val="18"/>
              </w:rPr>
              <w:t xml:space="preserve">Article 63 </w:t>
            </w:r>
          </w:p>
        </w:tc>
        <w:tc>
          <w:tcPr>
            <w:tcW w:w="7089" w:type="dxa"/>
            <w:shd w:val="clear" w:color="auto" w:fill="auto"/>
          </w:tcPr>
          <w:p w14:paraId="47888862" w14:textId="77777777" w:rsidR="000005F4" w:rsidRPr="00F24942" w:rsidRDefault="000005F4" w:rsidP="000005F4">
            <w:pPr>
              <w:pStyle w:val="TableTextNoSpace"/>
              <w:rPr>
                <w:rFonts w:cs="Arial"/>
                <w:sz w:val="18"/>
                <w:szCs w:val="18"/>
              </w:rPr>
            </w:pPr>
            <w:r w:rsidRPr="00F24942">
              <w:rPr>
                <w:rFonts w:cs="Arial"/>
                <w:sz w:val="18"/>
                <w:szCs w:val="18"/>
              </w:rPr>
              <w:t>Community–led local development strategies. Enhancing and capitalising on the environmental assets of the fisheries and aquaculture areas, including operations to mitigate climate change. Support for strengthening the role of fisheries communities in local development and the governance of local fisheries resources and maritime activities</w:t>
            </w:r>
          </w:p>
        </w:tc>
      </w:tr>
      <w:tr w:rsidR="000005F4" w14:paraId="42902AA9" w14:textId="77777777" w:rsidTr="000005F4">
        <w:tc>
          <w:tcPr>
            <w:tcW w:w="1982" w:type="dxa"/>
            <w:shd w:val="clear" w:color="auto" w:fill="auto"/>
          </w:tcPr>
          <w:p w14:paraId="78295811" w14:textId="77777777" w:rsidR="000005F4" w:rsidRPr="00F24942" w:rsidRDefault="000005F4" w:rsidP="000005F4">
            <w:pPr>
              <w:pStyle w:val="TableTextNoSpace"/>
              <w:rPr>
                <w:rFonts w:cs="Arial"/>
                <w:sz w:val="18"/>
                <w:szCs w:val="18"/>
              </w:rPr>
            </w:pPr>
            <w:r w:rsidRPr="00F24942">
              <w:rPr>
                <w:rFonts w:cs="Arial"/>
                <w:color w:val="000000"/>
                <w:sz w:val="18"/>
                <w:szCs w:val="18"/>
              </w:rPr>
              <w:t>Article 79</w:t>
            </w:r>
          </w:p>
        </w:tc>
        <w:tc>
          <w:tcPr>
            <w:tcW w:w="7089" w:type="dxa"/>
            <w:shd w:val="clear" w:color="auto" w:fill="auto"/>
          </w:tcPr>
          <w:p w14:paraId="65247457" w14:textId="77777777" w:rsidR="000005F4" w:rsidRPr="00F24942" w:rsidRDefault="000005F4" w:rsidP="000005F4">
            <w:pPr>
              <w:pStyle w:val="TableTextNoSpace"/>
              <w:rPr>
                <w:rFonts w:cs="Arial"/>
                <w:sz w:val="18"/>
                <w:szCs w:val="18"/>
              </w:rPr>
            </w:pPr>
            <w:r w:rsidRPr="00F24942">
              <w:rPr>
                <w:rFonts w:cs="Arial"/>
                <w:color w:val="000000"/>
                <w:sz w:val="18"/>
                <w:szCs w:val="18"/>
              </w:rPr>
              <w:t>Integrated Maritime Policy. (1)(b) the promotion of the protection of the marine environment, in particular its biodiversity and MPA such as Natura 2000 sites, and the sustainable use of marine and coastal resources and the further definition of boundaries of the sustainability of human activities that have an impact on the marine environment</w:t>
            </w:r>
          </w:p>
        </w:tc>
      </w:tr>
    </w:tbl>
    <w:p w14:paraId="2FC1754E" w14:textId="77777777" w:rsidR="000005F4" w:rsidRDefault="000005F4" w:rsidP="000005F4">
      <w:pPr>
        <w:pStyle w:val="AnnexTable"/>
      </w:pPr>
      <w:bookmarkStart w:id="383" w:name="_Toc405993436"/>
      <w:bookmarkStart w:id="384" w:name="_Toc407942723"/>
      <w:bookmarkStart w:id="385" w:name="_Toc408094129"/>
      <w:bookmarkStart w:id="386" w:name="_Toc408851113"/>
      <w:r>
        <w:t>Relevance of EMFF measures for Natura 2000 management actions</w:t>
      </w:r>
      <w:bookmarkEnd w:id="383"/>
      <w:bookmarkEnd w:id="384"/>
      <w:bookmarkEnd w:id="385"/>
      <w:bookmarkEnd w:id="386"/>
    </w:p>
    <w:tbl>
      <w:tblPr>
        <w:tblW w:w="5000" w:type="pct"/>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CellMar>
          <w:top w:w="57" w:type="dxa"/>
          <w:left w:w="0" w:type="dxa"/>
          <w:bottom w:w="28" w:type="dxa"/>
          <w:right w:w="0" w:type="dxa"/>
        </w:tblCellMar>
        <w:tblLook w:val="0000" w:firstRow="0" w:lastRow="0" w:firstColumn="0" w:lastColumn="0" w:noHBand="0" w:noVBand="0"/>
      </w:tblPr>
      <w:tblGrid>
        <w:gridCol w:w="1002"/>
        <w:gridCol w:w="322"/>
        <w:gridCol w:w="322"/>
        <w:gridCol w:w="322"/>
        <w:gridCol w:w="322"/>
        <w:gridCol w:w="322"/>
        <w:gridCol w:w="322"/>
        <w:gridCol w:w="322"/>
        <w:gridCol w:w="322"/>
        <w:gridCol w:w="322"/>
        <w:gridCol w:w="322"/>
        <w:gridCol w:w="322"/>
        <w:gridCol w:w="323"/>
        <w:gridCol w:w="323"/>
        <w:gridCol w:w="323"/>
        <w:gridCol w:w="323"/>
        <w:gridCol w:w="323"/>
        <w:gridCol w:w="323"/>
        <w:gridCol w:w="323"/>
        <w:gridCol w:w="323"/>
        <w:gridCol w:w="323"/>
        <w:gridCol w:w="323"/>
        <w:gridCol w:w="323"/>
        <w:gridCol w:w="323"/>
        <w:gridCol w:w="323"/>
        <w:gridCol w:w="322"/>
      </w:tblGrid>
      <w:tr w:rsidR="000005F4" w14:paraId="2B2C5092" w14:textId="77777777" w:rsidTr="000005F4">
        <w:trPr>
          <w:cantSplit/>
        </w:trPr>
        <w:tc>
          <w:tcPr>
            <w:tcW w:w="553" w:type="pct"/>
            <w:shd w:val="clear" w:color="auto" w:fill="auto"/>
          </w:tcPr>
          <w:p w14:paraId="2BBDF7FF" w14:textId="77777777" w:rsidR="000005F4" w:rsidRDefault="000005F4" w:rsidP="000005F4">
            <w:pPr>
              <w:pStyle w:val="TableHeading"/>
            </w:pPr>
            <w:r>
              <w:t>Article</w:t>
            </w:r>
          </w:p>
        </w:tc>
        <w:tc>
          <w:tcPr>
            <w:tcW w:w="178" w:type="pct"/>
            <w:tcBorders>
              <w:right w:val="single" w:sz="2" w:space="0" w:color="FFFFFF"/>
            </w:tcBorders>
            <w:shd w:val="solid" w:color="0067AB" w:fill="0067AB"/>
          </w:tcPr>
          <w:p w14:paraId="31DFB021" w14:textId="77777777" w:rsidR="000005F4" w:rsidRDefault="000005F4" w:rsidP="000005F4">
            <w:pPr>
              <w:pStyle w:val="TableHeadingWhite"/>
            </w:pPr>
            <w:r>
              <w:t>1</w:t>
            </w:r>
          </w:p>
        </w:tc>
        <w:tc>
          <w:tcPr>
            <w:tcW w:w="178" w:type="pct"/>
            <w:tcBorders>
              <w:left w:val="single" w:sz="2" w:space="0" w:color="FFFFFF"/>
              <w:right w:val="single" w:sz="2" w:space="0" w:color="FFFFFF"/>
            </w:tcBorders>
            <w:shd w:val="solid" w:color="0067AB" w:fill="0067AB"/>
          </w:tcPr>
          <w:p w14:paraId="6D74A832" w14:textId="77777777" w:rsidR="000005F4" w:rsidRDefault="000005F4" w:rsidP="000005F4">
            <w:pPr>
              <w:pStyle w:val="TableHeadingWhite"/>
            </w:pPr>
            <w:r>
              <w:t>2</w:t>
            </w:r>
          </w:p>
        </w:tc>
        <w:tc>
          <w:tcPr>
            <w:tcW w:w="178" w:type="pct"/>
            <w:tcBorders>
              <w:left w:val="single" w:sz="2" w:space="0" w:color="FFFFFF"/>
              <w:right w:val="single" w:sz="2" w:space="0" w:color="FFFFFF"/>
            </w:tcBorders>
            <w:shd w:val="solid" w:color="0067AB" w:fill="0067AB"/>
          </w:tcPr>
          <w:p w14:paraId="2F656792" w14:textId="77777777" w:rsidR="000005F4" w:rsidRDefault="000005F4" w:rsidP="000005F4">
            <w:pPr>
              <w:pStyle w:val="TableHeadingWhite"/>
            </w:pPr>
            <w:r>
              <w:t>3</w:t>
            </w:r>
          </w:p>
        </w:tc>
        <w:tc>
          <w:tcPr>
            <w:tcW w:w="178" w:type="pct"/>
            <w:tcBorders>
              <w:left w:val="single" w:sz="2" w:space="0" w:color="FFFFFF"/>
              <w:right w:val="single" w:sz="2" w:space="0" w:color="FFFFFF"/>
            </w:tcBorders>
            <w:shd w:val="solid" w:color="0067AB" w:fill="0067AB"/>
          </w:tcPr>
          <w:p w14:paraId="60432AF9" w14:textId="77777777" w:rsidR="000005F4" w:rsidRDefault="000005F4" w:rsidP="000005F4">
            <w:pPr>
              <w:pStyle w:val="TableHeadingWhite"/>
            </w:pPr>
            <w:r>
              <w:t>4</w:t>
            </w:r>
          </w:p>
        </w:tc>
        <w:tc>
          <w:tcPr>
            <w:tcW w:w="178" w:type="pct"/>
            <w:tcBorders>
              <w:left w:val="single" w:sz="2" w:space="0" w:color="FFFFFF"/>
              <w:right w:val="single" w:sz="2" w:space="0" w:color="FFFFFF"/>
            </w:tcBorders>
            <w:shd w:val="solid" w:color="0067AB" w:fill="0067AB"/>
          </w:tcPr>
          <w:p w14:paraId="0BD4719F" w14:textId="77777777" w:rsidR="000005F4" w:rsidRDefault="000005F4" w:rsidP="000005F4">
            <w:pPr>
              <w:pStyle w:val="TableHeadingWhite"/>
            </w:pPr>
            <w:r>
              <w:t>5</w:t>
            </w:r>
          </w:p>
        </w:tc>
        <w:tc>
          <w:tcPr>
            <w:tcW w:w="178" w:type="pct"/>
            <w:tcBorders>
              <w:left w:val="single" w:sz="2" w:space="0" w:color="FFFFFF"/>
              <w:right w:val="single" w:sz="2" w:space="0" w:color="FFFFFF"/>
            </w:tcBorders>
            <w:shd w:val="solid" w:color="0067AB" w:fill="0067AB"/>
          </w:tcPr>
          <w:p w14:paraId="70178819" w14:textId="77777777" w:rsidR="000005F4" w:rsidRDefault="000005F4" w:rsidP="000005F4">
            <w:pPr>
              <w:pStyle w:val="TableHeadingWhite"/>
            </w:pPr>
            <w:r>
              <w:t>6</w:t>
            </w:r>
          </w:p>
        </w:tc>
        <w:tc>
          <w:tcPr>
            <w:tcW w:w="178" w:type="pct"/>
            <w:tcBorders>
              <w:left w:val="single" w:sz="2" w:space="0" w:color="FFFFFF"/>
              <w:right w:val="single" w:sz="2" w:space="0" w:color="FFFFFF"/>
            </w:tcBorders>
            <w:shd w:val="solid" w:color="0067AB" w:fill="0067AB"/>
          </w:tcPr>
          <w:p w14:paraId="51CD0EC8" w14:textId="77777777" w:rsidR="000005F4" w:rsidRDefault="000005F4" w:rsidP="000005F4">
            <w:pPr>
              <w:pStyle w:val="TableHeadingWhite"/>
            </w:pPr>
            <w:r>
              <w:t>7</w:t>
            </w:r>
          </w:p>
        </w:tc>
        <w:tc>
          <w:tcPr>
            <w:tcW w:w="178" w:type="pct"/>
            <w:tcBorders>
              <w:left w:val="single" w:sz="2" w:space="0" w:color="FFFFFF"/>
              <w:right w:val="single" w:sz="2" w:space="0" w:color="FFFFFF"/>
            </w:tcBorders>
            <w:shd w:val="solid" w:color="0067AB" w:fill="0067AB"/>
          </w:tcPr>
          <w:p w14:paraId="42BCF77B" w14:textId="77777777" w:rsidR="000005F4" w:rsidRDefault="000005F4" w:rsidP="000005F4">
            <w:pPr>
              <w:pStyle w:val="TableHeadingWhite"/>
            </w:pPr>
            <w:r>
              <w:t>8</w:t>
            </w:r>
          </w:p>
        </w:tc>
        <w:tc>
          <w:tcPr>
            <w:tcW w:w="178" w:type="pct"/>
            <w:tcBorders>
              <w:left w:val="single" w:sz="2" w:space="0" w:color="FFFFFF"/>
              <w:right w:val="single" w:sz="2" w:space="0" w:color="FFFFFF"/>
            </w:tcBorders>
            <w:shd w:val="solid" w:color="0067AB" w:fill="0067AB"/>
          </w:tcPr>
          <w:p w14:paraId="666F07F1" w14:textId="77777777" w:rsidR="000005F4" w:rsidRDefault="000005F4" w:rsidP="000005F4">
            <w:pPr>
              <w:pStyle w:val="TableHeadingWhite"/>
            </w:pPr>
            <w:r>
              <w:t>9</w:t>
            </w:r>
          </w:p>
        </w:tc>
        <w:tc>
          <w:tcPr>
            <w:tcW w:w="178" w:type="pct"/>
            <w:tcBorders>
              <w:left w:val="single" w:sz="2" w:space="0" w:color="FFFFFF"/>
              <w:right w:val="single" w:sz="2" w:space="0" w:color="FFFFFF"/>
            </w:tcBorders>
            <w:shd w:val="solid" w:color="0067AB" w:fill="0067AB"/>
          </w:tcPr>
          <w:p w14:paraId="4C9095B9" w14:textId="77777777" w:rsidR="000005F4" w:rsidRDefault="000005F4" w:rsidP="000005F4">
            <w:pPr>
              <w:pStyle w:val="TableHeadingWhite"/>
            </w:pPr>
            <w:r>
              <w:t>10</w:t>
            </w:r>
          </w:p>
        </w:tc>
        <w:tc>
          <w:tcPr>
            <w:tcW w:w="178" w:type="pct"/>
            <w:tcBorders>
              <w:left w:val="single" w:sz="2" w:space="0" w:color="FFFFFF"/>
              <w:right w:val="single" w:sz="2" w:space="0" w:color="FFFFFF"/>
            </w:tcBorders>
            <w:shd w:val="solid" w:color="0067AB" w:fill="0067AB"/>
          </w:tcPr>
          <w:p w14:paraId="61CCA6A2" w14:textId="77777777" w:rsidR="000005F4" w:rsidRDefault="000005F4" w:rsidP="000005F4">
            <w:pPr>
              <w:pStyle w:val="TableHeadingWhite"/>
            </w:pPr>
            <w:r>
              <w:t>11</w:t>
            </w:r>
          </w:p>
        </w:tc>
        <w:tc>
          <w:tcPr>
            <w:tcW w:w="178" w:type="pct"/>
            <w:tcBorders>
              <w:left w:val="single" w:sz="2" w:space="0" w:color="FFFFFF"/>
              <w:right w:val="single" w:sz="2" w:space="0" w:color="FFFFFF"/>
            </w:tcBorders>
            <w:shd w:val="solid" w:color="0067AB" w:fill="0067AB"/>
          </w:tcPr>
          <w:p w14:paraId="0321792F" w14:textId="77777777" w:rsidR="000005F4" w:rsidRDefault="000005F4" w:rsidP="000005F4">
            <w:pPr>
              <w:pStyle w:val="TableHeadingWhite"/>
            </w:pPr>
            <w:r>
              <w:t>12</w:t>
            </w:r>
          </w:p>
        </w:tc>
        <w:tc>
          <w:tcPr>
            <w:tcW w:w="178" w:type="pct"/>
            <w:tcBorders>
              <w:left w:val="single" w:sz="2" w:space="0" w:color="FFFFFF"/>
              <w:right w:val="single" w:sz="2" w:space="0" w:color="FFFFFF"/>
            </w:tcBorders>
            <w:shd w:val="solid" w:color="0067AB" w:fill="0067AB"/>
          </w:tcPr>
          <w:p w14:paraId="3632BBDE" w14:textId="77777777" w:rsidR="000005F4" w:rsidRDefault="000005F4" w:rsidP="000005F4">
            <w:pPr>
              <w:pStyle w:val="TableHeadingWhite"/>
            </w:pPr>
            <w:r>
              <w:t>13</w:t>
            </w:r>
          </w:p>
        </w:tc>
        <w:tc>
          <w:tcPr>
            <w:tcW w:w="178" w:type="pct"/>
            <w:tcBorders>
              <w:left w:val="single" w:sz="2" w:space="0" w:color="FFFFFF"/>
              <w:right w:val="single" w:sz="2" w:space="0" w:color="FFFFFF"/>
            </w:tcBorders>
            <w:shd w:val="solid" w:color="0067AB" w:fill="0067AB"/>
          </w:tcPr>
          <w:p w14:paraId="535E0B8A" w14:textId="77777777" w:rsidR="000005F4" w:rsidRDefault="000005F4" w:rsidP="000005F4">
            <w:pPr>
              <w:pStyle w:val="TableHeadingWhite"/>
            </w:pPr>
            <w:r>
              <w:t>14</w:t>
            </w:r>
          </w:p>
        </w:tc>
        <w:tc>
          <w:tcPr>
            <w:tcW w:w="178" w:type="pct"/>
            <w:tcBorders>
              <w:left w:val="single" w:sz="2" w:space="0" w:color="FFFFFF"/>
              <w:right w:val="single" w:sz="2" w:space="0" w:color="FFFFFF"/>
            </w:tcBorders>
            <w:shd w:val="solid" w:color="0067AB" w:fill="0067AB"/>
          </w:tcPr>
          <w:p w14:paraId="59EDA072" w14:textId="77777777" w:rsidR="000005F4" w:rsidRDefault="000005F4" w:rsidP="000005F4">
            <w:pPr>
              <w:pStyle w:val="TableHeadingWhite"/>
            </w:pPr>
            <w:r>
              <w:t>15</w:t>
            </w:r>
          </w:p>
        </w:tc>
        <w:tc>
          <w:tcPr>
            <w:tcW w:w="178" w:type="pct"/>
            <w:tcBorders>
              <w:left w:val="single" w:sz="2" w:space="0" w:color="FFFFFF"/>
              <w:right w:val="single" w:sz="2" w:space="0" w:color="FFFFFF"/>
            </w:tcBorders>
            <w:shd w:val="solid" w:color="0067AB" w:fill="0067AB"/>
          </w:tcPr>
          <w:p w14:paraId="0C312429" w14:textId="77777777" w:rsidR="000005F4" w:rsidRDefault="000005F4" w:rsidP="000005F4">
            <w:pPr>
              <w:pStyle w:val="TableHeadingWhite"/>
            </w:pPr>
            <w:r>
              <w:t>16</w:t>
            </w:r>
          </w:p>
        </w:tc>
        <w:tc>
          <w:tcPr>
            <w:tcW w:w="178" w:type="pct"/>
            <w:tcBorders>
              <w:left w:val="single" w:sz="2" w:space="0" w:color="FFFFFF"/>
              <w:right w:val="single" w:sz="2" w:space="0" w:color="FFFFFF"/>
            </w:tcBorders>
            <w:shd w:val="solid" w:color="0067AB" w:fill="0067AB"/>
          </w:tcPr>
          <w:p w14:paraId="5444FE34" w14:textId="77777777" w:rsidR="000005F4" w:rsidRDefault="000005F4" w:rsidP="000005F4">
            <w:pPr>
              <w:pStyle w:val="TableHeadingWhite"/>
            </w:pPr>
            <w:r>
              <w:t>17</w:t>
            </w:r>
          </w:p>
        </w:tc>
        <w:tc>
          <w:tcPr>
            <w:tcW w:w="178" w:type="pct"/>
            <w:tcBorders>
              <w:left w:val="single" w:sz="2" w:space="0" w:color="FFFFFF"/>
              <w:right w:val="single" w:sz="2" w:space="0" w:color="FFFFFF"/>
            </w:tcBorders>
            <w:shd w:val="solid" w:color="0067AB" w:fill="0067AB"/>
          </w:tcPr>
          <w:p w14:paraId="75D8EB67" w14:textId="77777777" w:rsidR="000005F4" w:rsidRDefault="000005F4" w:rsidP="000005F4">
            <w:pPr>
              <w:pStyle w:val="TableHeadingWhite"/>
            </w:pPr>
            <w:r>
              <w:t>18</w:t>
            </w:r>
          </w:p>
        </w:tc>
        <w:tc>
          <w:tcPr>
            <w:tcW w:w="178" w:type="pct"/>
            <w:tcBorders>
              <w:left w:val="single" w:sz="2" w:space="0" w:color="FFFFFF"/>
              <w:right w:val="single" w:sz="2" w:space="0" w:color="FFFFFF"/>
            </w:tcBorders>
            <w:shd w:val="solid" w:color="0067AB" w:fill="0067AB"/>
          </w:tcPr>
          <w:p w14:paraId="1DCBB872" w14:textId="77777777" w:rsidR="000005F4" w:rsidRDefault="000005F4" w:rsidP="000005F4">
            <w:pPr>
              <w:pStyle w:val="TableHeadingWhite"/>
            </w:pPr>
            <w:r>
              <w:t>19</w:t>
            </w:r>
          </w:p>
        </w:tc>
        <w:tc>
          <w:tcPr>
            <w:tcW w:w="178" w:type="pct"/>
            <w:tcBorders>
              <w:left w:val="single" w:sz="2" w:space="0" w:color="FFFFFF"/>
              <w:right w:val="single" w:sz="2" w:space="0" w:color="FFFFFF"/>
            </w:tcBorders>
            <w:shd w:val="solid" w:color="0067AB" w:fill="0067AB"/>
          </w:tcPr>
          <w:p w14:paraId="2B6FA1CA" w14:textId="77777777" w:rsidR="000005F4" w:rsidRDefault="000005F4" w:rsidP="000005F4">
            <w:pPr>
              <w:pStyle w:val="TableHeadingWhite"/>
            </w:pPr>
            <w:r>
              <w:t>20</w:t>
            </w:r>
          </w:p>
        </w:tc>
        <w:tc>
          <w:tcPr>
            <w:tcW w:w="178" w:type="pct"/>
            <w:tcBorders>
              <w:left w:val="single" w:sz="2" w:space="0" w:color="FFFFFF"/>
              <w:right w:val="single" w:sz="2" w:space="0" w:color="FFFFFF"/>
            </w:tcBorders>
            <w:shd w:val="solid" w:color="0067AB" w:fill="0067AB"/>
          </w:tcPr>
          <w:p w14:paraId="749E9AF2" w14:textId="77777777" w:rsidR="000005F4" w:rsidRDefault="000005F4" w:rsidP="000005F4">
            <w:pPr>
              <w:pStyle w:val="TableHeadingWhite"/>
            </w:pPr>
            <w:r>
              <w:t>21</w:t>
            </w:r>
          </w:p>
        </w:tc>
        <w:tc>
          <w:tcPr>
            <w:tcW w:w="178" w:type="pct"/>
            <w:tcBorders>
              <w:left w:val="single" w:sz="2" w:space="0" w:color="FFFFFF"/>
              <w:right w:val="single" w:sz="2" w:space="0" w:color="FFFFFF"/>
            </w:tcBorders>
            <w:shd w:val="solid" w:color="0067AB" w:fill="0067AB"/>
          </w:tcPr>
          <w:p w14:paraId="03AB2A95" w14:textId="77777777" w:rsidR="000005F4" w:rsidRDefault="000005F4" w:rsidP="000005F4">
            <w:pPr>
              <w:pStyle w:val="TableHeadingWhite"/>
            </w:pPr>
            <w:r>
              <w:t>22</w:t>
            </w:r>
          </w:p>
        </w:tc>
        <w:tc>
          <w:tcPr>
            <w:tcW w:w="178" w:type="pct"/>
            <w:tcBorders>
              <w:left w:val="single" w:sz="2" w:space="0" w:color="FFFFFF"/>
              <w:right w:val="single" w:sz="2" w:space="0" w:color="FFFFFF"/>
            </w:tcBorders>
            <w:shd w:val="solid" w:color="0067AB" w:fill="0067AB"/>
          </w:tcPr>
          <w:p w14:paraId="588D428F" w14:textId="77777777" w:rsidR="000005F4" w:rsidRDefault="000005F4" w:rsidP="000005F4">
            <w:pPr>
              <w:pStyle w:val="TableHeadingWhite"/>
            </w:pPr>
            <w:r>
              <w:t>23</w:t>
            </w:r>
          </w:p>
        </w:tc>
        <w:tc>
          <w:tcPr>
            <w:tcW w:w="178" w:type="pct"/>
            <w:tcBorders>
              <w:left w:val="single" w:sz="2" w:space="0" w:color="FFFFFF"/>
              <w:right w:val="single" w:sz="2" w:space="0" w:color="FFFFFF"/>
            </w:tcBorders>
            <w:shd w:val="solid" w:color="0067AB" w:fill="0067AB"/>
          </w:tcPr>
          <w:p w14:paraId="3E3F5D23" w14:textId="77777777" w:rsidR="000005F4" w:rsidRDefault="000005F4" w:rsidP="000005F4">
            <w:pPr>
              <w:pStyle w:val="TableHeadingWhite"/>
            </w:pPr>
            <w:r>
              <w:t>24</w:t>
            </w:r>
          </w:p>
        </w:tc>
        <w:tc>
          <w:tcPr>
            <w:tcW w:w="178" w:type="pct"/>
            <w:tcBorders>
              <w:left w:val="single" w:sz="2" w:space="0" w:color="FFFFFF"/>
            </w:tcBorders>
            <w:shd w:val="solid" w:color="0067AB" w:fill="0067AB"/>
          </w:tcPr>
          <w:p w14:paraId="1FE4E4DA" w14:textId="77777777" w:rsidR="000005F4" w:rsidRDefault="000005F4" w:rsidP="000005F4">
            <w:pPr>
              <w:pStyle w:val="TableHeadingWhite"/>
            </w:pPr>
            <w:r>
              <w:t>25</w:t>
            </w:r>
          </w:p>
        </w:tc>
      </w:tr>
      <w:tr w:rsidR="000005F4" w14:paraId="4221D919" w14:textId="77777777" w:rsidTr="000005F4">
        <w:tc>
          <w:tcPr>
            <w:tcW w:w="553" w:type="pct"/>
            <w:shd w:val="clear" w:color="auto" w:fill="auto"/>
          </w:tcPr>
          <w:p w14:paraId="5E1BAE8E" w14:textId="77777777" w:rsidR="000005F4" w:rsidRPr="00CE4330" w:rsidRDefault="000005F4" w:rsidP="000005F4">
            <w:pPr>
              <w:pStyle w:val="TableTextNoSpace"/>
              <w:ind w:right="-358"/>
              <w:rPr>
                <w:rFonts w:cs="Arial"/>
                <w:sz w:val="17"/>
                <w:szCs w:val="17"/>
              </w:rPr>
            </w:pPr>
            <w:r w:rsidRPr="00CE4330">
              <w:rPr>
                <w:rFonts w:cs="Arial"/>
                <w:color w:val="000000"/>
                <w:sz w:val="17"/>
                <w:szCs w:val="17"/>
              </w:rPr>
              <w:t>Art 27</w:t>
            </w:r>
          </w:p>
        </w:tc>
        <w:tc>
          <w:tcPr>
            <w:tcW w:w="178" w:type="pct"/>
            <w:shd w:val="clear" w:color="auto" w:fill="auto"/>
          </w:tcPr>
          <w:p w14:paraId="67045C4B"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D5599DD"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7FC8D59"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3EC775E9"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050338AD"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67A1EDD5"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A2DEBEE"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5EC0E459"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90510D6"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263A7CD"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042936F2"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3C2DA2BA"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3DC897FB"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537B4CED"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3C430AA5"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auto"/>
          </w:tcPr>
          <w:p w14:paraId="72FC4104"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525737EE"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77097A80" w14:textId="77777777" w:rsidR="000005F4" w:rsidRPr="00CE4330" w:rsidRDefault="000005F4" w:rsidP="000005F4">
            <w:pPr>
              <w:pStyle w:val="TableTextNoSpace"/>
              <w:jc w:val="center"/>
              <w:rPr>
                <w:rFonts w:cs="Arial"/>
                <w:sz w:val="18"/>
                <w:szCs w:val="18"/>
              </w:rPr>
            </w:pPr>
          </w:p>
        </w:tc>
        <w:tc>
          <w:tcPr>
            <w:tcW w:w="178" w:type="pct"/>
          </w:tcPr>
          <w:p w14:paraId="41AD86EC" w14:textId="77777777" w:rsidR="000005F4" w:rsidRPr="00CE4330" w:rsidRDefault="000005F4" w:rsidP="000005F4">
            <w:pPr>
              <w:pStyle w:val="TableTextNoSpace"/>
              <w:jc w:val="center"/>
              <w:rPr>
                <w:rFonts w:cs="Arial"/>
                <w:sz w:val="18"/>
                <w:szCs w:val="18"/>
              </w:rPr>
            </w:pPr>
          </w:p>
        </w:tc>
        <w:tc>
          <w:tcPr>
            <w:tcW w:w="178" w:type="pct"/>
          </w:tcPr>
          <w:p w14:paraId="391DE07B" w14:textId="77777777" w:rsidR="000005F4" w:rsidRPr="00CE4330" w:rsidRDefault="000005F4" w:rsidP="000005F4">
            <w:pPr>
              <w:pStyle w:val="TableTextNoSpace"/>
              <w:jc w:val="center"/>
              <w:rPr>
                <w:rFonts w:cs="Arial"/>
                <w:sz w:val="18"/>
                <w:szCs w:val="18"/>
              </w:rPr>
            </w:pPr>
          </w:p>
        </w:tc>
        <w:tc>
          <w:tcPr>
            <w:tcW w:w="178" w:type="pct"/>
          </w:tcPr>
          <w:p w14:paraId="4A3992DE" w14:textId="77777777" w:rsidR="000005F4" w:rsidRPr="00CE4330" w:rsidRDefault="000005F4" w:rsidP="000005F4">
            <w:pPr>
              <w:pStyle w:val="TableTextNoSpace"/>
              <w:jc w:val="center"/>
              <w:rPr>
                <w:rFonts w:cs="Arial"/>
                <w:sz w:val="18"/>
                <w:szCs w:val="18"/>
              </w:rPr>
            </w:pPr>
          </w:p>
        </w:tc>
        <w:tc>
          <w:tcPr>
            <w:tcW w:w="178" w:type="pct"/>
          </w:tcPr>
          <w:p w14:paraId="1DC433BB" w14:textId="77777777" w:rsidR="000005F4" w:rsidRPr="00CE4330" w:rsidRDefault="000005F4" w:rsidP="000005F4">
            <w:pPr>
              <w:pStyle w:val="TableTextNoSpace"/>
              <w:jc w:val="center"/>
              <w:rPr>
                <w:rFonts w:cs="Arial"/>
                <w:sz w:val="18"/>
                <w:szCs w:val="18"/>
              </w:rPr>
            </w:pPr>
          </w:p>
        </w:tc>
        <w:tc>
          <w:tcPr>
            <w:tcW w:w="178" w:type="pct"/>
          </w:tcPr>
          <w:p w14:paraId="0B0141B0" w14:textId="77777777" w:rsidR="000005F4" w:rsidRPr="00CE4330" w:rsidRDefault="000005F4" w:rsidP="000005F4">
            <w:pPr>
              <w:pStyle w:val="TableTextNoSpace"/>
              <w:jc w:val="center"/>
              <w:rPr>
                <w:rFonts w:cs="Arial"/>
                <w:sz w:val="18"/>
                <w:szCs w:val="18"/>
              </w:rPr>
            </w:pPr>
          </w:p>
        </w:tc>
        <w:tc>
          <w:tcPr>
            <w:tcW w:w="178" w:type="pct"/>
          </w:tcPr>
          <w:p w14:paraId="4A41AB9E"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5461AC75" w14:textId="77777777" w:rsidR="000005F4" w:rsidRPr="00CE4330" w:rsidRDefault="000005F4" w:rsidP="000005F4">
            <w:pPr>
              <w:pStyle w:val="TableTextNoSpace"/>
              <w:jc w:val="center"/>
              <w:rPr>
                <w:rFonts w:cs="Arial"/>
                <w:sz w:val="18"/>
                <w:szCs w:val="18"/>
              </w:rPr>
            </w:pPr>
          </w:p>
        </w:tc>
      </w:tr>
      <w:tr w:rsidR="000005F4" w14:paraId="769E0D35" w14:textId="77777777" w:rsidTr="000005F4">
        <w:tc>
          <w:tcPr>
            <w:tcW w:w="553" w:type="pct"/>
            <w:shd w:val="clear" w:color="auto" w:fill="auto"/>
          </w:tcPr>
          <w:p w14:paraId="279270B2" w14:textId="77777777" w:rsidR="000005F4" w:rsidRPr="00CE4330" w:rsidRDefault="000005F4" w:rsidP="000005F4">
            <w:pPr>
              <w:pStyle w:val="TableTextNoSpace"/>
              <w:ind w:right="-358"/>
              <w:rPr>
                <w:rFonts w:cs="Arial"/>
                <w:sz w:val="17"/>
                <w:szCs w:val="17"/>
              </w:rPr>
            </w:pPr>
            <w:r w:rsidRPr="00CE4330">
              <w:rPr>
                <w:rFonts w:cs="Arial"/>
                <w:color w:val="000000"/>
                <w:sz w:val="17"/>
                <w:szCs w:val="17"/>
              </w:rPr>
              <w:t xml:space="preserve">Art 28 </w:t>
            </w:r>
          </w:p>
        </w:tc>
        <w:tc>
          <w:tcPr>
            <w:tcW w:w="178" w:type="pct"/>
            <w:shd w:val="clear" w:color="auto" w:fill="auto"/>
          </w:tcPr>
          <w:p w14:paraId="37FA239F"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12356521"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auto"/>
          </w:tcPr>
          <w:p w14:paraId="257558B7"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1D92106"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auto"/>
          </w:tcPr>
          <w:p w14:paraId="21D4B408"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780B4A01"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642303EB"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E5A3C71"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56CD8E5F"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6DBABC1"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5458CB67"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6D800269"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62E967BC"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F3D7F39"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auto"/>
          </w:tcPr>
          <w:p w14:paraId="65468512"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5D6BFBCC"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12A7AF68"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auto"/>
          </w:tcPr>
          <w:p w14:paraId="4600EAA5" w14:textId="77777777" w:rsidR="000005F4" w:rsidRPr="00CE4330" w:rsidRDefault="000005F4" w:rsidP="000005F4">
            <w:pPr>
              <w:pStyle w:val="TableTextNoSpace"/>
              <w:jc w:val="center"/>
              <w:rPr>
                <w:rFonts w:cs="Arial"/>
                <w:sz w:val="18"/>
                <w:szCs w:val="18"/>
              </w:rPr>
            </w:pPr>
          </w:p>
        </w:tc>
        <w:tc>
          <w:tcPr>
            <w:tcW w:w="178" w:type="pct"/>
          </w:tcPr>
          <w:p w14:paraId="2C3688D2" w14:textId="77777777" w:rsidR="000005F4" w:rsidRPr="00CE4330" w:rsidRDefault="000005F4" w:rsidP="000005F4">
            <w:pPr>
              <w:pStyle w:val="TableTextNoSpace"/>
              <w:jc w:val="center"/>
              <w:rPr>
                <w:rFonts w:cs="Arial"/>
                <w:sz w:val="18"/>
                <w:szCs w:val="18"/>
              </w:rPr>
            </w:pPr>
          </w:p>
        </w:tc>
        <w:tc>
          <w:tcPr>
            <w:tcW w:w="178" w:type="pct"/>
          </w:tcPr>
          <w:p w14:paraId="432BA1B4" w14:textId="77777777" w:rsidR="000005F4" w:rsidRPr="00CE4330" w:rsidRDefault="000005F4" w:rsidP="000005F4">
            <w:pPr>
              <w:pStyle w:val="TableTextNoSpace"/>
              <w:jc w:val="center"/>
              <w:rPr>
                <w:rFonts w:cs="Arial"/>
                <w:sz w:val="18"/>
                <w:szCs w:val="18"/>
              </w:rPr>
            </w:pPr>
          </w:p>
        </w:tc>
        <w:tc>
          <w:tcPr>
            <w:tcW w:w="178" w:type="pct"/>
          </w:tcPr>
          <w:p w14:paraId="7BE73FD1" w14:textId="77777777" w:rsidR="000005F4" w:rsidRPr="00CE4330" w:rsidRDefault="000005F4" w:rsidP="000005F4">
            <w:pPr>
              <w:pStyle w:val="TableTextNoSpace"/>
              <w:jc w:val="center"/>
              <w:rPr>
                <w:rFonts w:cs="Arial"/>
                <w:sz w:val="18"/>
                <w:szCs w:val="18"/>
              </w:rPr>
            </w:pPr>
          </w:p>
        </w:tc>
        <w:tc>
          <w:tcPr>
            <w:tcW w:w="178" w:type="pct"/>
          </w:tcPr>
          <w:p w14:paraId="7188356D" w14:textId="77777777" w:rsidR="000005F4" w:rsidRPr="00CE4330" w:rsidRDefault="000005F4" w:rsidP="000005F4">
            <w:pPr>
              <w:pStyle w:val="TableTextNoSpace"/>
              <w:jc w:val="center"/>
              <w:rPr>
                <w:rFonts w:cs="Arial"/>
                <w:sz w:val="18"/>
                <w:szCs w:val="18"/>
              </w:rPr>
            </w:pPr>
          </w:p>
        </w:tc>
        <w:tc>
          <w:tcPr>
            <w:tcW w:w="178" w:type="pct"/>
          </w:tcPr>
          <w:p w14:paraId="11768439" w14:textId="77777777" w:rsidR="000005F4" w:rsidRPr="00CE4330" w:rsidRDefault="000005F4" w:rsidP="000005F4">
            <w:pPr>
              <w:pStyle w:val="TableTextNoSpace"/>
              <w:jc w:val="center"/>
              <w:rPr>
                <w:rFonts w:cs="Arial"/>
                <w:sz w:val="18"/>
                <w:szCs w:val="18"/>
              </w:rPr>
            </w:pPr>
          </w:p>
        </w:tc>
        <w:tc>
          <w:tcPr>
            <w:tcW w:w="178" w:type="pct"/>
          </w:tcPr>
          <w:p w14:paraId="0ABB284C"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90597D1" w14:textId="77777777" w:rsidR="000005F4" w:rsidRPr="00CE4330" w:rsidRDefault="000005F4" w:rsidP="000005F4">
            <w:pPr>
              <w:pStyle w:val="TableTextNoSpace"/>
              <w:jc w:val="center"/>
              <w:rPr>
                <w:rFonts w:cs="Arial"/>
                <w:sz w:val="18"/>
                <w:szCs w:val="18"/>
              </w:rPr>
            </w:pPr>
          </w:p>
        </w:tc>
      </w:tr>
      <w:tr w:rsidR="000005F4" w14:paraId="2AC0159D" w14:textId="77777777" w:rsidTr="000005F4">
        <w:tc>
          <w:tcPr>
            <w:tcW w:w="553" w:type="pct"/>
            <w:shd w:val="clear" w:color="auto" w:fill="auto"/>
          </w:tcPr>
          <w:p w14:paraId="286D93C1" w14:textId="77777777" w:rsidR="000005F4" w:rsidRPr="00CE4330" w:rsidRDefault="000005F4" w:rsidP="000005F4">
            <w:pPr>
              <w:pStyle w:val="TableTextNoSpace"/>
              <w:rPr>
                <w:rFonts w:cs="Arial"/>
                <w:sz w:val="17"/>
                <w:szCs w:val="17"/>
              </w:rPr>
            </w:pPr>
            <w:r w:rsidRPr="00CE4330">
              <w:rPr>
                <w:rFonts w:cs="Arial"/>
                <w:color w:val="000000"/>
                <w:sz w:val="17"/>
                <w:szCs w:val="17"/>
              </w:rPr>
              <w:t xml:space="preserve">Art 29(1)(a) </w:t>
            </w:r>
          </w:p>
        </w:tc>
        <w:tc>
          <w:tcPr>
            <w:tcW w:w="178" w:type="pct"/>
            <w:shd w:val="clear" w:color="auto" w:fill="auto"/>
          </w:tcPr>
          <w:p w14:paraId="0ECA235D"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7BBB6EDD"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60990A72"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6A32A27C"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33905E8B"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487B8C3"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5C7E882"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012F8AA3"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17E646AA"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7831AB1E"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47E8E8E"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62FA7FE"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0D4C7CEA"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A60D4FB"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7FD76EF5"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06C89BAD"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5908FA43"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875C1F1" w14:textId="77777777" w:rsidR="000005F4" w:rsidRPr="00CE4330" w:rsidRDefault="000005F4" w:rsidP="000005F4">
            <w:pPr>
              <w:pStyle w:val="TableTextNoSpace"/>
              <w:jc w:val="center"/>
              <w:rPr>
                <w:rFonts w:cs="Arial"/>
                <w:sz w:val="18"/>
                <w:szCs w:val="18"/>
              </w:rPr>
            </w:pPr>
          </w:p>
        </w:tc>
        <w:tc>
          <w:tcPr>
            <w:tcW w:w="178" w:type="pct"/>
          </w:tcPr>
          <w:p w14:paraId="689E2014" w14:textId="77777777" w:rsidR="000005F4" w:rsidRPr="00CE4330" w:rsidRDefault="000005F4" w:rsidP="000005F4">
            <w:pPr>
              <w:pStyle w:val="TableTextNoSpace"/>
              <w:jc w:val="center"/>
              <w:rPr>
                <w:rFonts w:cs="Arial"/>
                <w:sz w:val="18"/>
                <w:szCs w:val="18"/>
              </w:rPr>
            </w:pPr>
          </w:p>
        </w:tc>
        <w:tc>
          <w:tcPr>
            <w:tcW w:w="178" w:type="pct"/>
          </w:tcPr>
          <w:p w14:paraId="15417DD4" w14:textId="77777777" w:rsidR="000005F4" w:rsidRPr="00CE4330" w:rsidRDefault="000005F4" w:rsidP="000005F4">
            <w:pPr>
              <w:pStyle w:val="TableTextNoSpace"/>
              <w:jc w:val="center"/>
              <w:rPr>
                <w:rFonts w:cs="Arial"/>
                <w:sz w:val="18"/>
                <w:szCs w:val="18"/>
              </w:rPr>
            </w:pPr>
          </w:p>
        </w:tc>
        <w:tc>
          <w:tcPr>
            <w:tcW w:w="178" w:type="pct"/>
          </w:tcPr>
          <w:p w14:paraId="0C84EA56"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tcPr>
          <w:p w14:paraId="621EA12F" w14:textId="77777777" w:rsidR="000005F4" w:rsidRPr="00CE4330" w:rsidRDefault="000005F4" w:rsidP="000005F4">
            <w:pPr>
              <w:pStyle w:val="TableTextNoSpace"/>
              <w:jc w:val="center"/>
              <w:rPr>
                <w:rFonts w:cs="Arial"/>
                <w:sz w:val="18"/>
                <w:szCs w:val="18"/>
              </w:rPr>
            </w:pPr>
          </w:p>
        </w:tc>
        <w:tc>
          <w:tcPr>
            <w:tcW w:w="178" w:type="pct"/>
          </w:tcPr>
          <w:p w14:paraId="4C1A6DE7" w14:textId="77777777" w:rsidR="000005F4" w:rsidRPr="00CE4330" w:rsidRDefault="000005F4" w:rsidP="000005F4">
            <w:pPr>
              <w:pStyle w:val="TableTextNoSpace"/>
              <w:jc w:val="center"/>
              <w:rPr>
                <w:rFonts w:cs="Arial"/>
                <w:sz w:val="18"/>
                <w:szCs w:val="18"/>
              </w:rPr>
            </w:pPr>
          </w:p>
        </w:tc>
        <w:tc>
          <w:tcPr>
            <w:tcW w:w="178" w:type="pct"/>
          </w:tcPr>
          <w:p w14:paraId="2CF70AFD"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1C6D5E1C" w14:textId="77777777" w:rsidR="000005F4" w:rsidRPr="00CE4330" w:rsidRDefault="000005F4" w:rsidP="000005F4">
            <w:pPr>
              <w:pStyle w:val="TableTextNoSpace"/>
              <w:jc w:val="center"/>
              <w:rPr>
                <w:rFonts w:cs="Arial"/>
                <w:sz w:val="18"/>
                <w:szCs w:val="18"/>
              </w:rPr>
            </w:pPr>
          </w:p>
        </w:tc>
      </w:tr>
      <w:tr w:rsidR="000005F4" w14:paraId="33D870DB" w14:textId="77777777" w:rsidTr="000005F4">
        <w:tc>
          <w:tcPr>
            <w:tcW w:w="553" w:type="pct"/>
            <w:shd w:val="clear" w:color="auto" w:fill="auto"/>
          </w:tcPr>
          <w:p w14:paraId="2609FFC7" w14:textId="77777777" w:rsidR="000005F4" w:rsidRPr="00CE4330" w:rsidRDefault="000005F4" w:rsidP="000005F4">
            <w:pPr>
              <w:pStyle w:val="TableTextNoSpace"/>
              <w:rPr>
                <w:rFonts w:cs="Arial"/>
                <w:sz w:val="17"/>
                <w:szCs w:val="17"/>
              </w:rPr>
            </w:pPr>
            <w:r w:rsidRPr="00CE4330">
              <w:rPr>
                <w:rFonts w:cs="Arial"/>
                <w:color w:val="000000"/>
                <w:sz w:val="17"/>
                <w:szCs w:val="17"/>
              </w:rPr>
              <w:t xml:space="preserve">Art 30(1) </w:t>
            </w:r>
          </w:p>
        </w:tc>
        <w:tc>
          <w:tcPr>
            <w:tcW w:w="178" w:type="pct"/>
            <w:shd w:val="clear" w:color="auto" w:fill="auto"/>
          </w:tcPr>
          <w:p w14:paraId="68A643AA"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D7ED0CF"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151D7F4D"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7A9683E"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910E000"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076E32CD"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99F8AF0"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68A1CFF5"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2B3E1BE"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69E7F38A"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auto"/>
          </w:tcPr>
          <w:p w14:paraId="0276D3D9"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3A9CFBA"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492C646"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DCD42A5"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56829E43"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6BFE66E0"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19BD86DB"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16EB2D31" w14:textId="77777777" w:rsidR="000005F4" w:rsidRPr="00CE4330" w:rsidRDefault="000005F4" w:rsidP="000005F4">
            <w:pPr>
              <w:pStyle w:val="TableTextNoSpace"/>
              <w:jc w:val="center"/>
              <w:rPr>
                <w:rFonts w:cs="Arial"/>
                <w:sz w:val="18"/>
                <w:szCs w:val="18"/>
              </w:rPr>
            </w:pPr>
          </w:p>
        </w:tc>
        <w:tc>
          <w:tcPr>
            <w:tcW w:w="178" w:type="pct"/>
          </w:tcPr>
          <w:p w14:paraId="57317C07" w14:textId="77777777" w:rsidR="000005F4" w:rsidRPr="00CE4330" w:rsidRDefault="000005F4" w:rsidP="000005F4">
            <w:pPr>
              <w:pStyle w:val="TableTextNoSpace"/>
              <w:jc w:val="center"/>
              <w:rPr>
                <w:rFonts w:cs="Arial"/>
                <w:sz w:val="18"/>
                <w:szCs w:val="18"/>
              </w:rPr>
            </w:pPr>
          </w:p>
        </w:tc>
        <w:tc>
          <w:tcPr>
            <w:tcW w:w="178" w:type="pct"/>
          </w:tcPr>
          <w:p w14:paraId="20700079" w14:textId="77777777" w:rsidR="000005F4" w:rsidRPr="00CE4330" w:rsidRDefault="000005F4" w:rsidP="000005F4">
            <w:pPr>
              <w:pStyle w:val="TableTextNoSpace"/>
              <w:jc w:val="center"/>
              <w:rPr>
                <w:rFonts w:cs="Arial"/>
                <w:sz w:val="18"/>
                <w:szCs w:val="18"/>
              </w:rPr>
            </w:pPr>
          </w:p>
        </w:tc>
        <w:tc>
          <w:tcPr>
            <w:tcW w:w="178" w:type="pct"/>
          </w:tcPr>
          <w:p w14:paraId="03CED2F7" w14:textId="77777777" w:rsidR="000005F4" w:rsidRPr="00CE4330" w:rsidRDefault="000005F4" w:rsidP="000005F4">
            <w:pPr>
              <w:pStyle w:val="TableTextNoSpace"/>
              <w:jc w:val="center"/>
              <w:rPr>
                <w:rFonts w:cs="Arial"/>
                <w:sz w:val="18"/>
                <w:szCs w:val="18"/>
              </w:rPr>
            </w:pPr>
          </w:p>
        </w:tc>
        <w:tc>
          <w:tcPr>
            <w:tcW w:w="178" w:type="pct"/>
          </w:tcPr>
          <w:p w14:paraId="307FF944"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tcPr>
          <w:p w14:paraId="388A6DA3" w14:textId="77777777" w:rsidR="000005F4" w:rsidRPr="00CE4330" w:rsidRDefault="000005F4" w:rsidP="000005F4">
            <w:pPr>
              <w:pStyle w:val="TableTextNoSpace"/>
              <w:jc w:val="center"/>
              <w:rPr>
                <w:rFonts w:cs="Arial"/>
                <w:sz w:val="18"/>
                <w:szCs w:val="18"/>
              </w:rPr>
            </w:pPr>
          </w:p>
        </w:tc>
        <w:tc>
          <w:tcPr>
            <w:tcW w:w="178" w:type="pct"/>
          </w:tcPr>
          <w:p w14:paraId="319CC814"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66B47424" w14:textId="77777777" w:rsidR="000005F4" w:rsidRPr="00CE4330" w:rsidRDefault="000005F4" w:rsidP="000005F4">
            <w:pPr>
              <w:pStyle w:val="TableTextNoSpace"/>
              <w:jc w:val="center"/>
              <w:rPr>
                <w:rFonts w:cs="Arial"/>
                <w:sz w:val="18"/>
                <w:szCs w:val="18"/>
              </w:rPr>
            </w:pPr>
          </w:p>
        </w:tc>
      </w:tr>
      <w:tr w:rsidR="000005F4" w14:paraId="0D0DA03E" w14:textId="77777777" w:rsidTr="000005F4">
        <w:tc>
          <w:tcPr>
            <w:tcW w:w="553" w:type="pct"/>
            <w:shd w:val="clear" w:color="auto" w:fill="auto"/>
          </w:tcPr>
          <w:p w14:paraId="116E4AFE" w14:textId="77777777" w:rsidR="000005F4" w:rsidRPr="00CE4330" w:rsidRDefault="000005F4" w:rsidP="000005F4">
            <w:pPr>
              <w:pStyle w:val="TableTextNoSpace"/>
              <w:rPr>
                <w:rFonts w:cs="Arial"/>
                <w:sz w:val="17"/>
                <w:szCs w:val="17"/>
              </w:rPr>
            </w:pPr>
            <w:r w:rsidRPr="00CE4330">
              <w:rPr>
                <w:rFonts w:cs="Arial"/>
                <w:color w:val="000000"/>
                <w:sz w:val="17"/>
                <w:szCs w:val="17"/>
              </w:rPr>
              <w:t xml:space="preserve">Art 37(1)(b) </w:t>
            </w:r>
          </w:p>
        </w:tc>
        <w:tc>
          <w:tcPr>
            <w:tcW w:w="178" w:type="pct"/>
            <w:shd w:val="clear" w:color="auto" w:fill="auto"/>
          </w:tcPr>
          <w:p w14:paraId="4F3FA60C"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57D207E7"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F861830"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65AB929"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17E3DED"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031A7362"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8C9389D"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auto"/>
          </w:tcPr>
          <w:p w14:paraId="4A8DB9DA"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3A1FB05F"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6CBDED9F"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D51E70B"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5A197B9E"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1EA84873"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38F01468"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6D4BAF32"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0B8D1411"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3E47903D"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5A75599D" w14:textId="77777777" w:rsidR="000005F4" w:rsidRPr="00CE4330" w:rsidRDefault="000005F4" w:rsidP="000005F4">
            <w:pPr>
              <w:pStyle w:val="TableTextNoSpace"/>
              <w:jc w:val="center"/>
              <w:rPr>
                <w:rFonts w:cs="Arial"/>
                <w:sz w:val="18"/>
                <w:szCs w:val="18"/>
              </w:rPr>
            </w:pPr>
          </w:p>
        </w:tc>
        <w:tc>
          <w:tcPr>
            <w:tcW w:w="178" w:type="pct"/>
          </w:tcPr>
          <w:p w14:paraId="62FBB3A0" w14:textId="77777777" w:rsidR="000005F4" w:rsidRPr="00CE4330" w:rsidRDefault="000005F4" w:rsidP="000005F4">
            <w:pPr>
              <w:pStyle w:val="TableTextNoSpace"/>
              <w:jc w:val="center"/>
              <w:rPr>
                <w:rFonts w:cs="Arial"/>
                <w:sz w:val="18"/>
                <w:szCs w:val="18"/>
              </w:rPr>
            </w:pPr>
          </w:p>
        </w:tc>
        <w:tc>
          <w:tcPr>
            <w:tcW w:w="178" w:type="pct"/>
          </w:tcPr>
          <w:p w14:paraId="6D26E7ED" w14:textId="77777777" w:rsidR="000005F4" w:rsidRPr="00CE4330" w:rsidRDefault="000005F4" w:rsidP="000005F4">
            <w:pPr>
              <w:pStyle w:val="TableTextNoSpace"/>
              <w:jc w:val="center"/>
              <w:rPr>
                <w:rFonts w:cs="Arial"/>
                <w:sz w:val="18"/>
                <w:szCs w:val="18"/>
              </w:rPr>
            </w:pPr>
          </w:p>
        </w:tc>
        <w:tc>
          <w:tcPr>
            <w:tcW w:w="178" w:type="pct"/>
          </w:tcPr>
          <w:p w14:paraId="089C5108" w14:textId="77777777" w:rsidR="000005F4" w:rsidRPr="00CE4330" w:rsidRDefault="000005F4" w:rsidP="000005F4">
            <w:pPr>
              <w:pStyle w:val="TableTextNoSpace"/>
              <w:jc w:val="center"/>
              <w:rPr>
                <w:rFonts w:cs="Arial"/>
                <w:sz w:val="18"/>
                <w:szCs w:val="18"/>
              </w:rPr>
            </w:pPr>
          </w:p>
        </w:tc>
        <w:tc>
          <w:tcPr>
            <w:tcW w:w="178" w:type="pct"/>
          </w:tcPr>
          <w:p w14:paraId="6FDD62F7" w14:textId="77777777" w:rsidR="000005F4" w:rsidRPr="00CE4330" w:rsidRDefault="000005F4" w:rsidP="000005F4">
            <w:pPr>
              <w:pStyle w:val="TableTextNoSpace"/>
              <w:jc w:val="center"/>
              <w:rPr>
                <w:rFonts w:cs="Arial"/>
                <w:sz w:val="18"/>
                <w:szCs w:val="18"/>
              </w:rPr>
            </w:pPr>
          </w:p>
        </w:tc>
        <w:tc>
          <w:tcPr>
            <w:tcW w:w="178" w:type="pct"/>
          </w:tcPr>
          <w:p w14:paraId="1B2A8D60" w14:textId="77777777" w:rsidR="000005F4" w:rsidRPr="00CE4330" w:rsidRDefault="000005F4" w:rsidP="000005F4">
            <w:pPr>
              <w:pStyle w:val="TableTextNoSpace"/>
              <w:jc w:val="center"/>
              <w:rPr>
                <w:rFonts w:cs="Arial"/>
                <w:sz w:val="18"/>
                <w:szCs w:val="18"/>
              </w:rPr>
            </w:pPr>
          </w:p>
        </w:tc>
        <w:tc>
          <w:tcPr>
            <w:tcW w:w="178" w:type="pct"/>
          </w:tcPr>
          <w:p w14:paraId="4A7E683A"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6E71566E" w14:textId="77777777" w:rsidR="000005F4" w:rsidRPr="00CE4330" w:rsidRDefault="000005F4" w:rsidP="000005F4">
            <w:pPr>
              <w:pStyle w:val="TableTextNoSpace"/>
              <w:jc w:val="center"/>
              <w:rPr>
                <w:rFonts w:cs="Arial"/>
                <w:sz w:val="18"/>
                <w:szCs w:val="18"/>
              </w:rPr>
            </w:pPr>
          </w:p>
        </w:tc>
      </w:tr>
      <w:tr w:rsidR="000005F4" w14:paraId="680A33E6" w14:textId="77777777" w:rsidTr="000005F4">
        <w:tc>
          <w:tcPr>
            <w:tcW w:w="553" w:type="pct"/>
            <w:shd w:val="clear" w:color="auto" w:fill="auto"/>
          </w:tcPr>
          <w:p w14:paraId="5EC91BC0" w14:textId="77777777" w:rsidR="000005F4" w:rsidRPr="00CE4330" w:rsidRDefault="000005F4" w:rsidP="000005F4">
            <w:pPr>
              <w:pStyle w:val="TableTextNoSpace"/>
              <w:rPr>
                <w:rFonts w:cs="Arial"/>
                <w:sz w:val="17"/>
                <w:szCs w:val="17"/>
              </w:rPr>
            </w:pPr>
            <w:r w:rsidRPr="00CE4330">
              <w:rPr>
                <w:rFonts w:cs="Arial"/>
                <w:color w:val="000000"/>
                <w:sz w:val="17"/>
                <w:szCs w:val="17"/>
              </w:rPr>
              <w:t xml:space="preserve">Art 38(1)(a–d) </w:t>
            </w:r>
          </w:p>
        </w:tc>
        <w:tc>
          <w:tcPr>
            <w:tcW w:w="178" w:type="pct"/>
            <w:shd w:val="clear" w:color="auto" w:fill="auto"/>
          </w:tcPr>
          <w:p w14:paraId="643A7B8D"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32A2B228"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6996B85"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66BE8FA0"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3798E3D0"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7F68719C"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64DB5FB6"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EF3B4A4"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7665C427"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3922FE6F"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0E87C251"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093656AD"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auto"/>
          </w:tcPr>
          <w:p w14:paraId="04A7D5A3"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auto"/>
          </w:tcPr>
          <w:p w14:paraId="35BB76D4"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73CA67B9"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auto"/>
          </w:tcPr>
          <w:p w14:paraId="36FA13B4"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32D29EA8"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551D6AB2" w14:textId="77777777" w:rsidR="000005F4" w:rsidRPr="00CE4330" w:rsidRDefault="000005F4" w:rsidP="000005F4">
            <w:pPr>
              <w:pStyle w:val="TableTextNoSpace"/>
              <w:jc w:val="center"/>
              <w:rPr>
                <w:rFonts w:cs="Arial"/>
                <w:sz w:val="18"/>
                <w:szCs w:val="18"/>
              </w:rPr>
            </w:pPr>
          </w:p>
        </w:tc>
        <w:tc>
          <w:tcPr>
            <w:tcW w:w="178" w:type="pct"/>
          </w:tcPr>
          <w:p w14:paraId="64931C6F" w14:textId="77777777" w:rsidR="000005F4" w:rsidRPr="00CE4330" w:rsidRDefault="000005F4" w:rsidP="000005F4">
            <w:pPr>
              <w:pStyle w:val="TableTextNoSpace"/>
              <w:jc w:val="center"/>
              <w:rPr>
                <w:rFonts w:cs="Arial"/>
                <w:sz w:val="18"/>
                <w:szCs w:val="18"/>
              </w:rPr>
            </w:pPr>
          </w:p>
        </w:tc>
        <w:tc>
          <w:tcPr>
            <w:tcW w:w="178" w:type="pct"/>
          </w:tcPr>
          <w:p w14:paraId="7AB6AC22" w14:textId="77777777" w:rsidR="000005F4" w:rsidRPr="00CE4330" w:rsidRDefault="000005F4" w:rsidP="000005F4">
            <w:pPr>
              <w:pStyle w:val="TableTextNoSpace"/>
              <w:jc w:val="center"/>
              <w:rPr>
                <w:rFonts w:cs="Arial"/>
                <w:sz w:val="18"/>
                <w:szCs w:val="18"/>
              </w:rPr>
            </w:pPr>
          </w:p>
        </w:tc>
        <w:tc>
          <w:tcPr>
            <w:tcW w:w="178" w:type="pct"/>
          </w:tcPr>
          <w:p w14:paraId="4CF67E13" w14:textId="77777777" w:rsidR="000005F4" w:rsidRPr="00CE4330" w:rsidRDefault="000005F4" w:rsidP="000005F4">
            <w:pPr>
              <w:pStyle w:val="TableTextNoSpace"/>
              <w:jc w:val="center"/>
              <w:rPr>
                <w:rFonts w:cs="Arial"/>
                <w:sz w:val="18"/>
                <w:szCs w:val="18"/>
              </w:rPr>
            </w:pPr>
          </w:p>
        </w:tc>
        <w:tc>
          <w:tcPr>
            <w:tcW w:w="178" w:type="pct"/>
          </w:tcPr>
          <w:p w14:paraId="274F8422" w14:textId="77777777" w:rsidR="000005F4" w:rsidRPr="00CE4330" w:rsidRDefault="000005F4" w:rsidP="000005F4">
            <w:pPr>
              <w:pStyle w:val="TableTextNoSpace"/>
              <w:jc w:val="center"/>
              <w:rPr>
                <w:rFonts w:cs="Arial"/>
                <w:sz w:val="18"/>
                <w:szCs w:val="18"/>
              </w:rPr>
            </w:pPr>
          </w:p>
        </w:tc>
        <w:tc>
          <w:tcPr>
            <w:tcW w:w="178" w:type="pct"/>
          </w:tcPr>
          <w:p w14:paraId="308CCF0A" w14:textId="77777777" w:rsidR="000005F4" w:rsidRPr="00CE4330" w:rsidRDefault="000005F4" w:rsidP="000005F4">
            <w:pPr>
              <w:pStyle w:val="TableTextNoSpace"/>
              <w:jc w:val="center"/>
              <w:rPr>
                <w:rFonts w:cs="Arial"/>
                <w:sz w:val="18"/>
                <w:szCs w:val="18"/>
              </w:rPr>
            </w:pPr>
          </w:p>
        </w:tc>
        <w:tc>
          <w:tcPr>
            <w:tcW w:w="178" w:type="pct"/>
          </w:tcPr>
          <w:p w14:paraId="24EF7F70"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12F8A622" w14:textId="77777777" w:rsidR="000005F4" w:rsidRPr="00CE4330" w:rsidRDefault="000005F4" w:rsidP="000005F4">
            <w:pPr>
              <w:pStyle w:val="TableTextNoSpace"/>
              <w:jc w:val="center"/>
              <w:rPr>
                <w:rFonts w:cs="Arial"/>
                <w:sz w:val="18"/>
                <w:szCs w:val="18"/>
              </w:rPr>
            </w:pPr>
          </w:p>
        </w:tc>
      </w:tr>
      <w:tr w:rsidR="000005F4" w14:paraId="2CA38009" w14:textId="77777777" w:rsidTr="000005F4">
        <w:tc>
          <w:tcPr>
            <w:tcW w:w="553" w:type="pct"/>
            <w:shd w:val="clear" w:color="auto" w:fill="auto"/>
          </w:tcPr>
          <w:p w14:paraId="6A75FEAE" w14:textId="77777777" w:rsidR="000005F4" w:rsidRPr="00CE4330" w:rsidRDefault="000005F4" w:rsidP="000005F4">
            <w:pPr>
              <w:pStyle w:val="TableTextNoSpace"/>
              <w:rPr>
                <w:rFonts w:cs="Arial"/>
                <w:sz w:val="17"/>
                <w:szCs w:val="17"/>
              </w:rPr>
            </w:pPr>
            <w:r w:rsidRPr="00CE4330">
              <w:rPr>
                <w:rFonts w:cs="Arial"/>
                <w:color w:val="000000"/>
                <w:sz w:val="17"/>
                <w:szCs w:val="17"/>
              </w:rPr>
              <w:t xml:space="preserve">Art 39 </w:t>
            </w:r>
          </w:p>
        </w:tc>
        <w:tc>
          <w:tcPr>
            <w:tcW w:w="178" w:type="pct"/>
            <w:shd w:val="clear" w:color="auto" w:fill="auto"/>
          </w:tcPr>
          <w:p w14:paraId="4BB84A47"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7806634D"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81C7530"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66C881C9"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3527E392"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565232ED"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A78949A"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6EE99E00"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135F5FD6"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CEC55B4"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1A0C6BD"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FF50D2A"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auto"/>
          </w:tcPr>
          <w:p w14:paraId="6706C931"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auto"/>
          </w:tcPr>
          <w:p w14:paraId="0A613AD7"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F1AFC02"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auto"/>
          </w:tcPr>
          <w:p w14:paraId="5942B184"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6EA0F828"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305D0341" w14:textId="77777777" w:rsidR="000005F4" w:rsidRPr="00CE4330" w:rsidRDefault="000005F4" w:rsidP="000005F4">
            <w:pPr>
              <w:pStyle w:val="TableTextNoSpace"/>
              <w:jc w:val="center"/>
              <w:rPr>
                <w:rFonts w:cs="Arial"/>
                <w:sz w:val="18"/>
                <w:szCs w:val="18"/>
              </w:rPr>
            </w:pPr>
          </w:p>
        </w:tc>
        <w:tc>
          <w:tcPr>
            <w:tcW w:w="178" w:type="pct"/>
          </w:tcPr>
          <w:p w14:paraId="7B529DAA" w14:textId="77777777" w:rsidR="000005F4" w:rsidRPr="00CE4330" w:rsidRDefault="000005F4" w:rsidP="000005F4">
            <w:pPr>
              <w:pStyle w:val="TableTextNoSpace"/>
              <w:jc w:val="center"/>
              <w:rPr>
                <w:rFonts w:cs="Arial"/>
                <w:sz w:val="18"/>
                <w:szCs w:val="18"/>
              </w:rPr>
            </w:pPr>
          </w:p>
        </w:tc>
        <w:tc>
          <w:tcPr>
            <w:tcW w:w="178" w:type="pct"/>
          </w:tcPr>
          <w:p w14:paraId="2B7786C8" w14:textId="77777777" w:rsidR="000005F4" w:rsidRPr="00CE4330" w:rsidRDefault="000005F4" w:rsidP="000005F4">
            <w:pPr>
              <w:pStyle w:val="TableTextNoSpace"/>
              <w:jc w:val="center"/>
              <w:rPr>
                <w:rFonts w:cs="Arial"/>
                <w:sz w:val="18"/>
                <w:szCs w:val="18"/>
              </w:rPr>
            </w:pPr>
          </w:p>
        </w:tc>
        <w:tc>
          <w:tcPr>
            <w:tcW w:w="178" w:type="pct"/>
          </w:tcPr>
          <w:p w14:paraId="237A8298" w14:textId="77777777" w:rsidR="000005F4" w:rsidRPr="00CE4330" w:rsidRDefault="000005F4" w:rsidP="000005F4">
            <w:pPr>
              <w:pStyle w:val="TableTextNoSpace"/>
              <w:jc w:val="center"/>
              <w:rPr>
                <w:rFonts w:cs="Arial"/>
                <w:sz w:val="18"/>
                <w:szCs w:val="18"/>
              </w:rPr>
            </w:pPr>
          </w:p>
        </w:tc>
        <w:tc>
          <w:tcPr>
            <w:tcW w:w="178" w:type="pct"/>
          </w:tcPr>
          <w:p w14:paraId="2DF0D630" w14:textId="77777777" w:rsidR="000005F4" w:rsidRPr="00CE4330" w:rsidRDefault="000005F4" w:rsidP="000005F4">
            <w:pPr>
              <w:pStyle w:val="TableTextNoSpace"/>
              <w:jc w:val="center"/>
              <w:rPr>
                <w:rFonts w:cs="Arial"/>
                <w:sz w:val="18"/>
                <w:szCs w:val="18"/>
              </w:rPr>
            </w:pPr>
          </w:p>
        </w:tc>
        <w:tc>
          <w:tcPr>
            <w:tcW w:w="178" w:type="pct"/>
          </w:tcPr>
          <w:p w14:paraId="0B55C888" w14:textId="77777777" w:rsidR="000005F4" w:rsidRPr="00CE4330" w:rsidRDefault="000005F4" w:rsidP="000005F4">
            <w:pPr>
              <w:pStyle w:val="TableTextNoSpace"/>
              <w:jc w:val="center"/>
              <w:rPr>
                <w:rFonts w:cs="Arial"/>
                <w:sz w:val="18"/>
                <w:szCs w:val="18"/>
              </w:rPr>
            </w:pPr>
          </w:p>
        </w:tc>
        <w:tc>
          <w:tcPr>
            <w:tcW w:w="178" w:type="pct"/>
          </w:tcPr>
          <w:p w14:paraId="74FABBC1"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5201DDB6" w14:textId="77777777" w:rsidR="000005F4" w:rsidRPr="00CE4330" w:rsidRDefault="000005F4" w:rsidP="000005F4">
            <w:pPr>
              <w:pStyle w:val="TableTextNoSpace"/>
              <w:jc w:val="center"/>
              <w:rPr>
                <w:rFonts w:cs="Arial"/>
                <w:sz w:val="18"/>
                <w:szCs w:val="18"/>
              </w:rPr>
            </w:pPr>
          </w:p>
        </w:tc>
      </w:tr>
      <w:tr w:rsidR="000005F4" w14:paraId="07DFEEF7" w14:textId="77777777" w:rsidTr="000005F4">
        <w:tc>
          <w:tcPr>
            <w:tcW w:w="553" w:type="pct"/>
            <w:shd w:val="clear" w:color="auto" w:fill="auto"/>
          </w:tcPr>
          <w:p w14:paraId="1773A8D9" w14:textId="77777777" w:rsidR="000005F4" w:rsidRPr="00CE4330" w:rsidRDefault="000005F4" w:rsidP="000005F4">
            <w:pPr>
              <w:pStyle w:val="TableTextNoSpace"/>
              <w:rPr>
                <w:rFonts w:cs="Arial"/>
                <w:sz w:val="17"/>
                <w:szCs w:val="17"/>
              </w:rPr>
            </w:pPr>
            <w:r w:rsidRPr="00CE4330">
              <w:rPr>
                <w:rFonts w:cs="Arial"/>
                <w:color w:val="000000"/>
                <w:sz w:val="17"/>
                <w:szCs w:val="17"/>
              </w:rPr>
              <w:t xml:space="preserve">Art 40(1)(a) </w:t>
            </w:r>
          </w:p>
        </w:tc>
        <w:tc>
          <w:tcPr>
            <w:tcW w:w="178" w:type="pct"/>
            <w:shd w:val="clear" w:color="auto" w:fill="auto"/>
          </w:tcPr>
          <w:p w14:paraId="4B213C90"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551D2ED6"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5B9AAF5E"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58468B01"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54F87BF"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771770D1"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594FF83D"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6BF30ECE"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668BDC16"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1E871D86"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08455E0"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FDF550F"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auto"/>
          </w:tcPr>
          <w:p w14:paraId="25CEDC65"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auto"/>
          </w:tcPr>
          <w:p w14:paraId="0BE9CE29"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396A89A"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65CEEE24"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E92BEE2"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6EB1BBD7" w14:textId="77777777" w:rsidR="000005F4" w:rsidRPr="00CE4330" w:rsidRDefault="000005F4" w:rsidP="000005F4">
            <w:pPr>
              <w:pStyle w:val="TableTextNoSpace"/>
              <w:jc w:val="center"/>
              <w:rPr>
                <w:rFonts w:cs="Arial"/>
                <w:sz w:val="18"/>
                <w:szCs w:val="18"/>
              </w:rPr>
            </w:pPr>
          </w:p>
        </w:tc>
        <w:tc>
          <w:tcPr>
            <w:tcW w:w="178" w:type="pct"/>
          </w:tcPr>
          <w:p w14:paraId="33801BD8" w14:textId="77777777" w:rsidR="000005F4" w:rsidRPr="00CE4330" w:rsidRDefault="000005F4" w:rsidP="000005F4">
            <w:pPr>
              <w:pStyle w:val="TableTextNoSpace"/>
              <w:jc w:val="center"/>
              <w:rPr>
                <w:rFonts w:cs="Arial"/>
                <w:sz w:val="18"/>
                <w:szCs w:val="18"/>
              </w:rPr>
            </w:pPr>
          </w:p>
        </w:tc>
        <w:tc>
          <w:tcPr>
            <w:tcW w:w="178" w:type="pct"/>
          </w:tcPr>
          <w:p w14:paraId="54B9074F" w14:textId="77777777" w:rsidR="000005F4" w:rsidRPr="00CE4330" w:rsidRDefault="000005F4" w:rsidP="000005F4">
            <w:pPr>
              <w:pStyle w:val="TableTextNoSpace"/>
              <w:jc w:val="center"/>
              <w:rPr>
                <w:rFonts w:cs="Arial"/>
                <w:sz w:val="18"/>
                <w:szCs w:val="18"/>
              </w:rPr>
            </w:pPr>
          </w:p>
        </w:tc>
        <w:tc>
          <w:tcPr>
            <w:tcW w:w="178" w:type="pct"/>
          </w:tcPr>
          <w:p w14:paraId="595A335F" w14:textId="77777777" w:rsidR="000005F4" w:rsidRPr="00CE4330" w:rsidRDefault="000005F4" w:rsidP="000005F4">
            <w:pPr>
              <w:pStyle w:val="TableTextNoSpace"/>
              <w:jc w:val="center"/>
              <w:rPr>
                <w:rFonts w:cs="Arial"/>
                <w:sz w:val="18"/>
                <w:szCs w:val="18"/>
              </w:rPr>
            </w:pPr>
          </w:p>
        </w:tc>
        <w:tc>
          <w:tcPr>
            <w:tcW w:w="178" w:type="pct"/>
          </w:tcPr>
          <w:p w14:paraId="74719CE6" w14:textId="77777777" w:rsidR="000005F4" w:rsidRPr="00CE4330" w:rsidRDefault="000005F4" w:rsidP="000005F4">
            <w:pPr>
              <w:pStyle w:val="TableTextNoSpace"/>
              <w:jc w:val="center"/>
              <w:rPr>
                <w:rFonts w:cs="Arial"/>
                <w:sz w:val="18"/>
                <w:szCs w:val="18"/>
              </w:rPr>
            </w:pPr>
          </w:p>
        </w:tc>
        <w:tc>
          <w:tcPr>
            <w:tcW w:w="178" w:type="pct"/>
          </w:tcPr>
          <w:p w14:paraId="459D1825" w14:textId="77777777" w:rsidR="000005F4" w:rsidRPr="00CE4330" w:rsidRDefault="000005F4" w:rsidP="000005F4">
            <w:pPr>
              <w:pStyle w:val="TableTextNoSpace"/>
              <w:jc w:val="center"/>
              <w:rPr>
                <w:rFonts w:cs="Arial"/>
                <w:sz w:val="18"/>
                <w:szCs w:val="18"/>
              </w:rPr>
            </w:pPr>
          </w:p>
        </w:tc>
        <w:tc>
          <w:tcPr>
            <w:tcW w:w="178" w:type="pct"/>
          </w:tcPr>
          <w:p w14:paraId="36B40F32"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34B7BD24" w14:textId="77777777" w:rsidR="000005F4" w:rsidRPr="00CE4330" w:rsidRDefault="000005F4" w:rsidP="000005F4">
            <w:pPr>
              <w:pStyle w:val="TableTextNoSpace"/>
              <w:jc w:val="center"/>
              <w:rPr>
                <w:rFonts w:cs="Arial"/>
                <w:sz w:val="18"/>
                <w:szCs w:val="18"/>
              </w:rPr>
            </w:pPr>
          </w:p>
        </w:tc>
      </w:tr>
      <w:tr w:rsidR="000005F4" w14:paraId="2266EA1D" w14:textId="77777777" w:rsidTr="000005F4">
        <w:tc>
          <w:tcPr>
            <w:tcW w:w="553" w:type="pct"/>
            <w:shd w:val="clear" w:color="auto" w:fill="auto"/>
          </w:tcPr>
          <w:p w14:paraId="34DF27E3" w14:textId="77777777" w:rsidR="000005F4" w:rsidRPr="00CE4330" w:rsidRDefault="000005F4" w:rsidP="000005F4">
            <w:pPr>
              <w:pStyle w:val="TableTextNoSpace"/>
              <w:rPr>
                <w:rFonts w:cs="Arial"/>
                <w:sz w:val="17"/>
                <w:szCs w:val="17"/>
              </w:rPr>
            </w:pPr>
            <w:r w:rsidRPr="00CE4330">
              <w:rPr>
                <w:rFonts w:cs="Arial"/>
                <w:color w:val="000000"/>
                <w:sz w:val="17"/>
                <w:szCs w:val="17"/>
              </w:rPr>
              <w:t xml:space="preserve">Art 40(1)(b) </w:t>
            </w:r>
          </w:p>
        </w:tc>
        <w:tc>
          <w:tcPr>
            <w:tcW w:w="178" w:type="pct"/>
            <w:shd w:val="clear" w:color="auto" w:fill="auto"/>
          </w:tcPr>
          <w:p w14:paraId="700A051B"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B72CE40"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0E5F4764"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78428E82"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C62007F"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6B9D7EF"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629DD6D2"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5C471ED0"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F75FA50"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5C10A65A"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05CABBFE"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D9AA4F6"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auto"/>
          </w:tcPr>
          <w:p w14:paraId="40B75938"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auto"/>
          </w:tcPr>
          <w:p w14:paraId="54E689BE"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auto"/>
          </w:tcPr>
          <w:p w14:paraId="2B3F140B"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DF0B18E"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05D859F9"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58006093" w14:textId="77777777" w:rsidR="000005F4" w:rsidRPr="00CE4330" w:rsidRDefault="000005F4" w:rsidP="000005F4">
            <w:pPr>
              <w:pStyle w:val="TableTextNoSpace"/>
              <w:jc w:val="center"/>
              <w:rPr>
                <w:rFonts w:cs="Arial"/>
                <w:sz w:val="18"/>
                <w:szCs w:val="18"/>
              </w:rPr>
            </w:pPr>
          </w:p>
        </w:tc>
        <w:tc>
          <w:tcPr>
            <w:tcW w:w="178" w:type="pct"/>
          </w:tcPr>
          <w:p w14:paraId="2185CD4F" w14:textId="77777777" w:rsidR="000005F4" w:rsidRPr="00CE4330" w:rsidRDefault="000005F4" w:rsidP="000005F4">
            <w:pPr>
              <w:pStyle w:val="TableTextNoSpace"/>
              <w:jc w:val="center"/>
              <w:rPr>
                <w:rFonts w:cs="Arial"/>
                <w:sz w:val="18"/>
                <w:szCs w:val="18"/>
              </w:rPr>
            </w:pPr>
          </w:p>
        </w:tc>
        <w:tc>
          <w:tcPr>
            <w:tcW w:w="178" w:type="pct"/>
          </w:tcPr>
          <w:p w14:paraId="25220460" w14:textId="77777777" w:rsidR="000005F4" w:rsidRPr="00CE4330" w:rsidRDefault="000005F4" w:rsidP="000005F4">
            <w:pPr>
              <w:pStyle w:val="TableTextNoSpace"/>
              <w:jc w:val="center"/>
              <w:rPr>
                <w:rFonts w:cs="Arial"/>
                <w:sz w:val="18"/>
                <w:szCs w:val="18"/>
              </w:rPr>
            </w:pPr>
          </w:p>
        </w:tc>
        <w:tc>
          <w:tcPr>
            <w:tcW w:w="178" w:type="pct"/>
          </w:tcPr>
          <w:p w14:paraId="250EA4F4" w14:textId="77777777" w:rsidR="000005F4" w:rsidRPr="00CE4330" w:rsidRDefault="000005F4" w:rsidP="000005F4">
            <w:pPr>
              <w:pStyle w:val="TableTextNoSpace"/>
              <w:jc w:val="center"/>
              <w:rPr>
                <w:rFonts w:cs="Arial"/>
                <w:sz w:val="18"/>
                <w:szCs w:val="18"/>
              </w:rPr>
            </w:pPr>
          </w:p>
        </w:tc>
        <w:tc>
          <w:tcPr>
            <w:tcW w:w="178" w:type="pct"/>
          </w:tcPr>
          <w:p w14:paraId="3DDAE275" w14:textId="77777777" w:rsidR="000005F4" w:rsidRPr="00CE4330" w:rsidRDefault="000005F4" w:rsidP="000005F4">
            <w:pPr>
              <w:pStyle w:val="TableTextNoSpace"/>
              <w:jc w:val="center"/>
              <w:rPr>
                <w:rFonts w:cs="Arial"/>
                <w:sz w:val="18"/>
                <w:szCs w:val="18"/>
              </w:rPr>
            </w:pPr>
          </w:p>
        </w:tc>
        <w:tc>
          <w:tcPr>
            <w:tcW w:w="178" w:type="pct"/>
          </w:tcPr>
          <w:p w14:paraId="112E76BA" w14:textId="77777777" w:rsidR="000005F4" w:rsidRPr="00CE4330" w:rsidRDefault="000005F4" w:rsidP="000005F4">
            <w:pPr>
              <w:pStyle w:val="TableTextNoSpace"/>
              <w:jc w:val="center"/>
              <w:rPr>
                <w:rFonts w:cs="Arial"/>
                <w:sz w:val="18"/>
                <w:szCs w:val="18"/>
              </w:rPr>
            </w:pPr>
          </w:p>
        </w:tc>
        <w:tc>
          <w:tcPr>
            <w:tcW w:w="178" w:type="pct"/>
          </w:tcPr>
          <w:p w14:paraId="3E8D7757"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5428202B" w14:textId="77777777" w:rsidR="000005F4" w:rsidRPr="00CE4330" w:rsidRDefault="000005F4" w:rsidP="000005F4">
            <w:pPr>
              <w:pStyle w:val="TableTextNoSpace"/>
              <w:jc w:val="center"/>
              <w:rPr>
                <w:rFonts w:cs="Arial"/>
                <w:sz w:val="18"/>
                <w:szCs w:val="18"/>
              </w:rPr>
            </w:pPr>
          </w:p>
        </w:tc>
      </w:tr>
      <w:tr w:rsidR="000005F4" w14:paraId="588B1E98" w14:textId="77777777" w:rsidTr="000005F4">
        <w:tc>
          <w:tcPr>
            <w:tcW w:w="553" w:type="pct"/>
            <w:shd w:val="clear" w:color="auto" w:fill="auto"/>
          </w:tcPr>
          <w:p w14:paraId="613021DD" w14:textId="77777777" w:rsidR="000005F4" w:rsidRPr="00CE4330" w:rsidRDefault="000005F4" w:rsidP="000005F4">
            <w:pPr>
              <w:pStyle w:val="TableTextNoSpace"/>
              <w:rPr>
                <w:rFonts w:cs="Arial"/>
                <w:sz w:val="17"/>
                <w:szCs w:val="17"/>
              </w:rPr>
            </w:pPr>
            <w:r w:rsidRPr="00CE4330">
              <w:rPr>
                <w:rFonts w:cs="Arial"/>
                <w:color w:val="000000"/>
                <w:sz w:val="17"/>
                <w:szCs w:val="17"/>
              </w:rPr>
              <w:t>Art 40(1)(c)</w:t>
            </w:r>
          </w:p>
        </w:tc>
        <w:tc>
          <w:tcPr>
            <w:tcW w:w="178" w:type="pct"/>
            <w:shd w:val="clear" w:color="auto" w:fill="auto"/>
          </w:tcPr>
          <w:p w14:paraId="0E90187E"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9086141"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6187DF64"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3491E4EF"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5C0863FD"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8F0BF78"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56EE4146"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0D4AFCBD"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auto"/>
          </w:tcPr>
          <w:p w14:paraId="10CE9E21"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619505B1"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D084FDD"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32EC8EBA"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auto"/>
          </w:tcPr>
          <w:p w14:paraId="382C4D50"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auto"/>
          </w:tcPr>
          <w:p w14:paraId="169EC471"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auto"/>
          </w:tcPr>
          <w:p w14:paraId="63E2D660"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10470AFA"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107CD418"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1FE143D5"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tcPr>
          <w:p w14:paraId="1FF4152D" w14:textId="77777777" w:rsidR="000005F4" w:rsidRPr="00CE4330" w:rsidRDefault="000005F4" w:rsidP="000005F4">
            <w:pPr>
              <w:pStyle w:val="TableTextNoSpace"/>
              <w:jc w:val="center"/>
              <w:rPr>
                <w:rFonts w:cs="Arial"/>
                <w:sz w:val="18"/>
                <w:szCs w:val="18"/>
              </w:rPr>
            </w:pPr>
          </w:p>
        </w:tc>
        <w:tc>
          <w:tcPr>
            <w:tcW w:w="178" w:type="pct"/>
          </w:tcPr>
          <w:p w14:paraId="71DD2E2B" w14:textId="77777777" w:rsidR="000005F4" w:rsidRPr="00CE4330" w:rsidRDefault="000005F4" w:rsidP="000005F4">
            <w:pPr>
              <w:pStyle w:val="TableTextNoSpace"/>
              <w:jc w:val="center"/>
              <w:rPr>
                <w:rFonts w:cs="Arial"/>
                <w:sz w:val="18"/>
                <w:szCs w:val="18"/>
              </w:rPr>
            </w:pPr>
          </w:p>
        </w:tc>
        <w:tc>
          <w:tcPr>
            <w:tcW w:w="178" w:type="pct"/>
          </w:tcPr>
          <w:p w14:paraId="4D412B1F" w14:textId="77777777" w:rsidR="000005F4" w:rsidRPr="00CE4330" w:rsidRDefault="000005F4" w:rsidP="000005F4">
            <w:pPr>
              <w:pStyle w:val="TableTextNoSpace"/>
              <w:jc w:val="center"/>
              <w:rPr>
                <w:rFonts w:cs="Arial"/>
                <w:sz w:val="18"/>
                <w:szCs w:val="18"/>
              </w:rPr>
            </w:pPr>
          </w:p>
        </w:tc>
        <w:tc>
          <w:tcPr>
            <w:tcW w:w="178" w:type="pct"/>
          </w:tcPr>
          <w:p w14:paraId="582015B5" w14:textId="77777777" w:rsidR="000005F4" w:rsidRPr="00CE4330" w:rsidRDefault="000005F4" w:rsidP="000005F4">
            <w:pPr>
              <w:pStyle w:val="TableTextNoSpace"/>
              <w:jc w:val="center"/>
              <w:rPr>
                <w:rFonts w:cs="Arial"/>
                <w:sz w:val="18"/>
                <w:szCs w:val="18"/>
              </w:rPr>
            </w:pPr>
          </w:p>
        </w:tc>
        <w:tc>
          <w:tcPr>
            <w:tcW w:w="178" w:type="pct"/>
          </w:tcPr>
          <w:p w14:paraId="61EDAB9A" w14:textId="77777777" w:rsidR="000005F4" w:rsidRPr="00CE4330" w:rsidRDefault="000005F4" w:rsidP="000005F4">
            <w:pPr>
              <w:pStyle w:val="TableTextNoSpace"/>
              <w:jc w:val="center"/>
              <w:rPr>
                <w:rFonts w:cs="Arial"/>
                <w:sz w:val="18"/>
                <w:szCs w:val="18"/>
              </w:rPr>
            </w:pPr>
          </w:p>
        </w:tc>
        <w:tc>
          <w:tcPr>
            <w:tcW w:w="178" w:type="pct"/>
          </w:tcPr>
          <w:p w14:paraId="75DD0D88"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3C5D0B66" w14:textId="77777777" w:rsidR="000005F4" w:rsidRPr="00CE4330" w:rsidRDefault="000005F4" w:rsidP="000005F4">
            <w:pPr>
              <w:pStyle w:val="TableTextNoSpace"/>
              <w:jc w:val="center"/>
              <w:rPr>
                <w:rFonts w:cs="Arial"/>
                <w:sz w:val="18"/>
                <w:szCs w:val="18"/>
              </w:rPr>
            </w:pPr>
          </w:p>
        </w:tc>
      </w:tr>
      <w:tr w:rsidR="000005F4" w14:paraId="3E2B6C31" w14:textId="77777777" w:rsidTr="000005F4">
        <w:tc>
          <w:tcPr>
            <w:tcW w:w="553" w:type="pct"/>
            <w:shd w:val="clear" w:color="auto" w:fill="EAF1DD" w:themeFill="accent3" w:themeFillTint="33"/>
          </w:tcPr>
          <w:p w14:paraId="6C21A58D" w14:textId="77777777" w:rsidR="000005F4" w:rsidRPr="008B59E9" w:rsidRDefault="000005F4" w:rsidP="000005F4">
            <w:pPr>
              <w:pStyle w:val="TableTextNoSpace"/>
              <w:rPr>
                <w:rFonts w:cs="Arial"/>
                <w:sz w:val="17"/>
                <w:szCs w:val="17"/>
              </w:rPr>
            </w:pPr>
            <w:r w:rsidRPr="008B59E9">
              <w:rPr>
                <w:rFonts w:cs="Arial"/>
                <w:sz w:val="17"/>
                <w:szCs w:val="17"/>
              </w:rPr>
              <w:t xml:space="preserve">Art 40(1)(d) </w:t>
            </w:r>
          </w:p>
        </w:tc>
        <w:tc>
          <w:tcPr>
            <w:tcW w:w="178" w:type="pct"/>
            <w:shd w:val="clear" w:color="auto" w:fill="EAF1DD" w:themeFill="accent3" w:themeFillTint="33"/>
          </w:tcPr>
          <w:p w14:paraId="61D9077C"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5E010439"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tcPr>
          <w:p w14:paraId="680BF94A"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2E676C04"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tcPr>
          <w:p w14:paraId="50A7B104"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tcPr>
          <w:p w14:paraId="4C3EBEF1"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1E301140"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351274BB"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tcPr>
          <w:p w14:paraId="2014F16B"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5E7E5449"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2F745A20"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1DB23CCB"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59D2EFF1"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0C4BD33C"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53F360BD"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3AD3187D"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4F5F477B"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tcPr>
          <w:p w14:paraId="15460BE2"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3B429A8B"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052F9E3E"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0ED6588A"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500F5975"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77E7C799"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11E14094"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09773B52" w14:textId="77777777" w:rsidR="000005F4" w:rsidRPr="00CE4330" w:rsidRDefault="000005F4" w:rsidP="000005F4">
            <w:pPr>
              <w:pStyle w:val="TableTextNoSpace"/>
              <w:jc w:val="center"/>
              <w:rPr>
                <w:rFonts w:cs="Arial"/>
                <w:sz w:val="18"/>
                <w:szCs w:val="18"/>
              </w:rPr>
            </w:pPr>
          </w:p>
        </w:tc>
      </w:tr>
      <w:tr w:rsidR="000005F4" w14:paraId="5B4F45CD" w14:textId="77777777" w:rsidTr="000005F4">
        <w:tc>
          <w:tcPr>
            <w:tcW w:w="553" w:type="pct"/>
            <w:shd w:val="clear" w:color="auto" w:fill="EAF1DD" w:themeFill="accent3" w:themeFillTint="33"/>
          </w:tcPr>
          <w:p w14:paraId="22E25E82" w14:textId="77777777" w:rsidR="000005F4" w:rsidRPr="008B59E9" w:rsidRDefault="000005F4" w:rsidP="000005F4">
            <w:pPr>
              <w:pStyle w:val="TableTextNoSpace"/>
              <w:rPr>
                <w:rFonts w:cs="Arial"/>
                <w:sz w:val="17"/>
                <w:szCs w:val="17"/>
              </w:rPr>
            </w:pPr>
            <w:r w:rsidRPr="008B59E9">
              <w:rPr>
                <w:rFonts w:cs="Arial"/>
                <w:sz w:val="17"/>
                <w:szCs w:val="17"/>
              </w:rPr>
              <w:t xml:space="preserve">Art 40(1)(e) </w:t>
            </w:r>
          </w:p>
        </w:tc>
        <w:tc>
          <w:tcPr>
            <w:tcW w:w="178" w:type="pct"/>
            <w:shd w:val="clear" w:color="auto" w:fill="EAF1DD" w:themeFill="accent3" w:themeFillTint="33"/>
          </w:tcPr>
          <w:p w14:paraId="6150585F"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625B28B9"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5E3636D8"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60E2DD0D"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7A471ABA"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14D95E10"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71FA5577"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2BADA547"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tcPr>
          <w:p w14:paraId="3FAA4FC3"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03C2C3CF"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61DE991D"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33A4E13A"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tcPr>
          <w:p w14:paraId="576132EE"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tcPr>
          <w:p w14:paraId="46EBAB87"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tcPr>
          <w:p w14:paraId="5A20366E"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tcPr>
          <w:p w14:paraId="20D4F261"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2463339B"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tcPr>
          <w:p w14:paraId="0CBF75E9"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tcPr>
          <w:p w14:paraId="281B32C1"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tcPr>
          <w:p w14:paraId="3676D80D"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084B3E92"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49AC2455"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6BFA9AAE"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080D0232"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7619EABD" w14:textId="77777777" w:rsidR="000005F4" w:rsidRPr="00CE4330" w:rsidRDefault="000005F4" w:rsidP="000005F4">
            <w:pPr>
              <w:pStyle w:val="TableTextNoSpace"/>
              <w:jc w:val="center"/>
              <w:rPr>
                <w:rFonts w:cs="Arial"/>
                <w:sz w:val="18"/>
                <w:szCs w:val="18"/>
              </w:rPr>
            </w:pPr>
          </w:p>
        </w:tc>
      </w:tr>
      <w:tr w:rsidR="000005F4" w14:paraId="24774114" w14:textId="77777777" w:rsidTr="000005F4">
        <w:tc>
          <w:tcPr>
            <w:tcW w:w="553" w:type="pct"/>
            <w:shd w:val="clear" w:color="auto" w:fill="EAF1DD" w:themeFill="accent3" w:themeFillTint="33"/>
          </w:tcPr>
          <w:p w14:paraId="0B35AE1B" w14:textId="77777777" w:rsidR="000005F4" w:rsidRPr="008B59E9" w:rsidRDefault="000005F4" w:rsidP="000005F4">
            <w:pPr>
              <w:pStyle w:val="TableTextNoSpace"/>
              <w:rPr>
                <w:rFonts w:cs="Arial"/>
                <w:sz w:val="17"/>
                <w:szCs w:val="17"/>
              </w:rPr>
            </w:pPr>
            <w:r w:rsidRPr="008B59E9">
              <w:rPr>
                <w:rFonts w:cs="Arial"/>
                <w:sz w:val="17"/>
                <w:szCs w:val="17"/>
              </w:rPr>
              <w:t xml:space="preserve">Art 40(1)(f) </w:t>
            </w:r>
          </w:p>
        </w:tc>
        <w:tc>
          <w:tcPr>
            <w:tcW w:w="178" w:type="pct"/>
            <w:shd w:val="clear" w:color="auto" w:fill="EAF1DD" w:themeFill="accent3" w:themeFillTint="33"/>
          </w:tcPr>
          <w:p w14:paraId="2564F31D"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2CCF66F1"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2BAD095D"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284CF826"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2BD88899"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2CFD114D"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038D87E6"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67A33C9F"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tcPr>
          <w:p w14:paraId="7C599732"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140A4789"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69671BAC"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339D8B93"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tcPr>
          <w:p w14:paraId="3E004412"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tcPr>
          <w:p w14:paraId="2B402CD3"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tcPr>
          <w:p w14:paraId="58045CAA"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tcPr>
          <w:p w14:paraId="3A63C092"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1FDF8093"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tcPr>
          <w:p w14:paraId="5C545194"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tcPr>
          <w:p w14:paraId="29CA943A"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tcPr>
          <w:p w14:paraId="5BA53967"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6C98176E"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21C7D032"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098AE41C"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305DC6C3"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189EF059" w14:textId="77777777" w:rsidR="000005F4" w:rsidRPr="00CE4330" w:rsidRDefault="000005F4" w:rsidP="000005F4">
            <w:pPr>
              <w:pStyle w:val="TableTextNoSpace"/>
              <w:jc w:val="center"/>
              <w:rPr>
                <w:rFonts w:cs="Arial"/>
                <w:sz w:val="18"/>
                <w:szCs w:val="18"/>
              </w:rPr>
            </w:pPr>
          </w:p>
        </w:tc>
      </w:tr>
      <w:tr w:rsidR="000005F4" w14:paraId="5FE4620C" w14:textId="77777777" w:rsidTr="000005F4">
        <w:tc>
          <w:tcPr>
            <w:tcW w:w="553" w:type="pct"/>
            <w:shd w:val="clear" w:color="auto" w:fill="EAF1DD" w:themeFill="accent3" w:themeFillTint="33"/>
          </w:tcPr>
          <w:p w14:paraId="0E085F54" w14:textId="77777777" w:rsidR="000005F4" w:rsidRPr="008B59E9" w:rsidRDefault="000005F4" w:rsidP="000005F4">
            <w:pPr>
              <w:pStyle w:val="TableTextNoSpace"/>
              <w:rPr>
                <w:rFonts w:cs="Arial"/>
                <w:sz w:val="17"/>
                <w:szCs w:val="17"/>
              </w:rPr>
            </w:pPr>
            <w:r w:rsidRPr="008B59E9">
              <w:rPr>
                <w:rFonts w:cs="Arial"/>
                <w:sz w:val="17"/>
                <w:szCs w:val="17"/>
              </w:rPr>
              <w:t xml:space="preserve">Art 40(1)(g) </w:t>
            </w:r>
          </w:p>
        </w:tc>
        <w:tc>
          <w:tcPr>
            <w:tcW w:w="178" w:type="pct"/>
            <w:shd w:val="clear" w:color="auto" w:fill="EAF1DD" w:themeFill="accent3" w:themeFillTint="33"/>
          </w:tcPr>
          <w:p w14:paraId="723DE2CB"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4B327850"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6A3E648F"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tcPr>
          <w:p w14:paraId="76A4B76F"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281E1656"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254BA235"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619A913C"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tcPr>
          <w:p w14:paraId="01C29DAB"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222747B2"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57F62F56"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1A82E583"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2AABA251"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157EBB18"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39DC4E01"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53A93E60"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1ECAC3B1"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63C21678"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27E4EA23"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13F713D0"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08BFD6E7"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tcPr>
          <w:p w14:paraId="42A40235"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tcPr>
          <w:p w14:paraId="28F57E20"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6CF4676A"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77304CE2"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13027237" w14:textId="77777777" w:rsidR="000005F4" w:rsidRPr="00CE4330" w:rsidRDefault="000005F4" w:rsidP="000005F4">
            <w:pPr>
              <w:pStyle w:val="TableTextNoSpace"/>
              <w:jc w:val="center"/>
              <w:rPr>
                <w:rFonts w:cs="Arial"/>
                <w:sz w:val="18"/>
                <w:szCs w:val="18"/>
              </w:rPr>
            </w:pPr>
          </w:p>
        </w:tc>
      </w:tr>
      <w:tr w:rsidR="000005F4" w14:paraId="7010E290" w14:textId="77777777" w:rsidTr="000005F4">
        <w:tc>
          <w:tcPr>
            <w:tcW w:w="553" w:type="pct"/>
            <w:shd w:val="clear" w:color="auto" w:fill="EAF1DD" w:themeFill="accent3" w:themeFillTint="33"/>
          </w:tcPr>
          <w:p w14:paraId="57925DCB" w14:textId="77777777" w:rsidR="000005F4" w:rsidRPr="008B59E9" w:rsidRDefault="000005F4" w:rsidP="000005F4">
            <w:pPr>
              <w:pStyle w:val="TableTextNoSpace"/>
              <w:rPr>
                <w:rFonts w:cs="Arial"/>
                <w:sz w:val="17"/>
                <w:szCs w:val="17"/>
              </w:rPr>
            </w:pPr>
            <w:r w:rsidRPr="008B59E9">
              <w:rPr>
                <w:rFonts w:cs="Arial"/>
                <w:sz w:val="17"/>
                <w:szCs w:val="17"/>
              </w:rPr>
              <w:t>Art 40(1)(h)</w:t>
            </w:r>
          </w:p>
        </w:tc>
        <w:tc>
          <w:tcPr>
            <w:tcW w:w="178" w:type="pct"/>
            <w:shd w:val="clear" w:color="auto" w:fill="EAF1DD" w:themeFill="accent3" w:themeFillTint="33"/>
          </w:tcPr>
          <w:p w14:paraId="2525231E"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1CC0FEBB"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32F914B1"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189B8C17"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225A1444"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74C83A3C"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406EFF37"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7D41BEB6"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5E3E553C"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1858C839"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2105FBFD"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7DA0E51C"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208258F6"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439B9D86"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43F6F472"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740CA04A"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tcPr>
          <w:p w14:paraId="236E1FC9"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52C620E2"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15E86727"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0FCA0FF9"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55D37DE6"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2D91D478"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4E90D95B"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25EF6921"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6CA0CE22" w14:textId="77777777" w:rsidR="000005F4" w:rsidRPr="00CE4330" w:rsidRDefault="000005F4" w:rsidP="000005F4">
            <w:pPr>
              <w:pStyle w:val="TableTextNoSpace"/>
              <w:jc w:val="center"/>
              <w:rPr>
                <w:rFonts w:cs="Arial"/>
                <w:sz w:val="18"/>
                <w:szCs w:val="18"/>
              </w:rPr>
            </w:pPr>
          </w:p>
        </w:tc>
      </w:tr>
      <w:tr w:rsidR="000005F4" w14:paraId="2521D1F7" w14:textId="77777777" w:rsidTr="000005F4">
        <w:tc>
          <w:tcPr>
            <w:tcW w:w="553" w:type="pct"/>
            <w:shd w:val="clear" w:color="auto" w:fill="EAF1DD" w:themeFill="accent3" w:themeFillTint="33"/>
          </w:tcPr>
          <w:p w14:paraId="52D0A406" w14:textId="77777777" w:rsidR="000005F4" w:rsidRPr="008B59E9" w:rsidRDefault="000005F4" w:rsidP="000005F4">
            <w:pPr>
              <w:pStyle w:val="TableTextNoSpace"/>
              <w:rPr>
                <w:rFonts w:cs="Arial"/>
                <w:sz w:val="17"/>
                <w:szCs w:val="17"/>
              </w:rPr>
            </w:pPr>
            <w:r w:rsidRPr="008B59E9">
              <w:rPr>
                <w:rFonts w:cs="Arial"/>
                <w:sz w:val="17"/>
                <w:szCs w:val="17"/>
              </w:rPr>
              <w:t xml:space="preserve">Art 40(1)(i) </w:t>
            </w:r>
          </w:p>
        </w:tc>
        <w:tc>
          <w:tcPr>
            <w:tcW w:w="178" w:type="pct"/>
            <w:shd w:val="clear" w:color="auto" w:fill="EAF1DD" w:themeFill="accent3" w:themeFillTint="33"/>
          </w:tcPr>
          <w:p w14:paraId="293161CF"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6681FDB1"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23EE51AF"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08C06D03"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5922B5AD"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23A0806C"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5F6B6927"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36ADE6AB"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tcPr>
          <w:p w14:paraId="4876FE5E"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18094A98"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377F7905"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30527974"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tcPr>
          <w:p w14:paraId="670A194D"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tcPr>
          <w:p w14:paraId="097987BA"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tcPr>
          <w:p w14:paraId="16589B80"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tcPr>
          <w:p w14:paraId="6052486D"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4FB17003"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65230AF0"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tcPr>
          <w:p w14:paraId="0C678FF4"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7C0A334B"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2E5EB22B"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01E5E115"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6AF8A4B7"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5FD3E243"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5E9C16C1" w14:textId="77777777" w:rsidR="000005F4" w:rsidRPr="00CE4330" w:rsidRDefault="000005F4" w:rsidP="000005F4">
            <w:pPr>
              <w:pStyle w:val="TableTextNoSpace"/>
              <w:jc w:val="center"/>
              <w:rPr>
                <w:rFonts w:cs="Arial"/>
                <w:sz w:val="18"/>
                <w:szCs w:val="18"/>
              </w:rPr>
            </w:pPr>
          </w:p>
        </w:tc>
      </w:tr>
      <w:tr w:rsidR="000005F4" w14:paraId="5E786745" w14:textId="77777777" w:rsidTr="000005F4">
        <w:tc>
          <w:tcPr>
            <w:tcW w:w="553" w:type="pct"/>
            <w:shd w:val="clear" w:color="auto" w:fill="auto"/>
          </w:tcPr>
          <w:p w14:paraId="1D80C122" w14:textId="77777777" w:rsidR="000005F4" w:rsidRPr="008B59E9" w:rsidRDefault="000005F4" w:rsidP="000005F4">
            <w:pPr>
              <w:pStyle w:val="TableTextNoSpace"/>
              <w:rPr>
                <w:rFonts w:cs="Arial"/>
                <w:sz w:val="17"/>
                <w:szCs w:val="17"/>
              </w:rPr>
            </w:pPr>
            <w:r w:rsidRPr="008B59E9">
              <w:rPr>
                <w:rFonts w:cs="Arial"/>
                <w:sz w:val="17"/>
                <w:szCs w:val="17"/>
              </w:rPr>
              <w:t>Art 44(3)</w:t>
            </w:r>
          </w:p>
        </w:tc>
        <w:tc>
          <w:tcPr>
            <w:tcW w:w="178" w:type="pct"/>
            <w:shd w:val="clear" w:color="auto" w:fill="auto"/>
          </w:tcPr>
          <w:p w14:paraId="6F7DE501"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BC74548"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auto"/>
          </w:tcPr>
          <w:p w14:paraId="36B9C6FB"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10134D46"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auto"/>
          </w:tcPr>
          <w:p w14:paraId="4F8831D9"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36ED2D3F"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3ED9471"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0C6482A1"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06F40A39"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5B38D4DE"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E4B3047"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1587CF4A"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162805E7"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1877355A"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30468DA5"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auto"/>
          </w:tcPr>
          <w:p w14:paraId="1DB4C584"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3B0A12E0"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auto"/>
          </w:tcPr>
          <w:p w14:paraId="0C82DE84" w14:textId="77777777" w:rsidR="000005F4" w:rsidRPr="00CE4330" w:rsidRDefault="000005F4" w:rsidP="000005F4">
            <w:pPr>
              <w:pStyle w:val="TableTextNoSpace"/>
              <w:jc w:val="center"/>
              <w:rPr>
                <w:rFonts w:cs="Arial"/>
                <w:sz w:val="18"/>
                <w:szCs w:val="18"/>
              </w:rPr>
            </w:pPr>
          </w:p>
        </w:tc>
        <w:tc>
          <w:tcPr>
            <w:tcW w:w="178" w:type="pct"/>
          </w:tcPr>
          <w:p w14:paraId="139F17D7" w14:textId="77777777" w:rsidR="000005F4" w:rsidRPr="00CE4330" w:rsidRDefault="000005F4" w:rsidP="000005F4">
            <w:pPr>
              <w:pStyle w:val="TableTextNoSpace"/>
              <w:jc w:val="center"/>
              <w:rPr>
                <w:rFonts w:cs="Arial"/>
                <w:sz w:val="18"/>
                <w:szCs w:val="18"/>
              </w:rPr>
            </w:pPr>
          </w:p>
        </w:tc>
        <w:tc>
          <w:tcPr>
            <w:tcW w:w="178" w:type="pct"/>
          </w:tcPr>
          <w:p w14:paraId="59625B2F" w14:textId="77777777" w:rsidR="000005F4" w:rsidRPr="00CE4330" w:rsidRDefault="000005F4" w:rsidP="000005F4">
            <w:pPr>
              <w:pStyle w:val="TableTextNoSpace"/>
              <w:jc w:val="center"/>
              <w:rPr>
                <w:rFonts w:cs="Arial"/>
                <w:sz w:val="18"/>
                <w:szCs w:val="18"/>
              </w:rPr>
            </w:pPr>
          </w:p>
        </w:tc>
        <w:tc>
          <w:tcPr>
            <w:tcW w:w="178" w:type="pct"/>
          </w:tcPr>
          <w:p w14:paraId="2D51103D" w14:textId="77777777" w:rsidR="000005F4" w:rsidRPr="00CE4330" w:rsidRDefault="000005F4" w:rsidP="000005F4">
            <w:pPr>
              <w:pStyle w:val="TableTextNoSpace"/>
              <w:jc w:val="center"/>
              <w:rPr>
                <w:rFonts w:cs="Arial"/>
                <w:sz w:val="18"/>
                <w:szCs w:val="18"/>
              </w:rPr>
            </w:pPr>
          </w:p>
        </w:tc>
        <w:tc>
          <w:tcPr>
            <w:tcW w:w="178" w:type="pct"/>
          </w:tcPr>
          <w:p w14:paraId="19E8B8CC" w14:textId="77777777" w:rsidR="000005F4" w:rsidRPr="00CE4330" w:rsidRDefault="000005F4" w:rsidP="000005F4">
            <w:pPr>
              <w:pStyle w:val="TableTextNoSpace"/>
              <w:jc w:val="center"/>
              <w:rPr>
                <w:rFonts w:cs="Arial"/>
                <w:sz w:val="18"/>
                <w:szCs w:val="18"/>
              </w:rPr>
            </w:pPr>
          </w:p>
        </w:tc>
        <w:tc>
          <w:tcPr>
            <w:tcW w:w="178" w:type="pct"/>
          </w:tcPr>
          <w:p w14:paraId="10062C46" w14:textId="77777777" w:rsidR="000005F4" w:rsidRPr="00CE4330" w:rsidRDefault="000005F4" w:rsidP="000005F4">
            <w:pPr>
              <w:pStyle w:val="TableTextNoSpace"/>
              <w:jc w:val="center"/>
              <w:rPr>
                <w:rFonts w:cs="Arial"/>
                <w:sz w:val="18"/>
                <w:szCs w:val="18"/>
              </w:rPr>
            </w:pPr>
          </w:p>
        </w:tc>
        <w:tc>
          <w:tcPr>
            <w:tcW w:w="178" w:type="pct"/>
          </w:tcPr>
          <w:p w14:paraId="57DD3BD1"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5D4C9837" w14:textId="77777777" w:rsidR="000005F4" w:rsidRPr="00CE4330" w:rsidRDefault="000005F4" w:rsidP="000005F4">
            <w:pPr>
              <w:pStyle w:val="TableTextNoSpace"/>
              <w:jc w:val="center"/>
              <w:rPr>
                <w:rFonts w:cs="Arial"/>
                <w:sz w:val="18"/>
                <w:szCs w:val="18"/>
              </w:rPr>
            </w:pPr>
          </w:p>
        </w:tc>
      </w:tr>
      <w:tr w:rsidR="000005F4" w14:paraId="1887B0EA" w14:textId="77777777" w:rsidTr="000005F4">
        <w:tc>
          <w:tcPr>
            <w:tcW w:w="553" w:type="pct"/>
            <w:shd w:val="clear" w:color="auto" w:fill="auto"/>
          </w:tcPr>
          <w:p w14:paraId="4C1EB47B" w14:textId="77777777" w:rsidR="000005F4" w:rsidRPr="008B59E9" w:rsidRDefault="000005F4" w:rsidP="000005F4">
            <w:pPr>
              <w:pStyle w:val="TableTextNoSpace"/>
              <w:rPr>
                <w:rFonts w:cs="Arial"/>
                <w:sz w:val="17"/>
                <w:szCs w:val="17"/>
              </w:rPr>
            </w:pPr>
            <w:r w:rsidRPr="008B59E9">
              <w:rPr>
                <w:rFonts w:cs="Arial"/>
                <w:sz w:val="17"/>
                <w:szCs w:val="17"/>
              </w:rPr>
              <w:t>Art 44(4)</w:t>
            </w:r>
          </w:p>
        </w:tc>
        <w:tc>
          <w:tcPr>
            <w:tcW w:w="178" w:type="pct"/>
            <w:shd w:val="clear" w:color="auto" w:fill="auto"/>
          </w:tcPr>
          <w:p w14:paraId="50FEBA89"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5746EA2B"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569249A3"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51FE022"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72E66418"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0B9AF491"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52A51E4A"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387DEE4"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E7E9AC9"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A04CF36"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auto"/>
          </w:tcPr>
          <w:p w14:paraId="358E1B51"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7BABDF5"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2161714"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64802125"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2848234"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5083BEBC"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693914D3"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DE0DD62" w14:textId="77777777" w:rsidR="000005F4" w:rsidRPr="00CE4330" w:rsidRDefault="000005F4" w:rsidP="000005F4">
            <w:pPr>
              <w:pStyle w:val="TableTextNoSpace"/>
              <w:jc w:val="center"/>
              <w:rPr>
                <w:rFonts w:cs="Arial"/>
                <w:sz w:val="18"/>
                <w:szCs w:val="18"/>
              </w:rPr>
            </w:pPr>
          </w:p>
        </w:tc>
        <w:tc>
          <w:tcPr>
            <w:tcW w:w="178" w:type="pct"/>
          </w:tcPr>
          <w:p w14:paraId="4699E6AC" w14:textId="77777777" w:rsidR="000005F4" w:rsidRPr="00CE4330" w:rsidRDefault="000005F4" w:rsidP="000005F4">
            <w:pPr>
              <w:pStyle w:val="TableTextNoSpace"/>
              <w:jc w:val="center"/>
              <w:rPr>
                <w:rFonts w:cs="Arial"/>
                <w:sz w:val="18"/>
                <w:szCs w:val="18"/>
              </w:rPr>
            </w:pPr>
          </w:p>
        </w:tc>
        <w:tc>
          <w:tcPr>
            <w:tcW w:w="178" w:type="pct"/>
          </w:tcPr>
          <w:p w14:paraId="193327CF" w14:textId="77777777" w:rsidR="000005F4" w:rsidRPr="00CE4330" w:rsidRDefault="000005F4" w:rsidP="000005F4">
            <w:pPr>
              <w:pStyle w:val="TableTextNoSpace"/>
              <w:jc w:val="center"/>
              <w:rPr>
                <w:rFonts w:cs="Arial"/>
                <w:sz w:val="18"/>
                <w:szCs w:val="18"/>
              </w:rPr>
            </w:pPr>
          </w:p>
        </w:tc>
        <w:tc>
          <w:tcPr>
            <w:tcW w:w="178" w:type="pct"/>
          </w:tcPr>
          <w:p w14:paraId="5A8AE313" w14:textId="77777777" w:rsidR="000005F4" w:rsidRPr="00CE4330" w:rsidRDefault="000005F4" w:rsidP="000005F4">
            <w:pPr>
              <w:pStyle w:val="TableTextNoSpace"/>
              <w:jc w:val="center"/>
              <w:rPr>
                <w:rFonts w:cs="Arial"/>
                <w:sz w:val="18"/>
                <w:szCs w:val="18"/>
              </w:rPr>
            </w:pPr>
          </w:p>
        </w:tc>
        <w:tc>
          <w:tcPr>
            <w:tcW w:w="178" w:type="pct"/>
          </w:tcPr>
          <w:p w14:paraId="1D36368E"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tcPr>
          <w:p w14:paraId="43D7B995" w14:textId="77777777" w:rsidR="000005F4" w:rsidRPr="00CE4330" w:rsidRDefault="000005F4" w:rsidP="000005F4">
            <w:pPr>
              <w:pStyle w:val="TableTextNoSpace"/>
              <w:jc w:val="center"/>
              <w:rPr>
                <w:rFonts w:cs="Arial"/>
                <w:sz w:val="18"/>
                <w:szCs w:val="18"/>
              </w:rPr>
            </w:pPr>
          </w:p>
        </w:tc>
        <w:tc>
          <w:tcPr>
            <w:tcW w:w="178" w:type="pct"/>
          </w:tcPr>
          <w:p w14:paraId="45F7545B"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3C6C0EFC" w14:textId="77777777" w:rsidR="000005F4" w:rsidRPr="00CE4330" w:rsidRDefault="000005F4" w:rsidP="000005F4">
            <w:pPr>
              <w:pStyle w:val="TableTextNoSpace"/>
              <w:jc w:val="center"/>
              <w:rPr>
                <w:rFonts w:cs="Arial"/>
                <w:sz w:val="18"/>
                <w:szCs w:val="18"/>
              </w:rPr>
            </w:pPr>
          </w:p>
        </w:tc>
      </w:tr>
      <w:tr w:rsidR="000005F4" w14:paraId="16B2A346" w14:textId="77777777" w:rsidTr="000005F4">
        <w:tc>
          <w:tcPr>
            <w:tcW w:w="553" w:type="pct"/>
            <w:shd w:val="clear" w:color="auto" w:fill="EAF1DD" w:themeFill="accent3" w:themeFillTint="33"/>
          </w:tcPr>
          <w:p w14:paraId="289AD2E8" w14:textId="77777777" w:rsidR="000005F4" w:rsidRPr="008B59E9" w:rsidRDefault="000005F4" w:rsidP="000005F4">
            <w:pPr>
              <w:pStyle w:val="TableTextNoSpace"/>
              <w:rPr>
                <w:rFonts w:cs="Arial"/>
                <w:sz w:val="17"/>
                <w:szCs w:val="17"/>
              </w:rPr>
            </w:pPr>
            <w:r w:rsidRPr="008B59E9">
              <w:rPr>
                <w:rFonts w:cs="Arial"/>
                <w:sz w:val="17"/>
                <w:szCs w:val="17"/>
              </w:rPr>
              <w:t>Art 44(6)(a)</w:t>
            </w:r>
          </w:p>
        </w:tc>
        <w:tc>
          <w:tcPr>
            <w:tcW w:w="178" w:type="pct"/>
            <w:shd w:val="clear" w:color="auto" w:fill="EAF1DD" w:themeFill="accent3" w:themeFillTint="33"/>
          </w:tcPr>
          <w:p w14:paraId="5699D636"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66BBBDD7"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4B6ED458"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75D51BBE"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0B9637D2"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1CE82711"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112F7E5C"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660F5853"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75BC5E3D"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56782E30"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5B90D428"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5E27F1E0"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tcPr>
          <w:p w14:paraId="3D76F511"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tcPr>
          <w:p w14:paraId="17A46D16"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tcPr>
          <w:p w14:paraId="19F9ABA7"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tcPr>
          <w:p w14:paraId="1A3AE429"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604FBF1A"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6E6329D9"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6D496F21"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35392439"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6C2F7373"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736CED53"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34D96E62"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146C685E"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tcPr>
          <w:p w14:paraId="1DEC8B8F" w14:textId="77777777" w:rsidR="000005F4" w:rsidRPr="00CE4330" w:rsidRDefault="000005F4" w:rsidP="000005F4">
            <w:pPr>
              <w:pStyle w:val="TableTextNoSpace"/>
              <w:jc w:val="center"/>
              <w:rPr>
                <w:rFonts w:cs="Arial"/>
                <w:sz w:val="18"/>
                <w:szCs w:val="18"/>
              </w:rPr>
            </w:pPr>
          </w:p>
        </w:tc>
      </w:tr>
      <w:tr w:rsidR="000005F4" w14:paraId="2619E3CD" w14:textId="77777777" w:rsidTr="000005F4">
        <w:tc>
          <w:tcPr>
            <w:tcW w:w="553" w:type="pct"/>
            <w:shd w:val="clear" w:color="auto" w:fill="auto"/>
          </w:tcPr>
          <w:p w14:paraId="5E2E825B" w14:textId="77777777" w:rsidR="000005F4" w:rsidRPr="008B59E9" w:rsidRDefault="000005F4" w:rsidP="000005F4">
            <w:pPr>
              <w:pStyle w:val="TableTextNoSpace"/>
              <w:rPr>
                <w:rFonts w:cs="Arial"/>
                <w:sz w:val="17"/>
                <w:szCs w:val="17"/>
              </w:rPr>
            </w:pPr>
            <w:r w:rsidRPr="008B59E9">
              <w:rPr>
                <w:rFonts w:cs="Arial"/>
                <w:sz w:val="17"/>
                <w:szCs w:val="17"/>
              </w:rPr>
              <w:t>Art 44(6)(b)</w:t>
            </w:r>
          </w:p>
        </w:tc>
        <w:tc>
          <w:tcPr>
            <w:tcW w:w="178" w:type="pct"/>
            <w:shd w:val="clear" w:color="auto" w:fill="auto"/>
          </w:tcPr>
          <w:p w14:paraId="394BB34D"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82A6D70"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7EB51AB4"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04CE745D"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7F52C8C2"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5ECA46D"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026CBD72"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0AC7BB5"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14129890"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8739392"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74F117E9"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602F379C"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auto"/>
          </w:tcPr>
          <w:p w14:paraId="0E754027"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auto"/>
          </w:tcPr>
          <w:p w14:paraId="432AE1E6"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auto"/>
          </w:tcPr>
          <w:p w14:paraId="5F290434"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3931BF4"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7DA42A0A"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auto"/>
          </w:tcPr>
          <w:p w14:paraId="1DEDD000"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tcPr>
          <w:p w14:paraId="475147F9" w14:textId="77777777" w:rsidR="000005F4" w:rsidRPr="00CE4330" w:rsidRDefault="000005F4" w:rsidP="000005F4">
            <w:pPr>
              <w:pStyle w:val="TableTextNoSpace"/>
              <w:jc w:val="center"/>
              <w:rPr>
                <w:rFonts w:cs="Arial"/>
                <w:sz w:val="18"/>
                <w:szCs w:val="18"/>
              </w:rPr>
            </w:pPr>
          </w:p>
        </w:tc>
        <w:tc>
          <w:tcPr>
            <w:tcW w:w="178" w:type="pct"/>
          </w:tcPr>
          <w:p w14:paraId="1442E93C" w14:textId="77777777" w:rsidR="000005F4" w:rsidRPr="00CE4330" w:rsidRDefault="000005F4" w:rsidP="000005F4">
            <w:pPr>
              <w:pStyle w:val="TableTextNoSpace"/>
              <w:jc w:val="center"/>
              <w:rPr>
                <w:rFonts w:cs="Arial"/>
                <w:sz w:val="18"/>
                <w:szCs w:val="18"/>
              </w:rPr>
            </w:pPr>
          </w:p>
        </w:tc>
        <w:tc>
          <w:tcPr>
            <w:tcW w:w="178" w:type="pct"/>
          </w:tcPr>
          <w:p w14:paraId="65FA6B1A" w14:textId="77777777" w:rsidR="000005F4" w:rsidRPr="00CE4330" w:rsidRDefault="000005F4" w:rsidP="000005F4">
            <w:pPr>
              <w:pStyle w:val="TableTextNoSpace"/>
              <w:jc w:val="center"/>
              <w:rPr>
                <w:rFonts w:cs="Arial"/>
                <w:sz w:val="18"/>
                <w:szCs w:val="18"/>
              </w:rPr>
            </w:pPr>
          </w:p>
        </w:tc>
        <w:tc>
          <w:tcPr>
            <w:tcW w:w="178" w:type="pct"/>
          </w:tcPr>
          <w:p w14:paraId="52EBA926" w14:textId="77777777" w:rsidR="000005F4" w:rsidRPr="00CE4330" w:rsidRDefault="000005F4" w:rsidP="000005F4">
            <w:pPr>
              <w:pStyle w:val="TableTextNoSpace"/>
              <w:jc w:val="center"/>
              <w:rPr>
                <w:rFonts w:cs="Arial"/>
                <w:sz w:val="18"/>
                <w:szCs w:val="18"/>
              </w:rPr>
            </w:pPr>
          </w:p>
        </w:tc>
        <w:tc>
          <w:tcPr>
            <w:tcW w:w="178" w:type="pct"/>
          </w:tcPr>
          <w:p w14:paraId="35C4F571" w14:textId="77777777" w:rsidR="000005F4" w:rsidRPr="00CE4330" w:rsidRDefault="000005F4" w:rsidP="000005F4">
            <w:pPr>
              <w:pStyle w:val="TableTextNoSpace"/>
              <w:jc w:val="center"/>
              <w:rPr>
                <w:rFonts w:cs="Arial"/>
                <w:sz w:val="18"/>
                <w:szCs w:val="18"/>
              </w:rPr>
            </w:pPr>
          </w:p>
        </w:tc>
        <w:tc>
          <w:tcPr>
            <w:tcW w:w="178" w:type="pct"/>
          </w:tcPr>
          <w:p w14:paraId="6008B356"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auto"/>
          </w:tcPr>
          <w:p w14:paraId="48D4C86D" w14:textId="77777777" w:rsidR="000005F4" w:rsidRPr="00CE4330" w:rsidRDefault="000005F4" w:rsidP="000005F4">
            <w:pPr>
              <w:pStyle w:val="TableTextNoSpace"/>
              <w:jc w:val="center"/>
              <w:rPr>
                <w:rFonts w:cs="Arial"/>
                <w:sz w:val="18"/>
                <w:szCs w:val="18"/>
              </w:rPr>
            </w:pPr>
          </w:p>
        </w:tc>
      </w:tr>
      <w:tr w:rsidR="000005F4" w14:paraId="5D4DAAA0" w14:textId="77777777" w:rsidTr="000005F4">
        <w:tc>
          <w:tcPr>
            <w:tcW w:w="553" w:type="pct"/>
            <w:shd w:val="clear" w:color="auto" w:fill="auto"/>
          </w:tcPr>
          <w:p w14:paraId="4A450005" w14:textId="77777777" w:rsidR="000005F4" w:rsidRPr="008B59E9" w:rsidRDefault="000005F4" w:rsidP="000005F4">
            <w:pPr>
              <w:pStyle w:val="TableTextNoSpace"/>
              <w:rPr>
                <w:rFonts w:cs="Arial"/>
                <w:sz w:val="17"/>
                <w:szCs w:val="17"/>
              </w:rPr>
            </w:pPr>
            <w:r w:rsidRPr="008B59E9">
              <w:rPr>
                <w:rFonts w:cs="Arial"/>
                <w:sz w:val="17"/>
                <w:szCs w:val="17"/>
              </w:rPr>
              <w:t xml:space="preserve">Art 47(1)(a) </w:t>
            </w:r>
          </w:p>
        </w:tc>
        <w:tc>
          <w:tcPr>
            <w:tcW w:w="178" w:type="pct"/>
            <w:shd w:val="clear" w:color="auto" w:fill="auto"/>
          </w:tcPr>
          <w:p w14:paraId="541EA3C5"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367DA23F"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0CC61106"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587C742"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64F3EBAB"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7CA4DDE7"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5BE1DE81"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0321D0CF"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35455CA"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156BEFE5"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68DECF93"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6CE1AC3"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6BE574F1"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5CC4340A"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6E0D5273"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1020F86C"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5BE6F769"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6AE6F7B" w14:textId="77777777" w:rsidR="000005F4" w:rsidRPr="00CE4330" w:rsidRDefault="000005F4" w:rsidP="000005F4">
            <w:pPr>
              <w:pStyle w:val="TableTextNoSpace"/>
              <w:jc w:val="center"/>
              <w:rPr>
                <w:rFonts w:cs="Arial"/>
                <w:sz w:val="18"/>
                <w:szCs w:val="18"/>
              </w:rPr>
            </w:pPr>
          </w:p>
        </w:tc>
        <w:tc>
          <w:tcPr>
            <w:tcW w:w="178" w:type="pct"/>
          </w:tcPr>
          <w:p w14:paraId="2CF79096" w14:textId="77777777" w:rsidR="000005F4" w:rsidRPr="00CE4330" w:rsidRDefault="000005F4" w:rsidP="000005F4">
            <w:pPr>
              <w:pStyle w:val="TableTextNoSpace"/>
              <w:jc w:val="center"/>
              <w:rPr>
                <w:rFonts w:cs="Arial"/>
                <w:sz w:val="18"/>
                <w:szCs w:val="18"/>
              </w:rPr>
            </w:pPr>
          </w:p>
        </w:tc>
        <w:tc>
          <w:tcPr>
            <w:tcW w:w="178" w:type="pct"/>
          </w:tcPr>
          <w:p w14:paraId="3072883C" w14:textId="77777777" w:rsidR="000005F4" w:rsidRPr="00CE4330" w:rsidRDefault="000005F4" w:rsidP="000005F4">
            <w:pPr>
              <w:pStyle w:val="TableTextNoSpace"/>
              <w:jc w:val="center"/>
              <w:rPr>
                <w:rFonts w:cs="Arial"/>
                <w:sz w:val="18"/>
                <w:szCs w:val="18"/>
              </w:rPr>
            </w:pPr>
          </w:p>
        </w:tc>
        <w:tc>
          <w:tcPr>
            <w:tcW w:w="178" w:type="pct"/>
          </w:tcPr>
          <w:p w14:paraId="34E1330D"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tcPr>
          <w:p w14:paraId="3E70379D" w14:textId="77777777" w:rsidR="000005F4" w:rsidRPr="00CE4330" w:rsidRDefault="000005F4" w:rsidP="000005F4">
            <w:pPr>
              <w:pStyle w:val="TableTextNoSpace"/>
              <w:jc w:val="center"/>
              <w:rPr>
                <w:rFonts w:cs="Arial"/>
                <w:sz w:val="18"/>
                <w:szCs w:val="18"/>
              </w:rPr>
            </w:pPr>
          </w:p>
        </w:tc>
        <w:tc>
          <w:tcPr>
            <w:tcW w:w="178" w:type="pct"/>
          </w:tcPr>
          <w:p w14:paraId="72125D38" w14:textId="77777777" w:rsidR="000005F4" w:rsidRPr="00CE4330" w:rsidRDefault="000005F4" w:rsidP="000005F4">
            <w:pPr>
              <w:pStyle w:val="TableTextNoSpace"/>
              <w:jc w:val="center"/>
              <w:rPr>
                <w:rFonts w:cs="Arial"/>
                <w:sz w:val="18"/>
                <w:szCs w:val="18"/>
              </w:rPr>
            </w:pPr>
          </w:p>
        </w:tc>
        <w:tc>
          <w:tcPr>
            <w:tcW w:w="178" w:type="pct"/>
          </w:tcPr>
          <w:p w14:paraId="458F2FB8"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12681C8" w14:textId="77777777" w:rsidR="000005F4" w:rsidRPr="00CE4330" w:rsidRDefault="000005F4" w:rsidP="000005F4">
            <w:pPr>
              <w:pStyle w:val="TableTextNoSpace"/>
              <w:jc w:val="center"/>
              <w:rPr>
                <w:rFonts w:cs="Arial"/>
                <w:sz w:val="18"/>
                <w:szCs w:val="18"/>
              </w:rPr>
            </w:pPr>
          </w:p>
        </w:tc>
      </w:tr>
      <w:tr w:rsidR="000005F4" w14:paraId="75764A52" w14:textId="77777777" w:rsidTr="000005F4">
        <w:tc>
          <w:tcPr>
            <w:tcW w:w="553" w:type="pct"/>
            <w:shd w:val="clear" w:color="auto" w:fill="EAF1DD" w:themeFill="accent3" w:themeFillTint="33"/>
          </w:tcPr>
          <w:p w14:paraId="07979538" w14:textId="77777777" w:rsidR="000005F4" w:rsidRPr="008B59E9" w:rsidRDefault="000005F4" w:rsidP="000005F4">
            <w:pPr>
              <w:pStyle w:val="TableTextNoSpace"/>
              <w:rPr>
                <w:rFonts w:cs="Arial"/>
                <w:sz w:val="17"/>
                <w:szCs w:val="17"/>
              </w:rPr>
            </w:pPr>
            <w:r w:rsidRPr="008B59E9">
              <w:rPr>
                <w:rFonts w:cs="Arial"/>
                <w:sz w:val="17"/>
                <w:szCs w:val="17"/>
              </w:rPr>
              <w:t xml:space="preserve">Art 48(1)(e) </w:t>
            </w:r>
          </w:p>
        </w:tc>
        <w:tc>
          <w:tcPr>
            <w:tcW w:w="178" w:type="pct"/>
            <w:shd w:val="clear" w:color="auto" w:fill="EAF1DD" w:themeFill="accent3" w:themeFillTint="33"/>
          </w:tcPr>
          <w:p w14:paraId="5D4437B2"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1D1983E7"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76E5FF65"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7083B4A8"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07B691B0"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01FFBBC6"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4AD33C33"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24B93CE2"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71617819"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43495AA8"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7027B75E"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3EB29745"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tcPr>
          <w:p w14:paraId="6462114C"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tcPr>
          <w:p w14:paraId="213E8BA5"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tcPr>
          <w:p w14:paraId="777FF628"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tcPr>
          <w:p w14:paraId="031345BC"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1566F1AD"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29522C0E"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5070D406"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1382DA33"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1DF99F36"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0C5D9570"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7D3AB3B7"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tcPr>
          <w:p w14:paraId="500D5F00"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tcPr>
          <w:p w14:paraId="2C027604" w14:textId="77777777" w:rsidR="000005F4" w:rsidRPr="00CE4330" w:rsidRDefault="000005F4" w:rsidP="000005F4">
            <w:pPr>
              <w:pStyle w:val="TableTextNoSpace"/>
              <w:jc w:val="center"/>
              <w:rPr>
                <w:rFonts w:cs="Arial"/>
                <w:sz w:val="18"/>
                <w:szCs w:val="18"/>
              </w:rPr>
            </w:pPr>
          </w:p>
        </w:tc>
      </w:tr>
      <w:tr w:rsidR="000005F4" w14:paraId="2A9B5677" w14:textId="77777777" w:rsidTr="000005F4">
        <w:tc>
          <w:tcPr>
            <w:tcW w:w="553" w:type="pct"/>
            <w:shd w:val="clear" w:color="auto" w:fill="auto"/>
          </w:tcPr>
          <w:p w14:paraId="560E27F2" w14:textId="77777777" w:rsidR="000005F4" w:rsidRPr="008B59E9" w:rsidRDefault="000005F4" w:rsidP="000005F4">
            <w:pPr>
              <w:pStyle w:val="TableTextNoSpace"/>
              <w:rPr>
                <w:rFonts w:cs="Arial"/>
                <w:sz w:val="17"/>
                <w:szCs w:val="17"/>
              </w:rPr>
            </w:pPr>
            <w:r w:rsidRPr="008B59E9">
              <w:rPr>
                <w:rFonts w:cs="Arial"/>
                <w:sz w:val="17"/>
                <w:szCs w:val="17"/>
              </w:rPr>
              <w:t xml:space="preserve">Art 48(1)(g) </w:t>
            </w:r>
          </w:p>
        </w:tc>
        <w:tc>
          <w:tcPr>
            <w:tcW w:w="178" w:type="pct"/>
            <w:shd w:val="clear" w:color="auto" w:fill="auto"/>
          </w:tcPr>
          <w:p w14:paraId="781F4800"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631A2714"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7D5A0680"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01B84D59"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167BF1BA"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BF52E5C"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78005C54"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0E30BB6"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61450F12"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31600A18"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C700B6B"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0172D367"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auto"/>
          </w:tcPr>
          <w:p w14:paraId="2D24CD7E"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auto"/>
          </w:tcPr>
          <w:p w14:paraId="77EC21A7"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auto"/>
          </w:tcPr>
          <w:p w14:paraId="38D408EE"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39675B11"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D1D7564"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7E2D4B7A" w14:textId="77777777" w:rsidR="000005F4" w:rsidRPr="00CE4330" w:rsidRDefault="000005F4" w:rsidP="000005F4">
            <w:pPr>
              <w:pStyle w:val="TableTextNoSpace"/>
              <w:jc w:val="center"/>
              <w:rPr>
                <w:rFonts w:cs="Arial"/>
                <w:sz w:val="18"/>
                <w:szCs w:val="18"/>
              </w:rPr>
            </w:pPr>
          </w:p>
        </w:tc>
        <w:tc>
          <w:tcPr>
            <w:tcW w:w="178" w:type="pct"/>
          </w:tcPr>
          <w:p w14:paraId="2AB57278" w14:textId="77777777" w:rsidR="000005F4" w:rsidRPr="00CE4330" w:rsidRDefault="000005F4" w:rsidP="000005F4">
            <w:pPr>
              <w:pStyle w:val="TableTextNoSpace"/>
              <w:jc w:val="center"/>
              <w:rPr>
                <w:rFonts w:cs="Arial"/>
                <w:sz w:val="18"/>
                <w:szCs w:val="18"/>
              </w:rPr>
            </w:pPr>
          </w:p>
        </w:tc>
        <w:tc>
          <w:tcPr>
            <w:tcW w:w="178" w:type="pct"/>
          </w:tcPr>
          <w:p w14:paraId="0DF535D8" w14:textId="77777777" w:rsidR="000005F4" w:rsidRPr="00CE4330" w:rsidRDefault="000005F4" w:rsidP="000005F4">
            <w:pPr>
              <w:pStyle w:val="TableTextNoSpace"/>
              <w:jc w:val="center"/>
              <w:rPr>
                <w:rFonts w:cs="Arial"/>
                <w:sz w:val="18"/>
                <w:szCs w:val="18"/>
              </w:rPr>
            </w:pPr>
          </w:p>
        </w:tc>
        <w:tc>
          <w:tcPr>
            <w:tcW w:w="178" w:type="pct"/>
          </w:tcPr>
          <w:p w14:paraId="131F678E" w14:textId="77777777" w:rsidR="000005F4" w:rsidRPr="00CE4330" w:rsidRDefault="000005F4" w:rsidP="000005F4">
            <w:pPr>
              <w:pStyle w:val="TableTextNoSpace"/>
              <w:jc w:val="center"/>
              <w:rPr>
                <w:rFonts w:cs="Arial"/>
                <w:sz w:val="18"/>
                <w:szCs w:val="18"/>
              </w:rPr>
            </w:pPr>
          </w:p>
        </w:tc>
        <w:tc>
          <w:tcPr>
            <w:tcW w:w="178" w:type="pct"/>
          </w:tcPr>
          <w:p w14:paraId="36D45C06" w14:textId="77777777" w:rsidR="000005F4" w:rsidRPr="00CE4330" w:rsidRDefault="000005F4" w:rsidP="000005F4">
            <w:pPr>
              <w:pStyle w:val="TableTextNoSpace"/>
              <w:jc w:val="center"/>
              <w:rPr>
                <w:rFonts w:cs="Arial"/>
                <w:sz w:val="18"/>
                <w:szCs w:val="18"/>
              </w:rPr>
            </w:pPr>
          </w:p>
        </w:tc>
        <w:tc>
          <w:tcPr>
            <w:tcW w:w="178" w:type="pct"/>
          </w:tcPr>
          <w:p w14:paraId="0BDB16D1" w14:textId="77777777" w:rsidR="000005F4" w:rsidRPr="00CE4330" w:rsidRDefault="000005F4" w:rsidP="000005F4">
            <w:pPr>
              <w:pStyle w:val="TableTextNoSpace"/>
              <w:jc w:val="center"/>
              <w:rPr>
                <w:rFonts w:cs="Arial"/>
                <w:sz w:val="18"/>
                <w:szCs w:val="18"/>
              </w:rPr>
            </w:pPr>
          </w:p>
        </w:tc>
        <w:tc>
          <w:tcPr>
            <w:tcW w:w="178" w:type="pct"/>
          </w:tcPr>
          <w:p w14:paraId="6F071216"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7D4DBEBD" w14:textId="77777777" w:rsidR="000005F4" w:rsidRPr="00CE4330" w:rsidRDefault="000005F4" w:rsidP="000005F4">
            <w:pPr>
              <w:pStyle w:val="TableTextNoSpace"/>
              <w:jc w:val="center"/>
              <w:rPr>
                <w:rFonts w:cs="Arial"/>
                <w:sz w:val="18"/>
                <w:szCs w:val="18"/>
              </w:rPr>
            </w:pPr>
          </w:p>
        </w:tc>
      </w:tr>
      <w:tr w:rsidR="000005F4" w14:paraId="3B0B7F6D" w14:textId="77777777" w:rsidTr="000005F4">
        <w:tc>
          <w:tcPr>
            <w:tcW w:w="553" w:type="pct"/>
            <w:shd w:val="clear" w:color="auto" w:fill="auto"/>
          </w:tcPr>
          <w:p w14:paraId="2450EC2C" w14:textId="77777777" w:rsidR="000005F4" w:rsidRPr="008B59E9" w:rsidRDefault="000005F4" w:rsidP="000005F4">
            <w:pPr>
              <w:pStyle w:val="TableTextNoSpace"/>
              <w:rPr>
                <w:rFonts w:cs="Arial"/>
                <w:sz w:val="17"/>
                <w:szCs w:val="17"/>
              </w:rPr>
            </w:pPr>
            <w:r w:rsidRPr="008B59E9">
              <w:rPr>
                <w:rFonts w:cs="Arial"/>
                <w:sz w:val="17"/>
                <w:szCs w:val="17"/>
              </w:rPr>
              <w:t xml:space="preserve">Art 48.1(h) </w:t>
            </w:r>
          </w:p>
        </w:tc>
        <w:tc>
          <w:tcPr>
            <w:tcW w:w="178" w:type="pct"/>
            <w:shd w:val="clear" w:color="auto" w:fill="auto"/>
          </w:tcPr>
          <w:p w14:paraId="4F811EC3"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7860352"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5B3A2A84"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auto"/>
          </w:tcPr>
          <w:p w14:paraId="617DFFF7"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39D183CB"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35B9CD27"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340012CE"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01DE472D"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75D30C3"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5D247126"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5A159426"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08E14B60"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61565FC"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3DF652A8"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auto"/>
          </w:tcPr>
          <w:p w14:paraId="2DCDD644"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CA1C35F"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74D0F717"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0FA4168F" w14:textId="77777777" w:rsidR="000005F4" w:rsidRPr="00CE4330" w:rsidRDefault="000005F4" w:rsidP="000005F4">
            <w:pPr>
              <w:pStyle w:val="TableTextNoSpace"/>
              <w:jc w:val="center"/>
              <w:rPr>
                <w:rFonts w:cs="Arial"/>
                <w:sz w:val="18"/>
                <w:szCs w:val="18"/>
              </w:rPr>
            </w:pPr>
          </w:p>
        </w:tc>
        <w:tc>
          <w:tcPr>
            <w:tcW w:w="178" w:type="pct"/>
          </w:tcPr>
          <w:p w14:paraId="25022053" w14:textId="77777777" w:rsidR="000005F4" w:rsidRPr="00CE4330" w:rsidRDefault="000005F4" w:rsidP="000005F4">
            <w:pPr>
              <w:pStyle w:val="TableTextNoSpace"/>
              <w:jc w:val="center"/>
              <w:rPr>
                <w:rFonts w:cs="Arial"/>
                <w:sz w:val="18"/>
                <w:szCs w:val="18"/>
              </w:rPr>
            </w:pPr>
          </w:p>
        </w:tc>
        <w:tc>
          <w:tcPr>
            <w:tcW w:w="178" w:type="pct"/>
          </w:tcPr>
          <w:p w14:paraId="5D9EE8B7" w14:textId="77777777" w:rsidR="000005F4" w:rsidRPr="00CE4330" w:rsidRDefault="000005F4" w:rsidP="000005F4">
            <w:pPr>
              <w:pStyle w:val="TableTextNoSpace"/>
              <w:jc w:val="center"/>
              <w:rPr>
                <w:rFonts w:cs="Arial"/>
                <w:sz w:val="18"/>
                <w:szCs w:val="18"/>
              </w:rPr>
            </w:pPr>
          </w:p>
        </w:tc>
        <w:tc>
          <w:tcPr>
            <w:tcW w:w="178" w:type="pct"/>
          </w:tcPr>
          <w:p w14:paraId="3452A925"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tcPr>
          <w:p w14:paraId="622FC329"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tcPr>
          <w:p w14:paraId="5D5EEA1D" w14:textId="77777777" w:rsidR="000005F4" w:rsidRPr="00CE4330" w:rsidRDefault="000005F4" w:rsidP="000005F4">
            <w:pPr>
              <w:pStyle w:val="TableTextNoSpace"/>
              <w:jc w:val="center"/>
              <w:rPr>
                <w:rFonts w:cs="Arial"/>
                <w:sz w:val="18"/>
                <w:szCs w:val="18"/>
              </w:rPr>
            </w:pPr>
          </w:p>
        </w:tc>
        <w:tc>
          <w:tcPr>
            <w:tcW w:w="178" w:type="pct"/>
          </w:tcPr>
          <w:p w14:paraId="1D483BCB"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772AABBE" w14:textId="77777777" w:rsidR="000005F4" w:rsidRPr="00CE4330" w:rsidRDefault="000005F4" w:rsidP="000005F4">
            <w:pPr>
              <w:pStyle w:val="TableTextNoSpace"/>
              <w:jc w:val="center"/>
              <w:rPr>
                <w:rFonts w:cs="Arial"/>
                <w:sz w:val="18"/>
                <w:szCs w:val="18"/>
              </w:rPr>
            </w:pPr>
          </w:p>
        </w:tc>
      </w:tr>
      <w:tr w:rsidR="000005F4" w14:paraId="084F268C" w14:textId="77777777" w:rsidTr="000005F4">
        <w:tc>
          <w:tcPr>
            <w:tcW w:w="553" w:type="pct"/>
            <w:shd w:val="clear" w:color="auto" w:fill="auto"/>
          </w:tcPr>
          <w:p w14:paraId="4324458D" w14:textId="77777777" w:rsidR="000005F4" w:rsidRPr="00CE4330" w:rsidRDefault="000005F4" w:rsidP="000005F4">
            <w:pPr>
              <w:pStyle w:val="TableTextNoSpace"/>
              <w:rPr>
                <w:rFonts w:cs="Arial"/>
                <w:sz w:val="17"/>
                <w:szCs w:val="17"/>
              </w:rPr>
            </w:pPr>
            <w:r w:rsidRPr="00CE4330">
              <w:rPr>
                <w:rFonts w:cs="Arial"/>
                <w:color w:val="000000"/>
                <w:sz w:val="17"/>
                <w:szCs w:val="17"/>
              </w:rPr>
              <w:t xml:space="preserve">Art </w:t>
            </w:r>
            <w:r w:rsidRPr="00CE4330">
              <w:rPr>
                <w:rFonts w:cs="Arial"/>
                <w:sz w:val="17"/>
                <w:szCs w:val="17"/>
              </w:rPr>
              <w:t xml:space="preserve">48(1)(i-j) </w:t>
            </w:r>
          </w:p>
        </w:tc>
        <w:tc>
          <w:tcPr>
            <w:tcW w:w="178" w:type="pct"/>
            <w:shd w:val="clear" w:color="auto" w:fill="auto"/>
          </w:tcPr>
          <w:p w14:paraId="618CFA9A"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7876D19D"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015474EA"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015F8AC"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05F192CA"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1F99061F"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C8C8DF8"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72F35DA"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7931CAC0"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063C30CC"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E28BE20"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0C12BE6D"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auto"/>
          </w:tcPr>
          <w:p w14:paraId="4620052F"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auto"/>
          </w:tcPr>
          <w:p w14:paraId="5573AEA5"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auto"/>
          </w:tcPr>
          <w:p w14:paraId="51FFD039"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auto"/>
          </w:tcPr>
          <w:p w14:paraId="5DE40434"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0F823581"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114B5DF3" w14:textId="77777777" w:rsidR="000005F4" w:rsidRPr="00CE4330" w:rsidRDefault="000005F4" w:rsidP="000005F4">
            <w:pPr>
              <w:pStyle w:val="TableTextNoSpace"/>
              <w:jc w:val="center"/>
              <w:rPr>
                <w:rFonts w:cs="Arial"/>
                <w:sz w:val="18"/>
                <w:szCs w:val="18"/>
              </w:rPr>
            </w:pPr>
          </w:p>
        </w:tc>
        <w:tc>
          <w:tcPr>
            <w:tcW w:w="178" w:type="pct"/>
          </w:tcPr>
          <w:p w14:paraId="135FDCB7" w14:textId="77777777" w:rsidR="000005F4" w:rsidRPr="00CE4330" w:rsidRDefault="000005F4" w:rsidP="000005F4">
            <w:pPr>
              <w:pStyle w:val="TableTextNoSpace"/>
              <w:jc w:val="center"/>
              <w:rPr>
                <w:rFonts w:cs="Arial"/>
                <w:sz w:val="18"/>
                <w:szCs w:val="18"/>
              </w:rPr>
            </w:pPr>
          </w:p>
        </w:tc>
        <w:tc>
          <w:tcPr>
            <w:tcW w:w="178" w:type="pct"/>
          </w:tcPr>
          <w:p w14:paraId="5FA31D1D" w14:textId="77777777" w:rsidR="000005F4" w:rsidRPr="00CE4330" w:rsidRDefault="000005F4" w:rsidP="000005F4">
            <w:pPr>
              <w:pStyle w:val="TableTextNoSpace"/>
              <w:jc w:val="center"/>
              <w:rPr>
                <w:rFonts w:cs="Arial"/>
                <w:sz w:val="18"/>
                <w:szCs w:val="18"/>
              </w:rPr>
            </w:pPr>
          </w:p>
        </w:tc>
        <w:tc>
          <w:tcPr>
            <w:tcW w:w="178" w:type="pct"/>
          </w:tcPr>
          <w:p w14:paraId="0FA0CA10" w14:textId="77777777" w:rsidR="000005F4" w:rsidRPr="00CE4330" w:rsidRDefault="000005F4" w:rsidP="000005F4">
            <w:pPr>
              <w:pStyle w:val="TableTextNoSpace"/>
              <w:jc w:val="center"/>
              <w:rPr>
                <w:rFonts w:cs="Arial"/>
                <w:sz w:val="18"/>
                <w:szCs w:val="18"/>
              </w:rPr>
            </w:pPr>
          </w:p>
        </w:tc>
        <w:tc>
          <w:tcPr>
            <w:tcW w:w="178" w:type="pct"/>
          </w:tcPr>
          <w:p w14:paraId="26748A33" w14:textId="77777777" w:rsidR="000005F4" w:rsidRPr="00CE4330" w:rsidRDefault="000005F4" w:rsidP="000005F4">
            <w:pPr>
              <w:pStyle w:val="TableTextNoSpace"/>
              <w:jc w:val="center"/>
              <w:rPr>
                <w:rFonts w:cs="Arial"/>
                <w:sz w:val="18"/>
                <w:szCs w:val="18"/>
              </w:rPr>
            </w:pPr>
          </w:p>
        </w:tc>
        <w:tc>
          <w:tcPr>
            <w:tcW w:w="178" w:type="pct"/>
          </w:tcPr>
          <w:p w14:paraId="5FE69DD1" w14:textId="77777777" w:rsidR="000005F4" w:rsidRPr="00CE4330" w:rsidRDefault="000005F4" w:rsidP="000005F4">
            <w:pPr>
              <w:pStyle w:val="TableTextNoSpace"/>
              <w:jc w:val="center"/>
              <w:rPr>
                <w:rFonts w:cs="Arial"/>
                <w:sz w:val="18"/>
                <w:szCs w:val="18"/>
              </w:rPr>
            </w:pPr>
          </w:p>
        </w:tc>
        <w:tc>
          <w:tcPr>
            <w:tcW w:w="178" w:type="pct"/>
          </w:tcPr>
          <w:p w14:paraId="2D414C38"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auto"/>
          </w:tcPr>
          <w:p w14:paraId="3D15CC65" w14:textId="77777777" w:rsidR="000005F4" w:rsidRPr="00CE4330" w:rsidRDefault="000005F4" w:rsidP="000005F4">
            <w:pPr>
              <w:pStyle w:val="TableTextNoSpace"/>
              <w:jc w:val="center"/>
              <w:rPr>
                <w:rFonts w:cs="Arial"/>
                <w:sz w:val="18"/>
                <w:szCs w:val="18"/>
              </w:rPr>
            </w:pPr>
          </w:p>
        </w:tc>
      </w:tr>
      <w:tr w:rsidR="000005F4" w14:paraId="2AA71012" w14:textId="77777777" w:rsidTr="000005F4">
        <w:tc>
          <w:tcPr>
            <w:tcW w:w="553" w:type="pct"/>
            <w:shd w:val="clear" w:color="auto" w:fill="auto"/>
          </w:tcPr>
          <w:p w14:paraId="5F8672E4" w14:textId="77777777" w:rsidR="000005F4" w:rsidRPr="00CE4330" w:rsidRDefault="000005F4" w:rsidP="000005F4">
            <w:pPr>
              <w:pStyle w:val="TableTextNoSpace"/>
              <w:rPr>
                <w:rFonts w:cs="Arial"/>
                <w:sz w:val="17"/>
                <w:szCs w:val="17"/>
              </w:rPr>
            </w:pPr>
            <w:r w:rsidRPr="00CE4330">
              <w:rPr>
                <w:rFonts w:cs="Arial"/>
                <w:color w:val="000000"/>
                <w:sz w:val="17"/>
                <w:szCs w:val="17"/>
              </w:rPr>
              <w:t xml:space="preserve">Art </w:t>
            </w:r>
            <w:r w:rsidRPr="00CE4330">
              <w:rPr>
                <w:rFonts w:cs="Arial"/>
                <w:sz w:val="17"/>
                <w:szCs w:val="17"/>
              </w:rPr>
              <w:t>49(1)(b)</w:t>
            </w:r>
          </w:p>
        </w:tc>
        <w:tc>
          <w:tcPr>
            <w:tcW w:w="178" w:type="pct"/>
            <w:shd w:val="clear" w:color="auto" w:fill="auto"/>
          </w:tcPr>
          <w:p w14:paraId="43F29136"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BB98C2C"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8435FBC"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3BBC6A6A"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64B4A69"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5172792F"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F9FCE27"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0B46BFC"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49F76C4"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349C1D56"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641E47CD"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78B58253"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665597D8"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7CAF36AC"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68D15254"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auto"/>
          </w:tcPr>
          <w:p w14:paraId="41504572"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3F84F397"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6A81C524" w14:textId="77777777" w:rsidR="000005F4" w:rsidRPr="00CE4330" w:rsidRDefault="000005F4" w:rsidP="000005F4">
            <w:pPr>
              <w:pStyle w:val="TableTextNoSpace"/>
              <w:jc w:val="center"/>
              <w:rPr>
                <w:rFonts w:cs="Arial"/>
                <w:sz w:val="18"/>
                <w:szCs w:val="18"/>
              </w:rPr>
            </w:pPr>
          </w:p>
        </w:tc>
        <w:tc>
          <w:tcPr>
            <w:tcW w:w="178" w:type="pct"/>
          </w:tcPr>
          <w:p w14:paraId="0F74D564" w14:textId="77777777" w:rsidR="000005F4" w:rsidRPr="00CE4330" w:rsidRDefault="000005F4" w:rsidP="000005F4">
            <w:pPr>
              <w:pStyle w:val="TableTextNoSpace"/>
              <w:jc w:val="center"/>
              <w:rPr>
                <w:rFonts w:cs="Arial"/>
                <w:sz w:val="18"/>
                <w:szCs w:val="18"/>
              </w:rPr>
            </w:pPr>
          </w:p>
        </w:tc>
        <w:tc>
          <w:tcPr>
            <w:tcW w:w="178" w:type="pct"/>
          </w:tcPr>
          <w:p w14:paraId="102B129B" w14:textId="77777777" w:rsidR="000005F4" w:rsidRPr="00CE4330" w:rsidRDefault="000005F4" w:rsidP="000005F4">
            <w:pPr>
              <w:pStyle w:val="TableTextNoSpace"/>
              <w:jc w:val="center"/>
              <w:rPr>
                <w:rFonts w:cs="Arial"/>
                <w:sz w:val="18"/>
                <w:szCs w:val="18"/>
              </w:rPr>
            </w:pPr>
          </w:p>
        </w:tc>
        <w:tc>
          <w:tcPr>
            <w:tcW w:w="178" w:type="pct"/>
          </w:tcPr>
          <w:p w14:paraId="5F757D67" w14:textId="77777777" w:rsidR="000005F4" w:rsidRPr="00CE4330" w:rsidRDefault="000005F4" w:rsidP="000005F4">
            <w:pPr>
              <w:pStyle w:val="TableTextNoSpace"/>
              <w:jc w:val="center"/>
              <w:rPr>
                <w:rFonts w:cs="Arial"/>
                <w:sz w:val="18"/>
                <w:szCs w:val="18"/>
              </w:rPr>
            </w:pPr>
          </w:p>
        </w:tc>
        <w:tc>
          <w:tcPr>
            <w:tcW w:w="178" w:type="pct"/>
          </w:tcPr>
          <w:p w14:paraId="3958C1FE" w14:textId="77777777" w:rsidR="000005F4" w:rsidRPr="00CE4330" w:rsidRDefault="000005F4" w:rsidP="000005F4">
            <w:pPr>
              <w:pStyle w:val="TableTextNoSpace"/>
              <w:jc w:val="center"/>
              <w:rPr>
                <w:rFonts w:cs="Arial"/>
                <w:sz w:val="18"/>
                <w:szCs w:val="18"/>
              </w:rPr>
            </w:pPr>
          </w:p>
        </w:tc>
        <w:tc>
          <w:tcPr>
            <w:tcW w:w="178" w:type="pct"/>
          </w:tcPr>
          <w:p w14:paraId="1D17047E" w14:textId="77777777" w:rsidR="000005F4" w:rsidRPr="00CE4330" w:rsidRDefault="000005F4" w:rsidP="000005F4">
            <w:pPr>
              <w:pStyle w:val="TableTextNoSpace"/>
              <w:jc w:val="center"/>
              <w:rPr>
                <w:rFonts w:cs="Arial"/>
                <w:sz w:val="18"/>
                <w:szCs w:val="18"/>
              </w:rPr>
            </w:pPr>
          </w:p>
        </w:tc>
        <w:tc>
          <w:tcPr>
            <w:tcW w:w="178" w:type="pct"/>
          </w:tcPr>
          <w:p w14:paraId="171419BC"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792C1178" w14:textId="77777777" w:rsidR="000005F4" w:rsidRPr="00CE4330" w:rsidRDefault="000005F4" w:rsidP="000005F4">
            <w:pPr>
              <w:pStyle w:val="TableTextNoSpace"/>
              <w:jc w:val="center"/>
              <w:rPr>
                <w:rFonts w:cs="Arial"/>
                <w:sz w:val="18"/>
                <w:szCs w:val="18"/>
              </w:rPr>
            </w:pPr>
          </w:p>
        </w:tc>
      </w:tr>
      <w:tr w:rsidR="000005F4" w14:paraId="34338F18" w14:textId="77777777" w:rsidTr="000005F4">
        <w:tc>
          <w:tcPr>
            <w:tcW w:w="553" w:type="pct"/>
            <w:shd w:val="clear" w:color="auto" w:fill="auto"/>
          </w:tcPr>
          <w:p w14:paraId="66205688" w14:textId="77777777" w:rsidR="000005F4" w:rsidRPr="00CE4330" w:rsidRDefault="000005F4" w:rsidP="000005F4">
            <w:pPr>
              <w:pStyle w:val="TableTextNoSpace"/>
              <w:rPr>
                <w:rFonts w:cs="Arial"/>
                <w:sz w:val="17"/>
                <w:szCs w:val="17"/>
              </w:rPr>
            </w:pPr>
            <w:r w:rsidRPr="00CE4330">
              <w:rPr>
                <w:rFonts w:cs="Arial"/>
                <w:color w:val="000000"/>
                <w:sz w:val="17"/>
                <w:szCs w:val="17"/>
              </w:rPr>
              <w:t xml:space="preserve">Art </w:t>
            </w:r>
            <w:r w:rsidRPr="00CE4330">
              <w:rPr>
                <w:rFonts w:cs="Arial"/>
                <w:sz w:val="17"/>
                <w:szCs w:val="17"/>
              </w:rPr>
              <w:t xml:space="preserve">50(1)(a) </w:t>
            </w:r>
          </w:p>
        </w:tc>
        <w:tc>
          <w:tcPr>
            <w:tcW w:w="178" w:type="pct"/>
            <w:shd w:val="clear" w:color="auto" w:fill="auto"/>
          </w:tcPr>
          <w:p w14:paraId="01A49100"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15B6E91"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BAD61AE"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55892D9C"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0AA7904B"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59573FD2"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03384C6F"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1D8FC71"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1C5944C9"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7B0934F"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3C1011B2"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F83A4E4"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0859A6C2"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725F117A"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42E6D95"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42EB523"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4EE7C88B"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2D056B9E" w14:textId="77777777" w:rsidR="000005F4" w:rsidRPr="00CE4330" w:rsidRDefault="000005F4" w:rsidP="000005F4">
            <w:pPr>
              <w:pStyle w:val="TableTextNoSpace"/>
              <w:jc w:val="center"/>
              <w:rPr>
                <w:rFonts w:cs="Arial"/>
                <w:sz w:val="18"/>
                <w:szCs w:val="18"/>
              </w:rPr>
            </w:pPr>
          </w:p>
        </w:tc>
        <w:tc>
          <w:tcPr>
            <w:tcW w:w="178" w:type="pct"/>
          </w:tcPr>
          <w:p w14:paraId="43FE4E30" w14:textId="77777777" w:rsidR="000005F4" w:rsidRPr="00CE4330" w:rsidRDefault="000005F4" w:rsidP="000005F4">
            <w:pPr>
              <w:pStyle w:val="TableTextNoSpace"/>
              <w:jc w:val="center"/>
              <w:rPr>
                <w:rFonts w:cs="Arial"/>
                <w:sz w:val="18"/>
                <w:szCs w:val="18"/>
              </w:rPr>
            </w:pPr>
          </w:p>
        </w:tc>
        <w:tc>
          <w:tcPr>
            <w:tcW w:w="178" w:type="pct"/>
          </w:tcPr>
          <w:p w14:paraId="0E0A4D59" w14:textId="77777777" w:rsidR="000005F4" w:rsidRPr="00CE4330" w:rsidRDefault="000005F4" w:rsidP="000005F4">
            <w:pPr>
              <w:pStyle w:val="TableTextNoSpace"/>
              <w:jc w:val="center"/>
              <w:rPr>
                <w:rFonts w:cs="Arial"/>
                <w:sz w:val="18"/>
                <w:szCs w:val="18"/>
              </w:rPr>
            </w:pPr>
          </w:p>
        </w:tc>
        <w:tc>
          <w:tcPr>
            <w:tcW w:w="178" w:type="pct"/>
          </w:tcPr>
          <w:p w14:paraId="3C4614DE"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tcPr>
          <w:p w14:paraId="679B51B4" w14:textId="77777777" w:rsidR="000005F4" w:rsidRPr="00CE4330" w:rsidRDefault="000005F4" w:rsidP="000005F4">
            <w:pPr>
              <w:pStyle w:val="TableTextNoSpace"/>
              <w:jc w:val="center"/>
              <w:rPr>
                <w:rFonts w:cs="Arial"/>
                <w:sz w:val="18"/>
                <w:szCs w:val="18"/>
              </w:rPr>
            </w:pPr>
          </w:p>
        </w:tc>
        <w:tc>
          <w:tcPr>
            <w:tcW w:w="178" w:type="pct"/>
          </w:tcPr>
          <w:p w14:paraId="4C9A440D" w14:textId="77777777" w:rsidR="000005F4" w:rsidRPr="00CE4330" w:rsidRDefault="000005F4" w:rsidP="000005F4">
            <w:pPr>
              <w:pStyle w:val="TableTextNoSpace"/>
              <w:jc w:val="center"/>
              <w:rPr>
                <w:rFonts w:cs="Arial"/>
                <w:sz w:val="18"/>
                <w:szCs w:val="18"/>
              </w:rPr>
            </w:pPr>
          </w:p>
        </w:tc>
        <w:tc>
          <w:tcPr>
            <w:tcW w:w="178" w:type="pct"/>
          </w:tcPr>
          <w:p w14:paraId="55318282" w14:textId="77777777" w:rsidR="000005F4" w:rsidRPr="00CE4330" w:rsidRDefault="000005F4" w:rsidP="000005F4">
            <w:pPr>
              <w:pStyle w:val="TableTextNoSpace"/>
              <w:jc w:val="center"/>
              <w:rPr>
                <w:rFonts w:cs="Arial"/>
                <w:sz w:val="18"/>
                <w:szCs w:val="18"/>
              </w:rPr>
            </w:pPr>
          </w:p>
        </w:tc>
        <w:tc>
          <w:tcPr>
            <w:tcW w:w="178" w:type="pct"/>
            <w:shd w:val="clear" w:color="auto" w:fill="auto"/>
          </w:tcPr>
          <w:p w14:paraId="6768A29F" w14:textId="77777777" w:rsidR="000005F4" w:rsidRPr="00CE4330" w:rsidRDefault="000005F4" w:rsidP="000005F4">
            <w:pPr>
              <w:pStyle w:val="TableTextNoSpace"/>
              <w:jc w:val="center"/>
              <w:rPr>
                <w:rFonts w:cs="Arial"/>
                <w:sz w:val="18"/>
                <w:szCs w:val="18"/>
              </w:rPr>
            </w:pPr>
          </w:p>
        </w:tc>
      </w:tr>
      <w:tr w:rsidR="000005F4" w14:paraId="1FCFB3C9" w14:textId="77777777" w:rsidTr="000005F4">
        <w:tc>
          <w:tcPr>
            <w:tcW w:w="553" w:type="pct"/>
            <w:shd w:val="clear" w:color="auto" w:fill="EAF1DD" w:themeFill="accent3" w:themeFillTint="33"/>
          </w:tcPr>
          <w:p w14:paraId="390563AF" w14:textId="77777777" w:rsidR="000005F4" w:rsidRPr="00CE4330" w:rsidRDefault="000005F4" w:rsidP="000005F4">
            <w:pPr>
              <w:pStyle w:val="TableTextNoSpace"/>
              <w:rPr>
                <w:rFonts w:cs="Arial"/>
                <w:sz w:val="17"/>
                <w:szCs w:val="17"/>
              </w:rPr>
            </w:pPr>
            <w:r w:rsidRPr="00CE4330">
              <w:rPr>
                <w:rFonts w:cs="Arial"/>
                <w:color w:val="000000"/>
                <w:sz w:val="17"/>
                <w:szCs w:val="17"/>
              </w:rPr>
              <w:t xml:space="preserve">Art </w:t>
            </w:r>
            <w:r>
              <w:rPr>
                <w:rFonts w:cs="Arial"/>
                <w:sz w:val="17"/>
                <w:szCs w:val="17"/>
              </w:rPr>
              <w:t>54(1)(a)</w:t>
            </w:r>
          </w:p>
        </w:tc>
        <w:tc>
          <w:tcPr>
            <w:tcW w:w="178" w:type="pct"/>
            <w:shd w:val="clear" w:color="auto" w:fill="EAF1DD" w:themeFill="accent3" w:themeFillTint="33"/>
            <w:vAlign w:val="bottom"/>
          </w:tcPr>
          <w:p w14:paraId="1ECE13DB"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62DC85E2"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41091A53"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1543B939"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622575BB"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52225F59"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0BB0C010"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16C4DA6A"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18FBDB9E"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1124FE57"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533DFD16"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0C2318A6"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vAlign w:val="bottom"/>
          </w:tcPr>
          <w:p w14:paraId="3975621C"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vAlign w:val="bottom"/>
          </w:tcPr>
          <w:p w14:paraId="6741A2C9"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vAlign w:val="bottom"/>
          </w:tcPr>
          <w:p w14:paraId="5C0EF852"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vAlign w:val="bottom"/>
          </w:tcPr>
          <w:p w14:paraId="455952EE"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vAlign w:val="bottom"/>
          </w:tcPr>
          <w:p w14:paraId="0ECF58F1"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4393DF48"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1AE99CCF"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0F3167E6"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756BACF5"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3ED71B01"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5D33D3B2"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284D47CE"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37C87224" w14:textId="77777777" w:rsidR="000005F4" w:rsidRPr="00CE4330" w:rsidRDefault="000005F4" w:rsidP="000005F4">
            <w:pPr>
              <w:pStyle w:val="TableTextNoSpace"/>
              <w:jc w:val="center"/>
              <w:rPr>
                <w:rFonts w:cs="Arial"/>
                <w:sz w:val="18"/>
                <w:szCs w:val="18"/>
              </w:rPr>
            </w:pPr>
          </w:p>
        </w:tc>
      </w:tr>
      <w:tr w:rsidR="000005F4" w14:paraId="6BE39ABD" w14:textId="77777777" w:rsidTr="000005F4">
        <w:tc>
          <w:tcPr>
            <w:tcW w:w="553" w:type="pct"/>
            <w:shd w:val="clear" w:color="auto" w:fill="auto"/>
          </w:tcPr>
          <w:p w14:paraId="7E30DE4A" w14:textId="77777777" w:rsidR="000005F4" w:rsidRPr="00CE4330" w:rsidRDefault="000005F4" w:rsidP="000005F4">
            <w:pPr>
              <w:pStyle w:val="TableTextNoSpace"/>
              <w:rPr>
                <w:rFonts w:cs="Arial"/>
                <w:sz w:val="17"/>
                <w:szCs w:val="17"/>
              </w:rPr>
            </w:pPr>
            <w:r w:rsidRPr="00CE4330">
              <w:rPr>
                <w:rFonts w:cs="Arial"/>
                <w:color w:val="000000"/>
                <w:sz w:val="17"/>
                <w:szCs w:val="17"/>
              </w:rPr>
              <w:t xml:space="preserve">Art </w:t>
            </w:r>
            <w:r w:rsidRPr="00CE4330">
              <w:rPr>
                <w:rFonts w:cs="Arial"/>
                <w:sz w:val="17"/>
                <w:szCs w:val="17"/>
              </w:rPr>
              <w:t xml:space="preserve">54(1)(b) </w:t>
            </w:r>
          </w:p>
        </w:tc>
        <w:tc>
          <w:tcPr>
            <w:tcW w:w="178" w:type="pct"/>
            <w:shd w:val="clear" w:color="auto" w:fill="auto"/>
            <w:vAlign w:val="bottom"/>
          </w:tcPr>
          <w:p w14:paraId="33CCA688" w14:textId="77777777" w:rsidR="000005F4" w:rsidRPr="00CE4330" w:rsidRDefault="000005F4" w:rsidP="000005F4">
            <w:pPr>
              <w:pStyle w:val="TableTextNoSpace"/>
              <w:jc w:val="center"/>
              <w:rPr>
                <w:rFonts w:cs="Arial"/>
                <w:sz w:val="18"/>
                <w:szCs w:val="18"/>
              </w:rPr>
            </w:pPr>
          </w:p>
        </w:tc>
        <w:tc>
          <w:tcPr>
            <w:tcW w:w="178" w:type="pct"/>
            <w:shd w:val="clear" w:color="auto" w:fill="auto"/>
            <w:vAlign w:val="bottom"/>
          </w:tcPr>
          <w:p w14:paraId="4D1D8DBE" w14:textId="77777777" w:rsidR="000005F4" w:rsidRPr="00CE4330" w:rsidRDefault="000005F4" w:rsidP="000005F4">
            <w:pPr>
              <w:pStyle w:val="TableTextNoSpace"/>
              <w:jc w:val="center"/>
              <w:rPr>
                <w:rFonts w:cs="Arial"/>
                <w:sz w:val="18"/>
                <w:szCs w:val="18"/>
              </w:rPr>
            </w:pPr>
          </w:p>
        </w:tc>
        <w:tc>
          <w:tcPr>
            <w:tcW w:w="178" w:type="pct"/>
            <w:shd w:val="clear" w:color="auto" w:fill="auto"/>
            <w:vAlign w:val="bottom"/>
          </w:tcPr>
          <w:p w14:paraId="01D37FCE" w14:textId="77777777" w:rsidR="000005F4" w:rsidRPr="00CE4330" w:rsidRDefault="000005F4" w:rsidP="000005F4">
            <w:pPr>
              <w:pStyle w:val="TableTextNoSpace"/>
              <w:jc w:val="center"/>
              <w:rPr>
                <w:rFonts w:cs="Arial"/>
                <w:sz w:val="18"/>
                <w:szCs w:val="18"/>
              </w:rPr>
            </w:pPr>
          </w:p>
        </w:tc>
        <w:tc>
          <w:tcPr>
            <w:tcW w:w="178" w:type="pct"/>
            <w:shd w:val="clear" w:color="auto" w:fill="auto"/>
            <w:vAlign w:val="bottom"/>
          </w:tcPr>
          <w:p w14:paraId="29DAA3C8" w14:textId="77777777" w:rsidR="000005F4" w:rsidRPr="00CE4330" w:rsidRDefault="000005F4" w:rsidP="000005F4">
            <w:pPr>
              <w:pStyle w:val="TableTextNoSpace"/>
              <w:jc w:val="center"/>
              <w:rPr>
                <w:rFonts w:cs="Arial"/>
                <w:sz w:val="18"/>
                <w:szCs w:val="18"/>
              </w:rPr>
            </w:pPr>
          </w:p>
        </w:tc>
        <w:tc>
          <w:tcPr>
            <w:tcW w:w="178" w:type="pct"/>
            <w:shd w:val="clear" w:color="auto" w:fill="auto"/>
            <w:vAlign w:val="bottom"/>
          </w:tcPr>
          <w:p w14:paraId="43C9EE00" w14:textId="77777777" w:rsidR="000005F4" w:rsidRPr="00CE4330" w:rsidRDefault="000005F4" w:rsidP="000005F4">
            <w:pPr>
              <w:pStyle w:val="TableTextNoSpace"/>
              <w:jc w:val="center"/>
              <w:rPr>
                <w:rFonts w:cs="Arial"/>
                <w:sz w:val="18"/>
                <w:szCs w:val="18"/>
              </w:rPr>
            </w:pPr>
          </w:p>
        </w:tc>
        <w:tc>
          <w:tcPr>
            <w:tcW w:w="178" w:type="pct"/>
            <w:shd w:val="clear" w:color="auto" w:fill="auto"/>
            <w:vAlign w:val="bottom"/>
          </w:tcPr>
          <w:p w14:paraId="34BC4546" w14:textId="77777777" w:rsidR="000005F4" w:rsidRPr="00CE4330" w:rsidRDefault="000005F4" w:rsidP="000005F4">
            <w:pPr>
              <w:pStyle w:val="TableTextNoSpace"/>
              <w:jc w:val="center"/>
              <w:rPr>
                <w:rFonts w:cs="Arial"/>
                <w:sz w:val="18"/>
                <w:szCs w:val="18"/>
              </w:rPr>
            </w:pPr>
          </w:p>
        </w:tc>
        <w:tc>
          <w:tcPr>
            <w:tcW w:w="178" w:type="pct"/>
            <w:shd w:val="clear" w:color="auto" w:fill="auto"/>
            <w:vAlign w:val="bottom"/>
          </w:tcPr>
          <w:p w14:paraId="35BA6F03" w14:textId="77777777" w:rsidR="000005F4" w:rsidRPr="00CE4330" w:rsidRDefault="000005F4" w:rsidP="000005F4">
            <w:pPr>
              <w:pStyle w:val="TableTextNoSpace"/>
              <w:jc w:val="center"/>
              <w:rPr>
                <w:rFonts w:cs="Arial"/>
                <w:sz w:val="18"/>
                <w:szCs w:val="18"/>
              </w:rPr>
            </w:pPr>
          </w:p>
        </w:tc>
        <w:tc>
          <w:tcPr>
            <w:tcW w:w="178" w:type="pct"/>
            <w:shd w:val="clear" w:color="auto" w:fill="auto"/>
            <w:vAlign w:val="bottom"/>
          </w:tcPr>
          <w:p w14:paraId="4C41A519" w14:textId="77777777" w:rsidR="000005F4" w:rsidRPr="00CE4330" w:rsidRDefault="000005F4" w:rsidP="000005F4">
            <w:pPr>
              <w:pStyle w:val="TableTextNoSpace"/>
              <w:jc w:val="center"/>
              <w:rPr>
                <w:rFonts w:cs="Arial"/>
                <w:sz w:val="18"/>
                <w:szCs w:val="18"/>
              </w:rPr>
            </w:pPr>
          </w:p>
        </w:tc>
        <w:tc>
          <w:tcPr>
            <w:tcW w:w="178" w:type="pct"/>
            <w:shd w:val="clear" w:color="auto" w:fill="auto"/>
            <w:vAlign w:val="bottom"/>
          </w:tcPr>
          <w:p w14:paraId="0D679636" w14:textId="77777777" w:rsidR="000005F4" w:rsidRPr="00CE4330" w:rsidRDefault="000005F4" w:rsidP="000005F4">
            <w:pPr>
              <w:pStyle w:val="TableTextNoSpace"/>
              <w:jc w:val="center"/>
              <w:rPr>
                <w:rFonts w:cs="Arial"/>
                <w:sz w:val="18"/>
                <w:szCs w:val="18"/>
              </w:rPr>
            </w:pPr>
          </w:p>
        </w:tc>
        <w:tc>
          <w:tcPr>
            <w:tcW w:w="178" w:type="pct"/>
            <w:shd w:val="clear" w:color="auto" w:fill="auto"/>
            <w:vAlign w:val="bottom"/>
          </w:tcPr>
          <w:p w14:paraId="59FA5F32" w14:textId="77777777" w:rsidR="000005F4" w:rsidRPr="00CE4330" w:rsidRDefault="000005F4" w:rsidP="000005F4">
            <w:pPr>
              <w:pStyle w:val="TableTextNoSpace"/>
              <w:jc w:val="center"/>
              <w:rPr>
                <w:rFonts w:cs="Arial"/>
                <w:sz w:val="18"/>
                <w:szCs w:val="18"/>
              </w:rPr>
            </w:pPr>
          </w:p>
        </w:tc>
        <w:tc>
          <w:tcPr>
            <w:tcW w:w="178" w:type="pct"/>
            <w:shd w:val="clear" w:color="auto" w:fill="auto"/>
            <w:vAlign w:val="bottom"/>
          </w:tcPr>
          <w:p w14:paraId="7522E93D" w14:textId="77777777" w:rsidR="000005F4" w:rsidRPr="00CE4330" w:rsidRDefault="000005F4" w:rsidP="000005F4">
            <w:pPr>
              <w:pStyle w:val="TableTextNoSpace"/>
              <w:jc w:val="center"/>
              <w:rPr>
                <w:rFonts w:cs="Arial"/>
                <w:sz w:val="18"/>
                <w:szCs w:val="18"/>
              </w:rPr>
            </w:pPr>
          </w:p>
        </w:tc>
        <w:tc>
          <w:tcPr>
            <w:tcW w:w="178" w:type="pct"/>
            <w:shd w:val="clear" w:color="auto" w:fill="auto"/>
            <w:vAlign w:val="bottom"/>
          </w:tcPr>
          <w:p w14:paraId="575AAE76" w14:textId="77777777" w:rsidR="000005F4" w:rsidRPr="00CE4330" w:rsidRDefault="000005F4" w:rsidP="000005F4">
            <w:pPr>
              <w:pStyle w:val="TableTextNoSpace"/>
              <w:jc w:val="center"/>
              <w:rPr>
                <w:rFonts w:cs="Arial"/>
                <w:sz w:val="18"/>
                <w:szCs w:val="18"/>
              </w:rPr>
            </w:pPr>
          </w:p>
        </w:tc>
        <w:tc>
          <w:tcPr>
            <w:tcW w:w="178" w:type="pct"/>
            <w:shd w:val="clear" w:color="auto" w:fill="auto"/>
            <w:vAlign w:val="bottom"/>
          </w:tcPr>
          <w:p w14:paraId="4CE3D4E2"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auto"/>
            <w:vAlign w:val="bottom"/>
          </w:tcPr>
          <w:p w14:paraId="5B6AD125"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auto"/>
            <w:vAlign w:val="bottom"/>
          </w:tcPr>
          <w:p w14:paraId="2BE659A0" w14:textId="77777777" w:rsidR="000005F4" w:rsidRPr="00CE4330" w:rsidRDefault="000005F4" w:rsidP="000005F4">
            <w:pPr>
              <w:pStyle w:val="TableTextNoSpace"/>
              <w:jc w:val="center"/>
              <w:rPr>
                <w:rFonts w:cs="Arial"/>
                <w:sz w:val="18"/>
                <w:szCs w:val="18"/>
              </w:rPr>
            </w:pPr>
          </w:p>
        </w:tc>
        <w:tc>
          <w:tcPr>
            <w:tcW w:w="178" w:type="pct"/>
            <w:shd w:val="clear" w:color="auto" w:fill="auto"/>
            <w:vAlign w:val="bottom"/>
          </w:tcPr>
          <w:p w14:paraId="3F091928" w14:textId="77777777" w:rsidR="000005F4" w:rsidRPr="00CE4330" w:rsidRDefault="000005F4" w:rsidP="000005F4">
            <w:pPr>
              <w:pStyle w:val="TableTextNoSpace"/>
              <w:jc w:val="center"/>
              <w:rPr>
                <w:rFonts w:cs="Arial"/>
                <w:sz w:val="18"/>
                <w:szCs w:val="18"/>
              </w:rPr>
            </w:pPr>
          </w:p>
        </w:tc>
        <w:tc>
          <w:tcPr>
            <w:tcW w:w="178" w:type="pct"/>
            <w:shd w:val="clear" w:color="auto" w:fill="auto"/>
            <w:vAlign w:val="bottom"/>
          </w:tcPr>
          <w:p w14:paraId="5B16D8B0" w14:textId="77777777" w:rsidR="000005F4" w:rsidRPr="00CE4330" w:rsidRDefault="000005F4" w:rsidP="000005F4">
            <w:pPr>
              <w:pStyle w:val="TableTextNoSpace"/>
              <w:jc w:val="center"/>
              <w:rPr>
                <w:rFonts w:cs="Arial"/>
                <w:sz w:val="18"/>
                <w:szCs w:val="18"/>
              </w:rPr>
            </w:pPr>
          </w:p>
        </w:tc>
        <w:tc>
          <w:tcPr>
            <w:tcW w:w="178" w:type="pct"/>
            <w:shd w:val="clear" w:color="auto" w:fill="auto"/>
            <w:vAlign w:val="bottom"/>
          </w:tcPr>
          <w:p w14:paraId="1683CAE1" w14:textId="77777777" w:rsidR="000005F4" w:rsidRPr="00CE4330" w:rsidRDefault="000005F4" w:rsidP="000005F4">
            <w:pPr>
              <w:pStyle w:val="TableTextNoSpace"/>
              <w:jc w:val="center"/>
              <w:rPr>
                <w:rFonts w:cs="Arial"/>
                <w:sz w:val="18"/>
                <w:szCs w:val="18"/>
              </w:rPr>
            </w:pPr>
          </w:p>
        </w:tc>
        <w:tc>
          <w:tcPr>
            <w:tcW w:w="178" w:type="pct"/>
            <w:vAlign w:val="bottom"/>
          </w:tcPr>
          <w:p w14:paraId="590AE5A4" w14:textId="77777777" w:rsidR="000005F4" w:rsidRPr="00CE4330" w:rsidRDefault="000005F4" w:rsidP="000005F4">
            <w:pPr>
              <w:pStyle w:val="TableTextNoSpace"/>
              <w:jc w:val="center"/>
              <w:rPr>
                <w:rFonts w:cs="Arial"/>
                <w:sz w:val="18"/>
                <w:szCs w:val="18"/>
              </w:rPr>
            </w:pPr>
          </w:p>
        </w:tc>
        <w:tc>
          <w:tcPr>
            <w:tcW w:w="178" w:type="pct"/>
            <w:vAlign w:val="bottom"/>
          </w:tcPr>
          <w:p w14:paraId="12189E7F" w14:textId="77777777" w:rsidR="000005F4" w:rsidRPr="00CE4330" w:rsidRDefault="000005F4" w:rsidP="000005F4">
            <w:pPr>
              <w:pStyle w:val="TableTextNoSpace"/>
              <w:jc w:val="center"/>
              <w:rPr>
                <w:rFonts w:cs="Arial"/>
                <w:sz w:val="18"/>
                <w:szCs w:val="18"/>
              </w:rPr>
            </w:pPr>
          </w:p>
        </w:tc>
        <w:tc>
          <w:tcPr>
            <w:tcW w:w="178" w:type="pct"/>
            <w:vAlign w:val="bottom"/>
          </w:tcPr>
          <w:p w14:paraId="5585206A" w14:textId="77777777" w:rsidR="000005F4" w:rsidRPr="00CE4330" w:rsidRDefault="000005F4" w:rsidP="000005F4">
            <w:pPr>
              <w:pStyle w:val="TableTextNoSpace"/>
              <w:jc w:val="center"/>
              <w:rPr>
                <w:rFonts w:cs="Arial"/>
                <w:sz w:val="18"/>
                <w:szCs w:val="18"/>
              </w:rPr>
            </w:pPr>
          </w:p>
        </w:tc>
        <w:tc>
          <w:tcPr>
            <w:tcW w:w="178" w:type="pct"/>
            <w:vAlign w:val="bottom"/>
          </w:tcPr>
          <w:p w14:paraId="6F3957C6" w14:textId="77777777" w:rsidR="000005F4" w:rsidRPr="00CE4330" w:rsidRDefault="000005F4" w:rsidP="000005F4">
            <w:pPr>
              <w:pStyle w:val="TableTextNoSpace"/>
              <w:jc w:val="center"/>
              <w:rPr>
                <w:rFonts w:cs="Arial"/>
                <w:sz w:val="18"/>
                <w:szCs w:val="18"/>
              </w:rPr>
            </w:pPr>
          </w:p>
        </w:tc>
        <w:tc>
          <w:tcPr>
            <w:tcW w:w="178" w:type="pct"/>
            <w:vAlign w:val="bottom"/>
          </w:tcPr>
          <w:p w14:paraId="05E93BE6" w14:textId="77777777" w:rsidR="000005F4" w:rsidRPr="00CE4330" w:rsidRDefault="000005F4" w:rsidP="000005F4">
            <w:pPr>
              <w:pStyle w:val="TableTextNoSpace"/>
              <w:jc w:val="center"/>
              <w:rPr>
                <w:rFonts w:cs="Arial"/>
                <w:sz w:val="18"/>
                <w:szCs w:val="18"/>
              </w:rPr>
            </w:pPr>
          </w:p>
        </w:tc>
        <w:tc>
          <w:tcPr>
            <w:tcW w:w="178" w:type="pct"/>
            <w:vAlign w:val="bottom"/>
          </w:tcPr>
          <w:p w14:paraId="5FAB887F" w14:textId="77777777" w:rsidR="000005F4" w:rsidRPr="00CE4330" w:rsidRDefault="000005F4" w:rsidP="000005F4">
            <w:pPr>
              <w:pStyle w:val="TableTextNoSpace"/>
              <w:jc w:val="center"/>
              <w:rPr>
                <w:rFonts w:cs="Arial"/>
                <w:sz w:val="18"/>
                <w:szCs w:val="18"/>
              </w:rPr>
            </w:pPr>
          </w:p>
        </w:tc>
        <w:tc>
          <w:tcPr>
            <w:tcW w:w="178" w:type="pct"/>
            <w:shd w:val="clear" w:color="auto" w:fill="auto"/>
            <w:vAlign w:val="bottom"/>
          </w:tcPr>
          <w:p w14:paraId="52A054D7" w14:textId="77777777" w:rsidR="000005F4" w:rsidRPr="00CE4330" w:rsidRDefault="000005F4" w:rsidP="000005F4">
            <w:pPr>
              <w:pStyle w:val="TableTextNoSpace"/>
              <w:jc w:val="center"/>
              <w:rPr>
                <w:rFonts w:cs="Arial"/>
                <w:sz w:val="18"/>
                <w:szCs w:val="18"/>
              </w:rPr>
            </w:pPr>
          </w:p>
        </w:tc>
      </w:tr>
      <w:tr w:rsidR="000005F4" w14:paraId="757EB6A0" w14:textId="77777777" w:rsidTr="000005F4">
        <w:tc>
          <w:tcPr>
            <w:tcW w:w="553" w:type="pct"/>
            <w:shd w:val="clear" w:color="auto" w:fill="auto"/>
          </w:tcPr>
          <w:p w14:paraId="15B42E50" w14:textId="77777777" w:rsidR="000005F4" w:rsidRPr="00CE4330" w:rsidRDefault="000005F4" w:rsidP="000005F4">
            <w:pPr>
              <w:pStyle w:val="TableTextNoSpace"/>
              <w:rPr>
                <w:rFonts w:cs="Arial"/>
                <w:sz w:val="17"/>
                <w:szCs w:val="17"/>
              </w:rPr>
            </w:pPr>
            <w:r w:rsidRPr="00CE4330">
              <w:rPr>
                <w:rFonts w:cs="Arial"/>
                <w:color w:val="000000"/>
                <w:sz w:val="17"/>
                <w:szCs w:val="17"/>
              </w:rPr>
              <w:t xml:space="preserve">Art </w:t>
            </w:r>
            <w:r w:rsidRPr="00CE4330">
              <w:rPr>
                <w:rFonts w:cs="Arial"/>
                <w:sz w:val="17"/>
                <w:szCs w:val="17"/>
              </w:rPr>
              <w:t xml:space="preserve">63 </w:t>
            </w:r>
          </w:p>
        </w:tc>
        <w:tc>
          <w:tcPr>
            <w:tcW w:w="178" w:type="pct"/>
            <w:shd w:val="clear" w:color="auto" w:fill="auto"/>
            <w:vAlign w:val="bottom"/>
          </w:tcPr>
          <w:p w14:paraId="3C616B09" w14:textId="77777777" w:rsidR="000005F4" w:rsidRPr="00CE4330" w:rsidRDefault="000005F4" w:rsidP="000005F4">
            <w:pPr>
              <w:pStyle w:val="TableTextNoSpace"/>
              <w:jc w:val="center"/>
              <w:rPr>
                <w:rFonts w:cs="Arial"/>
                <w:sz w:val="18"/>
                <w:szCs w:val="18"/>
              </w:rPr>
            </w:pPr>
          </w:p>
        </w:tc>
        <w:tc>
          <w:tcPr>
            <w:tcW w:w="178" w:type="pct"/>
            <w:shd w:val="clear" w:color="auto" w:fill="auto"/>
            <w:vAlign w:val="bottom"/>
          </w:tcPr>
          <w:p w14:paraId="0054060D" w14:textId="77777777" w:rsidR="000005F4" w:rsidRPr="00CE4330" w:rsidRDefault="000005F4" w:rsidP="000005F4">
            <w:pPr>
              <w:pStyle w:val="TableTextNoSpace"/>
              <w:jc w:val="center"/>
              <w:rPr>
                <w:rFonts w:cs="Arial"/>
                <w:sz w:val="18"/>
                <w:szCs w:val="18"/>
              </w:rPr>
            </w:pPr>
          </w:p>
        </w:tc>
        <w:tc>
          <w:tcPr>
            <w:tcW w:w="178" w:type="pct"/>
            <w:shd w:val="clear" w:color="auto" w:fill="auto"/>
            <w:vAlign w:val="bottom"/>
          </w:tcPr>
          <w:p w14:paraId="3278C2AB" w14:textId="77777777" w:rsidR="000005F4" w:rsidRPr="00CE4330" w:rsidRDefault="000005F4" w:rsidP="000005F4">
            <w:pPr>
              <w:pStyle w:val="TableTextNoSpace"/>
              <w:jc w:val="center"/>
              <w:rPr>
                <w:rFonts w:cs="Arial"/>
                <w:sz w:val="18"/>
                <w:szCs w:val="18"/>
              </w:rPr>
            </w:pPr>
          </w:p>
        </w:tc>
        <w:tc>
          <w:tcPr>
            <w:tcW w:w="178" w:type="pct"/>
            <w:shd w:val="clear" w:color="auto" w:fill="auto"/>
            <w:vAlign w:val="bottom"/>
          </w:tcPr>
          <w:p w14:paraId="5DD0D876" w14:textId="77777777" w:rsidR="000005F4" w:rsidRPr="00CE4330" w:rsidRDefault="000005F4" w:rsidP="000005F4">
            <w:pPr>
              <w:pStyle w:val="TableTextNoSpace"/>
              <w:jc w:val="center"/>
              <w:rPr>
                <w:rFonts w:cs="Arial"/>
                <w:sz w:val="18"/>
                <w:szCs w:val="18"/>
              </w:rPr>
            </w:pPr>
          </w:p>
        </w:tc>
        <w:tc>
          <w:tcPr>
            <w:tcW w:w="178" w:type="pct"/>
            <w:shd w:val="clear" w:color="auto" w:fill="auto"/>
            <w:vAlign w:val="bottom"/>
          </w:tcPr>
          <w:p w14:paraId="300D13E4" w14:textId="77777777" w:rsidR="000005F4" w:rsidRPr="00CE4330" w:rsidRDefault="000005F4" w:rsidP="000005F4">
            <w:pPr>
              <w:pStyle w:val="TableTextNoSpace"/>
              <w:jc w:val="center"/>
              <w:rPr>
                <w:rFonts w:cs="Arial"/>
                <w:sz w:val="18"/>
                <w:szCs w:val="18"/>
              </w:rPr>
            </w:pPr>
          </w:p>
        </w:tc>
        <w:tc>
          <w:tcPr>
            <w:tcW w:w="178" w:type="pct"/>
            <w:shd w:val="clear" w:color="auto" w:fill="auto"/>
            <w:vAlign w:val="bottom"/>
          </w:tcPr>
          <w:p w14:paraId="00C0D053" w14:textId="77777777" w:rsidR="000005F4" w:rsidRPr="00CE4330" w:rsidRDefault="000005F4" w:rsidP="000005F4">
            <w:pPr>
              <w:pStyle w:val="TableTextNoSpace"/>
              <w:jc w:val="center"/>
              <w:rPr>
                <w:rFonts w:cs="Arial"/>
                <w:sz w:val="18"/>
                <w:szCs w:val="18"/>
              </w:rPr>
            </w:pPr>
          </w:p>
        </w:tc>
        <w:tc>
          <w:tcPr>
            <w:tcW w:w="178" w:type="pct"/>
            <w:shd w:val="clear" w:color="auto" w:fill="auto"/>
            <w:vAlign w:val="bottom"/>
          </w:tcPr>
          <w:p w14:paraId="0004A000"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auto"/>
            <w:vAlign w:val="bottom"/>
          </w:tcPr>
          <w:p w14:paraId="4C7ADB0B" w14:textId="77777777" w:rsidR="000005F4" w:rsidRPr="00CE4330" w:rsidRDefault="000005F4" w:rsidP="000005F4">
            <w:pPr>
              <w:pStyle w:val="TableTextNoSpace"/>
              <w:jc w:val="center"/>
              <w:rPr>
                <w:rFonts w:cs="Arial"/>
                <w:sz w:val="18"/>
                <w:szCs w:val="18"/>
              </w:rPr>
            </w:pPr>
          </w:p>
        </w:tc>
        <w:tc>
          <w:tcPr>
            <w:tcW w:w="178" w:type="pct"/>
            <w:shd w:val="clear" w:color="auto" w:fill="auto"/>
            <w:vAlign w:val="bottom"/>
          </w:tcPr>
          <w:p w14:paraId="20321F6F" w14:textId="77777777" w:rsidR="000005F4" w:rsidRPr="00CE4330" w:rsidRDefault="000005F4" w:rsidP="000005F4">
            <w:pPr>
              <w:pStyle w:val="TableTextNoSpace"/>
              <w:jc w:val="center"/>
              <w:rPr>
                <w:rFonts w:cs="Arial"/>
                <w:sz w:val="18"/>
                <w:szCs w:val="18"/>
              </w:rPr>
            </w:pPr>
          </w:p>
        </w:tc>
        <w:tc>
          <w:tcPr>
            <w:tcW w:w="178" w:type="pct"/>
            <w:shd w:val="clear" w:color="auto" w:fill="auto"/>
            <w:vAlign w:val="bottom"/>
          </w:tcPr>
          <w:p w14:paraId="3DEC9820" w14:textId="77777777" w:rsidR="000005F4" w:rsidRPr="00CE4330" w:rsidRDefault="000005F4" w:rsidP="000005F4">
            <w:pPr>
              <w:pStyle w:val="TableTextNoSpace"/>
              <w:jc w:val="center"/>
              <w:rPr>
                <w:rFonts w:cs="Arial"/>
                <w:sz w:val="18"/>
                <w:szCs w:val="18"/>
              </w:rPr>
            </w:pPr>
          </w:p>
        </w:tc>
        <w:tc>
          <w:tcPr>
            <w:tcW w:w="178" w:type="pct"/>
            <w:shd w:val="clear" w:color="auto" w:fill="auto"/>
            <w:vAlign w:val="bottom"/>
          </w:tcPr>
          <w:p w14:paraId="3894E34F" w14:textId="77777777" w:rsidR="000005F4" w:rsidRPr="00CE4330" w:rsidRDefault="000005F4" w:rsidP="000005F4">
            <w:pPr>
              <w:pStyle w:val="TableTextNoSpace"/>
              <w:jc w:val="center"/>
              <w:rPr>
                <w:rFonts w:cs="Arial"/>
                <w:sz w:val="18"/>
                <w:szCs w:val="18"/>
              </w:rPr>
            </w:pPr>
          </w:p>
        </w:tc>
        <w:tc>
          <w:tcPr>
            <w:tcW w:w="178" w:type="pct"/>
            <w:shd w:val="clear" w:color="auto" w:fill="auto"/>
            <w:vAlign w:val="bottom"/>
          </w:tcPr>
          <w:p w14:paraId="42E125D1" w14:textId="77777777" w:rsidR="000005F4" w:rsidRPr="00CE4330" w:rsidRDefault="000005F4" w:rsidP="000005F4">
            <w:pPr>
              <w:pStyle w:val="TableTextNoSpace"/>
              <w:jc w:val="center"/>
              <w:rPr>
                <w:rFonts w:cs="Arial"/>
                <w:sz w:val="18"/>
                <w:szCs w:val="18"/>
              </w:rPr>
            </w:pPr>
          </w:p>
        </w:tc>
        <w:tc>
          <w:tcPr>
            <w:tcW w:w="178" w:type="pct"/>
            <w:shd w:val="clear" w:color="auto" w:fill="auto"/>
            <w:vAlign w:val="bottom"/>
          </w:tcPr>
          <w:p w14:paraId="52748DC7" w14:textId="77777777" w:rsidR="000005F4" w:rsidRPr="00CE4330" w:rsidRDefault="000005F4" w:rsidP="000005F4">
            <w:pPr>
              <w:pStyle w:val="TableTextNoSpace"/>
              <w:jc w:val="center"/>
              <w:rPr>
                <w:rFonts w:cs="Arial"/>
                <w:sz w:val="18"/>
                <w:szCs w:val="18"/>
              </w:rPr>
            </w:pPr>
          </w:p>
        </w:tc>
        <w:tc>
          <w:tcPr>
            <w:tcW w:w="178" w:type="pct"/>
            <w:shd w:val="clear" w:color="auto" w:fill="auto"/>
            <w:vAlign w:val="bottom"/>
          </w:tcPr>
          <w:p w14:paraId="5C6FF6BD" w14:textId="77777777" w:rsidR="000005F4" w:rsidRPr="00CE4330" w:rsidRDefault="000005F4" w:rsidP="000005F4">
            <w:pPr>
              <w:pStyle w:val="TableTextNoSpace"/>
              <w:jc w:val="center"/>
              <w:rPr>
                <w:rFonts w:cs="Arial"/>
                <w:sz w:val="18"/>
                <w:szCs w:val="18"/>
              </w:rPr>
            </w:pPr>
          </w:p>
        </w:tc>
        <w:tc>
          <w:tcPr>
            <w:tcW w:w="178" w:type="pct"/>
            <w:shd w:val="clear" w:color="auto" w:fill="auto"/>
            <w:vAlign w:val="bottom"/>
          </w:tcPr>
          <w:p w14:paraId="4E599CA2" w14:textId="77777777" w:rsidR="000005F4" w:rsidRPr="00CE4330" w:rsidRDefault="000005F4" w:rsidP="000005F4">
            <w:pPr>
              <w:pStyle w:val="TableTextNoSpace"/>
              <w:jc w:val="center"/>
              <w:rPr>
                <w:rFonts w:cs="Arial"/>
                <w:sz w:val="18"/>
                <w:szCs w:val="18"/>
              </w:rPr>
            </w:pPr>
          </w:p>
        </w:tc>
        <w:tc>
          <w:tcPr>
            <w:tcW w:w="178" w:type="pct"/>
            <w:shd w:val="clear" w:color="auto" w:fill="auto"/>
            <w:vAlign w:val="bottom"/>
          </w:tcPr>
          <w:p w14:paraId="5EDAC2E0" w14:textId="77777777" w:rsidR="000005F4" w:rsidRPr="00CE4330" w:rsidRDefault="000005F4" w:rsidP="000005F4">
            <w:pPr>
              <w:pStyle w:val="TableTextNoSpace"/>
              <w:jc w:val="center"/>
              <w:rPr>
                <w:rFonts w:cs="Arial"/>
                <w:sz w:val="18"/>
                <w:szCs w:val="18"/>
              </w:rPr>
            </w:pPr>
          </w:p>
        </w:tc>
        <w:tc>
          <w:tcPr>
            <w:tcW w:w="178" w:type="pct"/>
            <w:shd w:val="clear" w:color="auto" w:fill="auto"/>
            <w:vAlign w:val="bottom"/>
          </w:tcPr>
          <w:p w14:paraId="0972E4EB" w14:textId="77777777" w:rsidR="000005F4" w:rsidRPr="00CE4330" w:rsidRDefault="000005F4" w:rsidP="000005F4">
            <w:pPr>
              <w:pStyle w:val="TableTextNoSpace"/>
              <w:jc w:val="center"/>
              <w:rPr>
                <w:rFonts w:cs="Arial"/>
                <w:sz w:val="18"/>
                <w:szCs w:val="18"/>
              </w:rPr>
            </w:pPr>
          </w:p>
        </w:tc>
        <w:tc>
          <w:tcPr>
            <w:tcW w:w="178" w:type="pct"/>
            <w:shd w:val="clear" w:color="auto" w:fill="auto"/>
            <w:vAlign w:val="bottom"/>
          </w:tcPr>
          <w:p w14:paraId="17C4C12C" w14:textId="77777777" w:rsidR="000005F4" w:rsidRPr="00CE4330" w:rsidRDefault="000005F4" w:rsidP="000005F4">
            <w:pPr>
              <w:pStyle w:val="TableTextNoSpace"/>
              <w:jc w:val="center"/>
              <w:rPr>
                <w:rFonts w:cs="Arial"/>
                <w:sz w:val="18"/>
                <w:szCs w:val="18"/>
              </w:rPr>
            </w:pPr>
          </w:p>
        </w:tc>
        <w:tc>
          <w:tcPr>
            <w:tcW w:w="178" w:type="pct"/>
            <w:vAlign w:val="bottom"/>
          </w:tcPr>
          <w:p w14:paraId="7233787E" w14:textId="77777777" w:rsidR="000005F4" w:rsidRPr="00CE4330" w:rsidRDefault="000005F4" w:rsidP="000005F4">
            <w:pPr>
              <w:pStyle w:val="TableTextNoSpace"/>
              <w:jc w:val="center"/>
              <w:rPr>
                <w:rFonts w:cs="Arial"/>
                <w:sz w:val="18"/>
                <w:szCs w:val="18"/>
              </w:rPr>
            </w:pPr>
          </w:p>
        </w:tc>
        <w:tc>
          <w:tcPr>
            <w:tcW w:w="178" w:type="pct"/>
            <w:vAlign w:val="bottom"/>
          </w:tcPr>
          <w:p w14:paraId="3BA26CDD" w14:textId="77777777" w:rsidR="000005F4" w:rsidRPr="00CE4330" w:rsidRDefault="000005F4" w:rsidP="000005F4">
            <w:pPr>
              <w:pStyle w:val="TableTextNoSpace"/>
              <w:jc w:val="center"/>
              <w:rPr>
                <w:rFonts w:cs="Arial"/>
                <w:sz w:val="18"/>
                <w:szCs w:val="18"/>
              </w:rPr>
            </w:pPr>
          </w:p>
        </w:tc>
        <w:tc>
          <w:tcPr>
            <w:tcW w:w="178" w:type="pct"/>
            <w:vAlign w:val="bottom"/>
          </w:tcPr>
          <w:p w14:paraId="6137341F" w14:textId="77777777" w:rsidR="000005F4" w:rsidRPr="00CE4330" w:rsidRDefault="000005F4" w:rsidP="000005F4">
            <w:pPr>
              <w:pStyle w:val="TableTextNoSpace"/>
              <w:jc w:val="center"/>
              <w:rPr>
                <w:rFonts w:cs="Arial"/>
                <w:sz w:val="18"/>
                <w:szCs w:val="18"/>
              </w:rPr>
            </w:pPr>
          </w:p>
        </w:tc>
        <w:tc>
          <w:tcPr>
            <w:tcW w:w="178" w:type="pct"/>
            <w:vAlign w:val="bottom"/>
          </w:tcPr>
          <w:p w14:paraId="1DD7814D" w14:textId="77777777" w:rsidR="000005F4" w:rsidRPr="00CE4330" w:rsidRDefault="000005F4" w:rsidP="000005F4">
            <w:pPr>
              <w:pStyle w:val="TableTextNoSpace"/>
              <w:jc w:val="center"/>
              <w:rPr>
                <w:rFonts w:cs="Arial"/>
                <w:sz w:val="18"/>
                <w:szCs w:val="18"/>
              </w:rPr>
            </w:pPr>
          </w:p>
        </w:tc>
        <w:tc>
          <w:tcPr>
            <w:tcW w:w="178" w:type="pct"/>
            <w:vAlign w:val="bottom"/>
          </w:tcPr>
          <w:p w14:paraId="6F8819FF" w14:textId="77777777" w:rsidR="000005F4" w:rsidRPr="00CE4330" w:rsidRDefault="000005F4" w:rsidP="000005F4">
            <w:pPr>
              <w:pStyle w:val="TableTextNoSpace"/>
              <w:jc w:val="center"/>
              <w:rPr>
                <w:rFonts w:cs="Arial"/>
                <w:sz w:val="18"/>
                <w:szCs w:val="18"/>
              </w:rPr>
            </w:pPr>
          </w:p>
        </w:tc>
        <w:tc>
          <w:tcPr>
            <w:tcW w:w="178" w:type="pct"/>
            <w:vAlign w:val="bottom"/>
          </w:tcPr>
          <w:p w14:paraId="535A4039" w14:textId="77777777" w:rsidR="000005F4" w:rsidRPr="00CE4330" w:rsidRDefault="000005F4" w:rsidP="000005F4">
            <w:pPr>
              <w:pStyle w:val="TableTextNoSpace"/>
              <w:jc w:val="center"/>
              <w:rPr>
                <w:rFonts w:cs="Arial"/>
                <w:sz w:val="18"/>
                <w:szCs w:val="18"/>
              </w:rPr>
            </w:pPr>
          </w:p>
        </w:tc>
        <w:tc>
          <w:tcPr>
            <w:tcW w:w="178" w:type="pct"/>
            <w:shd w:val="clear" w:color="auto" w:fill="auto"/>
            <w:vAlign w:val="bottom"/>
          </w:tcPr>
          <w:p w14:paraId="485EBCD3" w14:textId="77777777" w:rsidR="000005F4" w:rsidRPr="00CE4330" w:rsidRDefault="000005F4" w:rsidP="000005F4">
            <w:pPr>
              <w:pStyle w:val="TableTextNoSpace"/>
              <w:jc w:val="center"/>
              <w:rPr>
                <w:rFonts w:cs="Arial"/>
                <w:sz w:val="18"/>
                <w:szCs w:val="18"/>
              </w:rPr>
            </w:pPr>
          </w:p>
        </w:tc>
      </w:tr>
      <w:tr w:rsidR="000005F4" w14:paraId="3AA5DF86" w14:textId="77777777" w:rsidTr="000005F4">
        <w:tc>
          <w:tcPr>
            <w:tcW w:w="553" w:type="pct"/>
            <w:shd w:val="clear" w:color="auto" w:fill="EAF1DD" w:themeFill="accent3" w:themeFillTint="33"/>
            <w:vAlign w:val="bottom"/>
          </w:tcPr>
          <w:p w14:paraId="19311F60" w14:textId="77777777" w:rsidR="000005F4" w:rsidRPr="00CE4330" w:rsidRDefault="000005F4" w:rsidP="000005F4">
            <w:pPr>
              <w:pStyle w:val="TableTextNoSpace"/>
              <w:rPr>
                <w:rFonts w:cs="Arial"/>
                <w:sz w:val="17"/>
                <w:szCs w:val="17"/>
              </w:rPr>
            </w:pPr>
            <w:r w:rsidRPr="00CE4330">
              <w:rPr>
                <w:rFonts w:cs="Arial"/>
                <w:color w:val="000000"/>
                <w:sz w:val="17"/>
                <w:szCs w:val="17"/>
              </w:rPr>
              <w:t>Art 79</w:t>
            </w:r>
          </w:p>
        </w:tc>
        <w:tc>
          <w:tcPr>
            <w:tcW w:w="178" w:type="pct"/>
            <w:shd w:val="clear" w:color="auto" w:fill="EAF1DD" w:themeFill="accent3" w:themeFillTint="33"/>
            <w:vAlign w:val="bottom"/>
          </w:tcPr>
          <w:p w14:paraId="0C8D541C"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vAlign w:val="bottom"/>
          </w:tcPr>
          <w:p w14:paraId="24E06C6C"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vAlign w:val="bottom"/>
          </w:tcPr>
          <w:p w14:paraId="50AC3231"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vAlign w:val="bottom"/>
          </w:tcPr>
          <w:p w14:paraId="790E5C29"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vAlign w:val="bottom"/>
          </w:tcPr>
          <w:p w14:paraId="36F29358"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vAlign w:val="bottom"/>
          </w:tcPr>
          <w:p w14:paraId="130B79F4"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3A523718"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vAlign w:val="bottom"/>
          </w:tcPr>
          <w:p w14:paraId="7F18690F"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vAlign w:val="bottom"/>
          </w:tcPr>
          <w:p w14:paraId="66836061"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591553DC"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vAlign w:val="bottom"/>
          </w:tcPr>
          <w:p w14:paraId="223F0AF8"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6794A315"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vAlign w:val="bottom"/>
          </w:tcPr>
          <w:p w14:paraId="4C415869"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vAlign w:val="bottom"/>
          </w:tcPr>
          <w:p w14:paraId="01E990AF"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vAlign w:val="bottom"/>
          </w:tcPr>
          <w:p w14:paraId="7860498F"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20F2F7CD" w14:textId="77777777" w:rsidR="000005F4" w:rsidRPr="00CE4330"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24193FD4"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vAlign w:val="bottom"/>
          </w:tcPr>
          <w:p w14:paraId="77B25F03"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vAlign w:val="bottom"/>
          </w:tcPr>
          <w:p w14:paraId="10F3DC5F"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vAlign w:val="bottom"/>
          </w:tcPr>
          <w:p w14:paraId="7659D9BD"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vAlign w:val="bottom"/>
          </w:tcPr>
          <w:p w14:paraId="70030E76"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vAlign w:val="bottom"/>
          </w:tcPr>
          <w:p w14:paraId="404EA6CC"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vAlign w:val="bottom"/>
          </w:tcPr>
          <w:p w14:paraId="2461C989"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vAlign w:val="bottom"/>
          </w:tcPr>
          <w:p w14:paraId="567D560C" w14:textId="77777777" w:rsidR="000005F4" w:rsidRPr="00CE4330" w:rsidRDefault="000005F4" w:rsidP="000005F4">
            <w:pPr>
              <w:pStyle w:val="TableTextNoSpace"/>
              <w:jc w:val="center"/>
              <w:rPr>
                <w:rFonts w:cs="Arial"/>
                <w:sz w:val="18"/>
                <w:szCs w:val="18"/>
              </w:rPr>
            </w:pPr>
            <w:r w:rsidRPr="00CE4330">
              <w:rPr>
                <w:rFonts w:cs="Arial"/>
                <w:color w:val="000000"/>
                <w:sz w:val="18"/>
                <w:szCs w:val="18"/>
              </w:rPr>
              <w:t>x</w:t>
            </w:r>
          </w:p>
        </w:tc>
        <w:tc>
          <w:tcPr>
            <w:tcW w:w="178" w:type="pct"/>
            <w:shd w:val="clear" w:color="auto" w:fill="EAF1DD" w:themeFill="accent3" w:themeFillTint="33"/>
            <w:vAlign w:val="bottom"/>
          </w:tcPr>
          <w:p w14:paraId="215AFCED" w14:textId="77777777" w:rsidR="000005F4" w:rsidRPr="00CE4330" w:rsidRDefault="000005F4" w:rsidP="000005F4">
            <w:pPr>
              <w:pStyle w:val="TableTextNoSpace"/>
              <w:jc w:val="center"/>
              <w:rPr>
                <w:rFonts w:cs="Arial"/>
                <w:sz w:val="18"/>
                <w:szCs w:val="18"/>
              </w:rPr>
            </w:pPr>
          </w:p>
        </w:tc>
      </w:tr>
      <w:tr w:rsidR="000005F4" w14:paraId="1EB6541B" w14:textId="77777777" w:rsidTr="000005F4">
        <w:tc>
          <w:tcPr>
            <w:tcW w:w="553" w:type="pct"/>
            <w:shd w:val="clear" w:color="auto" w:fill="auto"/>
            <w:vAlign w:val="bottom"/>
          </w:tcPr>
          <w:p w14:paraId="087CDFD7" w14:textId="77777777" w:rsidR="000005F4" w:rsidRPr="00CE4330" w:rsidRDefault="000005F4" w:rsidP="000005F4">
            <w:pPr>
              <w:pStyle w:val="TableTextNoSpace"/>
              <w:rPr>
                <w:rFonts w:cs="Arial"/>
                <w:color w:val="000000"/>
                <w:sz w:val="17"/>
                <w:szCs w:val="17"/>
              </w:rPr>
            </w:pPr>
            <w:r>
              <w:rPr>
                <w:rFonts w:cs="Arial"/>
                <w:color w:val="000000"/>
                <w:sz w:val="17"/>
                <w:szCs w:val="17"/>
              </w:rPr>
              <w:t>Overall</w:t>
            </w:r>
          </w:p>
        </w:tc>
        <w:tc>
          <w:tcPr>
            <w:tcW w:w="178" w:type="pct"/>
            <w:shd w:val="clear" w:color="auto" w:fill="auto"/>
            <w:vAlign w:val="bottom"/>
          </w:tcPr>
          <w:p w14:paraId="39A3EB83" w14:textId="77777777" w:rsidR="000005F4" w:rsidRPr="00CE4330" w:rsidRDefault="000005F4" w:rsidP="000005F4">
            <w:pPr>
              <w:pStyle w:val="TableTextNoSpace"/>
              <w:jc w:val="center"/>
              <w:rPr>
                <w:rFonts w:cs="Arial"/>
                <w:b/>
                <w:color w:val="000000"/>
                <w:sz w:val="18"/>
                <w:szCs w:val="18"/>
              </w:rPr>
            </w:pPr>
            <w:r w:rsidRPr="00CE4330">
              <w:rPr>
                <w:rFonts w:cs="Arial"/>
                <w:b/>
                <w:color w:val="000000"/>
                <w:sz w:val="18"/>
                <w:szCs w:val="18"/>
              </w:rPr>
              <w:t>x</w:t>
            </w:r>
          </w:p>
        </w:tc>
        <w:tc>
          <w:tcPr>
            <w:tcW w:w="178" w:type="pct"/>
            <w:shd w:val="clear" w:color="auto" w:fill="auto"/>
            <w:vAlign w:val="bottom"/>
          </w:tcPr>
          <w:p w14:paraId="608EC11A" w14:textId="77777777" w:rsidR="000005F4" w:rsidRPr="00CE4330" w:rsidRDefault="000005F4" w:rsidP="000005F4">
            <w:pPr>
              <w:pStyle w:val="TableTextNoSpace"/>
              <w:jc w:val="center"/>
              <w:rPr>
                <w:rFonts w:cs="Arial"/>
                <w:b/>
                <w:color w:val="000000"/>
                <w:sz w:val="18"/>
                <w:szCs w:val="18"/>
              </w:rPr>
            </w:pPr>
            <w:r w:rsidRPr="00CE4330">
              <w:rPr>
                <w:rFonts w:cs="Arial"/>
                <w:b/>
                <w:color w:val="000000"/>
                <w:sz w:val="18"/>
                <w:szCs w:val="18"/>
              </w:rPr>
              <w:t>x</w:t>
            </w:r>
          </w:p>
        </w:tc>
        <w:tc>
          <w:tcPr>
            <w:tcW w:w="178" w:type="pct"/>
            <w:shd w:val="clear" w:color="auto" w:fill="auto"/>
            <w:vAlign w:val="bottom"/>
          </w:tcPr>
          <w:p w14:paraId="5F92EB58" w14:textId="77777777" w:rsidR="000005F4" w:rsidRPr="00CE4330" w:rsidRDefault="000005F4" w:rsidP="000005F4">
            <w:pPr>
              <w:pStyle w:val="TableTextNoSpace"/>
              <w:jc w:val="center"/>
              <w:rPr>
                <w:rFonts w:cs="Arial"/>
                <w:b/>
                <w:color w:val="000000"/>
                <w:sz w:val="18"/>
                <w:szCs w:val="18"/>
              </w:rPr>
            </w:pPr>
            <w:r w:rsidRPr="00CE4330">
              <w:rPr>
                <w:rFonts w:cs="Arial"/>
                <w:b/>
                <w:color w:val="000000"/>
                <w:sz w:val="18"/>
                <w:szCs w:val="18"/>
              </w:rPr>
              <w:t>x</w:t>
            </w:r>
          </w:p>
        </w:tc>
        <w:tc>
          <w:tcPr>
            <w:tcW w:w="178" w:type="pct"/>
            <w:shd w:val="clear" w:color="auto" w:fill="auto"/>
            <w:vAlign w:val="bottom"/>
          </w:tcPr>
          <w:p w14:paraId="225B7433" w14:textId="77777777" w:rsidR="000005F4" w:rsidRPr="00CE4330" w:rsidRDefault="000005F4" w:rsidP="000005F4">
            <w:pPr>
              <w:pStyle w:val="TableTextNoSpace"/>
              <w:jc w:val="center"/>
              <w:rPr>
                <w:rFonts w:cs="Arial"/>
                <w:b/>
                <w:color w:val="000000"/>
                <w:sz w:val="18"/>
                <w:szCs w:val="18"/>
              </w:rPr>
            </w:pPr>
            <w:r w:rsidRPr="00CE4330">
              <w:rPr>
                <w:rFonts w:cs="Arial"/>
                <w:b/>
                <w:color w:val="000000"/>
                <w:sz w:val="18"/>
                <w:szCs w:val="18"/>
              </w:rPr>
              <w:t>x</w:t>
            </w:r>
          </w:p>
        </w:tc>
        <w:tc>
          <w:tcPr>
            <w:tcW w:w="178" w:type="pct"/>
            <w:shd w:val="clear" w:color="auto" w:fill="auto"/>
            <w:vAlign w:val="bottom"/>
          </w:tcPr>
          <w:p w14:paraId="29858B37" w14:textId="77777777" w:rsidR="000005F4" w:rsidRPr="00CE4330" w:rsidRDefault="000005F4" w:rsidP="000005F4">
            <w:pPr>
              <w:pStyle w:val="TableTextNoSpace"/>
              <w:jc w:val="center"/>
              <w:rPr>
                <w:rFonts w:cs="Arial"/>
                <w:b/>
                <w:color w:val="000000"/>
                <w:sz w:val="18"/>
                <w:szCs w:val="18"/>
              </w:rPr>
            </w:pPr>
            <w:r w:rsidRPr="00CE4330">
              <w:rPr>
                <w:rFonts w:cs="Arial"/>
                <w:b/>
                <w:color w:val="000000"/>
                <w:sz w:val="18"/>
                <w:szCs w:val="18"/>
              </w:rPr>
              <w:t>x</w:t>
            </w:r>
          </w:p>
        </w:tc>
        <w:tc>
          <w:tcPr>
            <w:tcW w:w="178" w:type="pct"/>
            <w:shd w:val="clear" w:color="auto" w:fill="auto"/>
            <w:vAlign w:val="bottom"/>
          </w:tcPr>
          <w:p w14:paraId="033A89C9" w14:textId="77777777" w:rsidR="000005F4" w:rsidRPr="00CE4330" w:rsidRDefault="000005F4" w:rsidP="000005F4">
            <w:pPr>
              <w:pStyle w:val="TableTextNoSpace"/>
              <w:jc w:val="center"/>
              <w:rPr>
                <w:rFonts w:cs="Arial"/>
                <w:b/>
                <w:sz w:val="18"/>
                <w:szCs w:val="18"/>
              </w:rPr>
            </w:pPr>
          </w:p>
        </w:tc>
        <w:tc>
          <w:tcPr>
            <w:tcW w:w="178" w:type="pct"/>
            <w:shd w:val="clear" w:color="auto" w:fill="auto"/>
            <w:vAlign w:val="bottom"/>
          </w:tcPr>
          <w:p w14:paraId="77C49E76" w14:textId="77777777" w:rsidR="000005F4" w:rsidRPr="00CE4330" w:rsidRDefault="000005F4" w:rsidP="000005F4">
            <w:pPr>
              <w:pStyle w:val="TableTextNoSpace"/>
              <w:jc w:val="center"/>
              <w:rPr>
                <w:rFonts w:cs="Arial"/>
                <w:b/>
                <w:color w:val="000000"/>
                <w:sz w:val="18"/>
                <w:szCs w:val="18"/>
              </w:rPr>
            </w:pPr>
            <w:r w:rsidRPr="00CE4330">
              <w:rPr>
                <w:rFonts w:cs="Arial"/>
                <w:b/>
                <w:color w:val="000000"/>
                <w:sz w:val="18"/>
                <w:szCs w:val="18"/>
              </w:rPr>
              <w:t>x</w:t>
            </w:r>
          </w:p>
        </w:tc>
        <w:tc>
          <w:tcPr>
            <w:tcW w:w="178" w:type="pct"/>
            <w:shd w:val="clear" w:color="auto" w:fill="auto"/>
            <w:vAlign w:val="bottom"/>
          </w:tcPr>
          <w:p w14:paraId="4D0008C8" w14:textId="77777777" w:rsidR="000005F4" w:rsidRPr="00CE4330" w:rsidRDefault="000005F4" w:rsidP="000005F4">
            <w:pPr>
              <w:pStyle w:val="TableTextNoSpace"/>
              <w:jc w:val="center"/>
              <w:rPr>
                <w:rFonts w:cs="Arial"/>
                <w:b/>
                <w:color w:val="000000"/>
                <w:sz w:val="18"/>
                <w:szCs w:val="18"/>
              </w:rPr>
            </w:pPr>
            <w:r w:rsidRPr="00CE4330">
              <w:rPr>
                <w:rFonts w:cs="Arial"/>
                <w:b/>
                <w:color w:val="000000"/>
                <w:sz w:val="18"/>
                <w:szCs w:val="18"/>
              </w:rPr>
              <w:t>x</w:t>
            </w:r>
          </w:p>
        </w:tc>
        <w:tc>
          <w:tcPr>
            <w:tcW w:w="178" w:type="pct"/>
            <w:shd w:val="clear" w:color="auto" w:fill="auto"/>
            <w:vAlign w:val="bottom"/>
          </w:tcPr>
          <w:p w14:paraId="155DD16D" w14:textId="77777777" w:rsidR="000005F4" w:rsidRPr="00CE4330" w:rsidRDefault="000005F4" w:rsidP="000005F4">
            <w:pPr>
              <w:pStyle w:val="TableTextNoSpace"/>
              <w:jc w:val="center"/>
              <w:rPr>
                <w:rFonts w:cs="Arial"/>
                <w:b/>
                <w:sz w:val="18"/>
                <w:szCs w:val="18"/>
              </w:rPr>
            </w:pPr>
          </w:p>
        </w:tc>
        <w:tc>
          <w:tcPr>
            <w:tcW w:w="178" w:type="pct"/>
            <w:shd w:val="clear" w:color="auto" w:fill="auto"/>
            <w:vAlign w:val="bottom"/>
          </w:tcPr>
          <w:p w14:paraId="4B38043C" w14:textId="77777777" w:rsidR="000005F4" w:rsidRPr="00CE4330" w:rsidRDefault="000005F4" w:rsidP="000005F4">
            <w:pPr>
              <w:pStyle w:val="TableTextNoSpace"/>
              <w:jc w:val="center"/>
              <w:rPr>
                <w:rFonts w:cs="Arial"/>
                <w:b/>
                <w:color w:val="000000"/>
                <w:sz w:val="18"/>
                <w:szCs w:val="18"/>
              </w:rPr>
            </w:pPr>
            <w:r w:rsidRPr="00CE4330">
              <w:rPr>
                <w:rFonts w:cs="Arial"/>
                <w:b/>
                <w:color w:val="000000"/>
                <w:sz w:val="18"/>
                <w:szCs w:val="18"/>
              </w:rPr>
              <w:t>x</w:t>
            </w:r>
          </w:p>
        </w:tc>
        <w:tc>
          <w:tcPr>
            <w:tcW w:w="178" w:type="pct"/>
            <w:shd w:val="clear" w:color="auto" w:fill="auto"/>
            <w:vAlign w:val="bottom"/>
          </w:tcPr>
          <w:p w14:paraId="3F075022" w14:textId="77777777" w:rsidR="000005F4" w:rsidRPr="00CE4330" w:rsidRDefault="000005F4" w:rsidP="000005F4">
            <w:pPr>
              <w:pStyle w:val="TableTextNoSpace"/>
              <w:jc w:val="center"/>
              <w:rPr>
                <w:rFonts w:cs="Arial"/>
                <w:b/>
                <w:sz w:val="18"/>
                <w:szCs w:val="18"/>
              </w:rPr>
            </w:pPr>
          </w:p>
        </w:tc>
        <w:tc>
          <w:tcPr>
            <w:tcW w:w="178" w:type="pct"/>
            <w:shd w:val="clear" w:color="auto" w:fill="auto"/>
            <w:vAlign w:val="bottom"/>
          </w:tcPr>
          <w:p w14:paraId="1699F621" w14:textId="77777777" w:rsidR="000005F4" w:rsidRPr="00CE4330" w:rsidRDefault="000005F4" w:rsidP="000005F4">
            <w:pPr>
              <w:pStyle w:val="TableTextNoSpace"/>
              <w:jc w:val="center"/>
              <w:rPr>
                <w:rFonts w:cs="Arial"/>
                <w:b/>
                <w:color w:val="000000"/>
                <w:sz w:val="18"/>
                <w:szCs w:val="18"/>
              </w:rPr>
            </w:pPr>
            <w:r w:rsidRPr="00CE4330">
              <w:rPr>
                <w:rFonts w:cs="Arial"/>
                <w:b/>
                <w:color w:val="000000"/>
                <w:sz w:val="18"/>
                <w:szCs w:val="18"/>
              </w:rPr>
              <w:t>x</w:t>
            </w:r>
          </w:p>
        </w:tc>
        <w:tc>
          <w:tcPr>
            <w:tcW w:w="178" w:type="pct"/>
            <w:shd w:val="clear" w:color="auto" w:fill="auto"/>
            <w:vAlign w:val="bottom"/>
          </w:tcPr>
          <w:p w14:paraId="2B84184C" w14:textId="77777777" w:rsidR="000005F4" w:rsidRPr="00CE4330" w:rsidRDefault="000005F4" w:rsidP="000005F4">
            <w:pPr>
              <w:pStyle w:val="TableTextNoSpace"/>
              <w:jc w:val="center"/>
              <w:rPr>
                <w:rFonts w:cs="Arial"/>
                <w:b/>
                <w:color w:val="000000"/>
                <w:sz w:val="18"/>
                <w:szCs w:val="18"/>
              </w:rPr>
            </w:pPr>
            <w:r w:rsidRPr="00CE4330">
              <w:rPr>
                <w:rFonts w:cs="Arial"/>
                <w:b/>
                <w:color w:val="000000"/>
                <w:sz w:val="18"/>
                <w:szCs w:val="18"/>
              </w:rPr>
              <w:t>x</w:t>
            </w:r>
          </w:p>
        </w:tc>
        <w:tc>
          <w:tcPr>
            <w:tcW w:w="178" w:type="pct"/>
            <w:shd w:val="clear" w:color="auto" w:fill="auto"/>
            <w:vAlign w:val="bottom"/>
          </w:tcPr>
          <w:p w14:paraId="05A4D9F4" w14:textId="77777777" w:rsidR="000005F4" w:rsidRPr="00CE4330" w:rsidRDefault="000005F4" w:rsidP="000005F4">
            <w:pPr>
              <w:pStyle w:val="TableTextNoSpace"/>
              <w:jc w:val="center"/>
              <w:rPr>
                <w:rFonts w:cs="Arial"/>
                <w:b/>
                <w:color w:val="000000"/>
                <w:sz w:val="18"/>
                <w:szCs w:val="18"/>
              </w:rPr>
            </w:pPr>
            <w:r w:rsidRPr="00CE4330">
              <w:rPr>
                <w:rFonts w:cs="Arial"/>
                <w:b/>
                <w:color w:val="000000"/>
                <w:sz w:val="18"/>
                <w:szCs w:val="18"/>
              </w:rPr>
              <w:t>x</w:t>
            </w:r>
          </w:p>
        </w:tc>
        <w:tc>
          <w:tcPr>
            <w:tcW w:w="178" w:type="pct"/>
            <w:shd w:val="clear" w:color="auto" w:fill="auto"/>
            <w:vAlign w:val="bottom"/>
          </w:tcPr>
          <w:p w14:paraId="204A1DEA" w14:textId="77777777" w:rsidR="000005F4" w:rsidRPr="00CE4330" w:rsidRDefault="000005F4" w:rsidP="000005F4">
            <w:pPr>
              <w:pStyle w:val="TableTextNoSpace"/>
              <w:jc w:val="center"/>
              <w:rPr>
                <w:rFonts w:cs="Arial"/>
                <w:b/>
                <w:sz w:val="18"/>
                <w:szCs w:val="18"/>
              </w:rPr>
            </w:pPr>
            <w:r w:rsidRPr="00CE4330">
              <w:rPr>
                <w:rFonts w:cs="Arial"/>
                <w:b/>
                <w:sz w:val="18"/>
                <w:szCs w:val="18"/>
              </w:rPr>
              <w:t>x</w:t>
            </w:r>
          </w:p>
        </w:tc>
        <w:tc>
          <w:tcPr>
            <w:tcW w:w="178" w:type="pct"/>
            <w:shd w:val="clear" w:color="auto" w:fill="auto"/>
            <w:vAlign w:val="bottom"/>
          </w:tcPr>
          <w:p w14:paraId="566A5D4B" w14:textId="77777777" w:rsidR="000005F4" w:rsidRPr="00CE4330" w:rsidRDefault="000005F4" w:rsidP="000005F4">
            <w:pPr>
              <w:pStyle w:val="TableTextNoSpace"/>
              <w:jc w:val="center"/>
              <w:rPr>
                <w:rFonts w:cs="Arial"/>
                <w:b/>
                <w:sz w:val="18"/>
                <w:szCs w:val="18"/>
              </w:rPr>
            </w:pPr>
            <w:r w:rsidRPr="00CE4330">
              <w:rPr>
                <w:rFonts w:cs="Arial"/>
                <w:b/>
                <w:sz w:val="18"/>
                <w:szCs w:val="18"/>
              </w:rPr>
              <w:t>x</w:t>
            </w:r>
          </w:p>
        </w:tc>
        <w:tc>
          <w:tcPr>
            <w:tcW w:w="178" w:type="pct"/>
            <w:shd w:val="clear" w:color="auto" w:fill="auto"/>
            <w:vAlign w:val="bottom"/>
          </w:tcPr>
          <w:p w14:paraId="4989E46E" w14:textId="77777777" w:rsidR="000005F4" w:rsidRPr="00CE4330" w:rsidRDefault="000005F4" w:rsidP="000005F4">
            <w:pPr>
              <w:pStyle w:val="TableTextNoSpace"/>
              <w:jc w:val="center"/>
              <w:rPr>
                <w:rFonts w:cs="Arial"/>
                <w:b/>
                <w:color w:val="000000"/>
                <w:sz w:val="18"/>
                <w:szCs w:val="18"/>
              </w:rPr>
            </w:pPr>
            <w:r w:rsidRPr="00CE4330">
              <w:rPr>
                <w:rFonts w:cs="Arial"/>
                <w:b/>
                <w:color w:val="000000"/>
                <w:sz w:val="18"/>
                <w:szCs w:val="18"/>
              </w:rPr>
              <w:t>x</w:t>
            </w:r>
          </w:p>
        </w:tc>
        <w:tc>
          <w:tcPr>
            <w:tcW w:w="178" w:type="pct"/>
            <w:shd w:val="clear" w:color="auto" w:fill="auto"/>
            <w:vAlign w:val="bottom"/>
          </w:tcPr>
          <w:p w14:paraId="4A0D362A" w14:textId="77777777" w:rsidR="000005F4" w:rsidRPr="00CE4330" w:rsidRDefault="000005F4" w:rsidP="000005F4">
            <w:pPr>
              <w:pStyle w:val="TableTextNoSpace"/>
              <w:jc w:val="center"/>
              <w:rPr>
                <w:rFonts w:cs="Arial"/>
                <w:b/>
                <w:color w:val="000000"/>
                <w:sz w:val="18"/>
                <w:szCs w:val="18"/>
              </w:rPr>
            </w:pPr>
            <w:r w:rsidRPr="00CE4330">
              <w:rPr>
                <w:rFonts w:cs="Arial"/>
                <w:b/>
                <w:color w:val="000000"/>
                <w:sz w:val="18"/>
                <w:szCs w:val="18"/>
              </w:rPr>
              <w:t>x</w:t>
            </w:r>
          </w:p>
        </w:tc>
        <w:tc>
          <w:tcPr>
            <w:tcW w:w="178" w:type="pct"/>
            <w:vAlign w:val="bottom"/>
          </w:tcPr>
          <w:p w14:paraId="77E3B9CD" w14:textId="77777777" w:rsidR="000005F4" w:rsidRPr="00CE4330" w:rsidRDefault="000005F4" w:rsidP="000005F4">
            <w:pPr>
              <w:pStyle w:val="TableTextNoSpace"/>
              <w:jc w:val="center"/>
              <w:rPr>
                <w:rFonts w:cs="Arial"/>
                <w:b/>
                <w:color w:val="000000"/>
                <w:sz w:val="18"/>
                <w:szCs w:val="18"/>
              </w:rPr>
            </w:pPr>
            <w:r w:rsidRPr="00CE4330">
              <w:rPr>
                <w:rFonts w:cs="Arial"/>
                <w:b/>
                <w:color w:val="000000"/>
                <w:sz w:val="18"/>
                <w:szCs w:val="18"/>
              </w:rPr>
              <w:t>x</w:t>
            </w:r>
          </w:p>
        </w:tc>
        <w:tc>
          <w:tcPr>
            <w:tcW w:w="178" w:type="pct"/>
            <w:vAlign w:val="bottom"/>
          </w:tcPr>
          <w:p w14:paraId="765BF7CA" w14:textId="77777777" w:rsidR="000005F4" w:rsidRPr="00CE4330" w:rsidRDefault="000005F4" w:rsidP="000005F4">
            <w:pPr>
              <w:pStyle w:val="TableTextNoSpace"/>
              <w:jc w:val="center"/>
              <w:rPr>
                <w:rFonts w:cs="Arial"/>
                <w:b/>
                <w:color w:val="000000"/>
                <w:sz w:val="18"/>
                <w:szCs w:val="18"/>
              </w:rPr>
            </w:pPr>
            <w:r w:rsidRPr="00CE4330">
              <w:rPr>
                <w:rFonts w:cs="Arial"/>
                <w:b/>
                <w:color w:val="000000"/>
                <w:sz w:val="18"/>
                <w:szCs w:val="18"/>
              </w:rPr>
              <w:t>x</w:t>
            </w:r>
          </w:p>
        </w:tc>
        <w:tc>
          <w:tcPr>
            <w:tcW w:w="178" w:type="pct"/>
            <w:vAlign w:val="bottom"/>
          </w:tcPr>
          <w:p w14:paraId="413DE636" w14:textId="77777777" w:rsidR="000005F4" w:rsidRPr="00CE4330" w:rsidRDefault="000005F4" w:rsidP="000005F4">
            <w:pPr>
              <w:pStyle w:val="TableTextNoSpace"/>
              <w:jc w:val="center"/>
              <w:rPr>
                <w:rFonts w:cs="Arial"/>
                <w:b/>
                <w:color w:val="000000"/>
                <w:sz w:val="18"/>
                <w:szCs w:val="18"/>
              </w:rPr>
            </w:pPr>
            <w:r w:rsidRPr="00CE4330">
              <w:rPr>
                <w:rFonts w:cs="Arial"/>
                <w:b/>
                <w:color w:val="000000"/>
                <w:sz w:val="18"/>
                <w:szCs w:val="18"/>
              </w:rPr>
              <w:t>x</w:t>
            </w:r>
          </w:p>
        </w:tc>
        <w:tc>
          <w:tcPr>
            <w:tcW w:w="178" w:type="pct"/>
            <w:vAlign w:val="bottom"/>
          </w:tcPr>
          <w:p w14:paraId="7EB579C2" w14:textId="77777777" w:rsidR="000005F4" w:rsidRPr="00CE4330" w:rsidRDefault="000005F4" w:rsidP="000005F4">
            <w:pPr>
              <w:pStyle w:val="TableTextNoSpace"/>
              <w:jc w:val="center"/>
              <w:rPr>
                <w:rFonts w:cs="Arial"/>
                <w:b/>
                <w:color w:val="000000"/>
                <w:sz w:val="18"/>
                <w:szCs w:val="18"/>
              </w:rPr>
            </w:pPr>
            <w:r w:rsidRPr="00CE4330">
              <w:rPr>
                <w:rFonts w:cs="Arial"/>
                <w:b/>
                <w:color w:val="000000"/>
                <w:sz w:val="18"/>
                <w:szCs w:val="18"/>
              </w:rPr>
              <w:t>x</w:t>
            </w:r>
          </w:p>
        </w:tc>
        <w:tc>
          <w:tcPr>
            <w:tcW w:w="178" w:type="pct"/>
            <w:vAlign w:val="bottom"/>
          </w:tcPr>
          <w:p w14:paraId="130D0702" w14:textId="77777777" w:rsidR="000005F4" w:rsidRPr="00CE4330" w:rsidRDefault="000005F4" w:rsidP="000005F4">
            <w:pPr>
              <w:pStyle w:val="TableTextNoSpace"/>
              <w:jc w:val="center"/>
              <w:rPr>
                <w:rFonts w:cs="Arial"/>
                <w:b/>
                <w:color w:val="000000"/>
                <w:sz w:val="18"/>
                <w:szCs w:val="18"/>
              </w:rPr>
            </w:pPr>
            <w:r w:rsidRPr="00CE4330">
              <w:rPr>
                <w:rFonts w:cs="Arial"/>
                <w:b/>
                <w:color w:val="000000"/>
                <w:sz w:val="18"/>
                <w:szCs w:val="18"/>
              </w:rPr>
              <w:t>x</w:t>
            </w:r>
          </w:p>
        </w:tc>
        <w:tc>
          <w:tcPr>
            <w:tcW w:w="178" w:type="pct"/>
            <w:vAlign w:val="bottom"/>
          </w:tcPr>
          <w:p w14:paraId="75D29132" w14:textId="77777777" w:rsidR="000005F4" w:rsidRPr="00CE4330" w:rsidRDefault="000005F4" w:rsidP="000005F4">
            <w:pPr>
              <w:pStyle w:val="TableTextNoSpace"/>
              <w:jc w:val="center"/>
              <w:rPr>
                <w:rFonts w:cs="Arial"/>
                <w:b/>
                <w:color w:val="000000"/>
                <w:sz w:val="18"/>
                <w:szCs w:val="18"/>
              </w:rPr>
            </w:pPr>
            <w:r w:rsidRPr="00CE4330">
              <w:rPr>
                <w:rFonts w:cs="Arial"/>
                <w:b/>
                <w:color w:val="000000"/>
                <w:sz w:val="18"/>
                <w:szCs w:val="18"/>
              </w:rPr>
              <w:t>x</w:t>
            </w:r>
          </w:p>
        </w:tc>
        <w:tc>
          <w:tcPr>
            <w:tcW w:w="178" w:type="pct"/>
            <w:shd w:val="clear" w:color="auto" w:fill="auto"/>
            <w:vAlign w:val="bottom"/>
          </w:tcPr>
          <w:p w14:paraId="2A191138" w14:textId="77777777" w:rsidR="000005F4" w:rsidRPr="00CE4330" w:rsidRDefault="000005F4" w:rsidP="000005F4">
            <w:pPr>
              <w:pStyle w:val="TableTextNoSpace"/>
              <w:jc w:val="center"/>
              <w:rPr>
                <w:rFonts w:cs="Arial"/>
                <w:sz w:val="18"/>
                <w:szCs w:val="18"/>
              </w:rPr>
            </w:pPr>
          </w:p>
        </w:tc>
      </w:tr>
    </w:tbl>
    <w:p w14:paraId="53C56394" w14:textId="77777777" w:rsidR="000005F4" w:rsidRDefault="000005F4" w:rsidP="000005F4">
      <w:pPr>
        <w:pStyle w:val="Heading2NoNumb"/>
      </w:pPr>
      <w:bookmarkStart w:id="387" w:name="_Toc408094043"/>
      <w:bookmarkStart w:id="388" w:name="_Toc408138044"/>
      <w:bookmarkStart w:id="389" w:name="_Toc408851033"/>
      <w:bookmarkStart w:id="390" w:name="_Toc421880709"/>
      <w:r>
        <w:t>EAFRD</w:t>
      </w:r>
      <w:bookmarkEnd w:id="387"/>
      <w:bookmarkEnd w:id="388"/>
      <w:bookmarkEnd w:id="389"/>
      <w:bookmarkEnd w:id="390"/>
    </w:p>
    <w:p w14:paraId="568A0173" w14:textId="77777777" w:rsidR="000005F4" w:rsidRPr="004419C4" w:rsidRDefault="000005F4" w:rsidP="000005F4">
      <w:pPr>
        <w:rPr>
          <w:i/>
        </w:rPr>
      </w:pPr>
      <w:r w:rsidRPr="004419C4">
        <w:rPr>
          <w:i/>
        </w:rPr>
        <w:t xml:space="preserve">Note: Articles most directly relevant for Natura 2000 actions are highlighted. </w:t>
      </w:r>
    </w:p>
    <w:p w14:paraId="07668D12" w14:textId="77777777" w:rsidR="000005F4" w:rsidRPr="00DA337C" w:rsidRDefault="000005F4" w:rsidP="000005F4">
      <w:pPr>
        <w:pStyle w:val="AnnexTable"/>
      </w:pPr>
      <w:bookmarkStart w:id="391" w:name="_Toc407942724"/>
      <w:bookmarkStart w:id="392" w:name="_Toc408094130"/>
      <w:bookmarkStart w:id="393" w:name="_Toc408851114"/>
      <w:r>
        <w:t>Summary of Wales-relevant articles in the EAFRD</w:t>
      </w:r>
      <w:bookmarkEnd w:id="391"/>
      <w:bookmarkEnd w:id="392"/>
      <w:bookmarkEnd w:id="393"/>
      <w:r>
        <w:t xml:space="preserve"> </w:t>
      </w:r>
    </w:p>
    <w:tbl>
      <w:tblPr>
        <w:tblW w:w="9071" w:type="dxa"/>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Layout w:type="fixed"/>
        <w:tblCellMar>
          <w:top w:w="57" w:type="dxa"/>
          <w:left w:w="0" w:type="dxa"/>
          <w:bottom w:w="28" w:type="dxa"/>
          <w:right w:w="0" w:type="dxa"/>
        </w:tblCellMar>
        <w:tblLook w:val="0000" w:firstRow="0" w:lastRow="0" w:firstColumn="0" w:lastColumn="0" w:noHBand="0" w:noVBand="0"/>
      </w:tblPr>
      <w:tblGrid>
        <w:gridCol w:w="2407"/>
        <w:gridCol w:w="6664"/>
      </w:tblGrid>
      <w:tr w:rsidR="000005F4" w14:paraId="712D8043" w14:textId="77777777" w:rsidTr="000005F4">
        <w:trPr>
          <w:cantSplit/>
        </w:trPr>
        <w:tc>
          <w:tcPr>
            <w:tcW w:w="2407" w:type="dxa"/>
            <w:shd w:val="clear" w:color="auto" w:fill="auto"/>
          </w:tcPr>
          <w:p w14:paraId="043E9B6C" w14:textId="77777777" w:rsidR="000005F4" w:rsidRDefault="000005F4" w:rsidP="000005F4">
            <w:pPr>
              <w:pStyle w:val="TableHeading"/>
            </w:pPr>
            <w:r>
              <w:t>Article Title</w:t>
            </w:r>
          </w:p>
        </w:tc>
        <w:tc>
          <w:tcPr>
            <w:tcW w:w="6664" w:type="dxa"/>
            <w:shd w:val="solid" w:color="0067AB" w:fill="0067AB"/>
          </w:tcPr>
          <w:p w14:paraId="70DD3454" w14:textId="77777777" w:rsidR="000005F4" w:rsidRDefault="000005F4" w:rsidP="000005F4">
            <w:pPr>
              <w:pStyle w:val="TableHeadingWhite"/>
            </w:pPr>
            <w:r>
              <w:t>Article Detail</w:t>
            </w:r>
          </w:p>
        </w:tc>
      </w:tr>
      <w:tr w:rsidR="000005F4" w14:paraId="3BF0DA09" w14:textId="77777777" w:rsidTr="000005F4">
        <w:tc>
          <w:tcPr>
            <w:tcW w:w="2407" w:type="dxa"/>
            <w:shd w:val="clear" w:color="auto" w:fill="EAF1DD" w:themeFill="accent3" w:themeFillTint="33"/>
          </w:tcPr>
          <w:p w14:paraId="799E6D04" w14:textId="77777777" w:rsidR="000005F4" w:rsidRPr="003B3BB6" w:rsidRDefault="000005F4" w:rsidP="000005F4">
            <w:pPr>
              <w:pStyle w:val="TableTextNoSpace"/>
            </w:pPr>
            <w:r>
              <w:t>Article 14</w:t>
            </w:r>
          </w:p>
        </w:tc>
        <w:tc>
          <w:tcPr>
            <w:tcW w:w="6664" w:type="dxa"/>
            <w:shd w:val="clear" w:color="auto" w:fill="EAF1DD" w:themeFill="accent3" w:themeFillTint="33"/>
          </w:tcPr>
          <w:p w14:paraId="4DC93B32" w14:textId="77777777" w:rsidR="000005F4" w:rsidRDefault="000005F4" w:rsidP="000005F4">
            <w:pPr>
              <w:pStyle w:val="TableTextNoSpace"/>
            </w:pPr>
            <w:r>
              <w:t>Knowledge transfer. Vocational training and skills, demonstration and information activities</w:t>
            </w:r>
          </w:p>
        </w:tc>
      </w:tr>
      <w:tr w:rsidR="000005F4" w14:paraId="74E47A1F" w14:textId="77777777" w:rsidTr="000005F4">
        <w:tc>
          <w:tcPr>
            <w:tcW w:w="2407" w:type="dxa"/>
            <w:shd w:val="clear" w:color="auto" w:fill="EAF1DD" w:themeFill="accent3" w:themeFillTint="33"/>
          </w:tcPr>
          <w:p w14:paraId="21E96230" w14:textId="77777777" w:rsidR="000005F4" w:rsidRDefault="000005F4" w:rsidP="000005F4">
            <w:pPr>
              <w:pStyle w:val="TableTextNoSpace"/>
            </w:pPr>
            <w:r w:rsidRPr="003B3BB6">
              <w:t>Article 15</w:t>
            </w:r>
          </w:p>
        </w:tc>
        <w:tc>
          <w:tcPr>
            <w:tcW w:w="6664" w:type="dxa"/>
            <w:shd w:val="clear" w:color="auto" w:fill="EAF1DD" w:themeFill="accent3" w:themeFillTint="33"/>
          </w:tcPr>
          <w:p w14:paraId="116899E4" w14:textId="77777777" w:rsidR="000005F4" w:rsidRDefault="000005F4" w:rsidP="000005F4">
            <w:pPr>
              <w:pStyle w:val="TableTextNoSpace"/>
            </w:pPr>
            <w:r>
              <w:t>Advisory services , farm management and farm relief services</w:t>
            </w:r>
          </w:p>
        </w:tc>
      </w:tr>
      <w:tr w:rsidR="000005F4" w14:paraId="7625CE85" w14:textId="77777777" w:rsidTr="000005F4">
        <w:tc>
          <w:tcPr>
            <w:tcW w:w="2407" w:type="dxa"/>
            <w:shd w:val="clear" w:color="auto" w:fill="auto"/>
          </w:tcPr>
          <w:p w14:paraId="7C2DDD3C" w14:textId="77777777" w:rsidR="000005F4" w:rsidRDefault="000005F4" w:rsidP="000005F4">
            <w:pPr>
              <w:pStyle w:val="TableTextNoSpace"/>
            </w:pPr>
            <w:r w:rsidRPr="003B3BB6">
              <w:t>Article 16</w:t>
            </w:r>
          </w:p>
        </w:tc>
        <w:tc>
          <w:tcPr>
            <w:tcW w:w="6664" w:type="dxa"/>
            <w:shd w:val="clear" w:color="auto" w:fill="auto"/>
          </w:tcPr>
          <w:p w14:paraId="068D4F3F" w14:textId="77777777" w:rsidR="000005F4" w:rsidRDefault="000005F4" w:rsidP="000005F4">
            <w:pPr>
              <w:pStyle w:val="TableTextNoSpace"/>
            </w:pPr>
            <w:r>
              <w:t>Quality schemes for agricultural products and foodstuffs</w:t>
            </w:r>
          </w:p>
        </w:tc>
      </w:tr>
      <w:tr w:rsidR="000005F4" w14:paraId="0DA5207E" w14:textId="77777777" w:rsidTr="000005F4">
        <w:tc>
          <w:tcPr>
            <w:tcW w:w="2407" w:type="dxa"/>
            <w:shd w:val="clear" w:color="auto" w:fill="EAF1DD" w:themeFill="accent3" w:themeFillTint="33"/>
          </w:tcPr>
          <w:p w14:paraId="2370ABB8" w14:textId="77777777" w:rsidR="000005F4" w:rsidRDefault="000005F4" w:rsidP="000005F4">
            <w:pPr>
              <w:pStyle w:val="TableTextNoSpace"/>
            </w:pPr>
            <w:r w:rsidRPr="003B3BB6">
              <w:t>Article 17</w:t>
            </w:r>
          </w:p>
        </w:tc>
        <w:tc>
          <w:tcPr>
            <w:tcW w:w="6664" w:type="dxa"/>
            <w:shd w:val="clear" w:color="auto" w:fill="EAF1DD" w:themeFill="accent3" w:themeFillTint="33"/>
          </w:tcPr>
          <w:p w14:paraId="34787ECC" w14:textId="77777777" w:rsidR="000005F4" w:rsidRDefault="000005F4" w:rsidP="000005F4">
            <w:pPr>
              <w:pStyle w:val="TableTextNoSpace"/>
            </w:pPr>
            <w:r>
              <w:t xml:space="preserve">Investments in non-productive physical assets </w:t>
            </w:r>
          </w:p>
        </w:tc>
      </w:tr>
      <w:tr w:rsidR="000005F4" w14:paraId="38410E1A" w14:textId="77777777" w:rsidTr="000005F4">
        <w:tc>
          <w:tcPr>
            <w:tcW w:w="2407" w:type="dxa"/>
            <w:shd w:val="clear" w:color="auto" w:fill="auto"/>
          </w:tcPr>
          <w:p w14:paraId="12DC4716" w14:textId="77777777" w:rsidR="000005F4" w:rsidRDefault="000005F4" w:rsidP="000005F4">
            <w:pPr>
              <w:pStyle w:val="TableTextNoSpace"/>
            </w:pPr>
            <w:r>
              <w:t>Article 18 (1a)</w:t>
            </w:r>
          </w:p>
        </w:tc>
        <w:tc>
          <w:tcPr>
            <w:tcW w:w="6664" w:type="dxa"/>
            <w:shd w:val="clear" w:color="auto" w:fill="auto"/>
          </w:tcPr>
          <w:p w14:paraId="279FCB25" w14:textId="77777777" w:rsidR="000005F4" w:rsidRDefault="000005F4" w:rsidP="000005F4">
            <w:pPr>
              <w:pStyle w:val="TableTextNoSpace"/>
            </w:pPr>
            <w:r>
              <w:t xml:space="preserve">Restoring production potential after natural disasters </w:t>
            </w:r>
          </w:p>
        </w:tc>
      </w:tr>
      <w:tr w:rsidR="000005F4" w14:paraId="4AE674FD" w14:textId="77777777" w:rsidTr="000005F4">
        <w:tc>
          <w:tcPr>
            <w:tcW w:w="2407" w:type="dxa"/>
            <w:shd w:val="clear" w:color="auto" w:fill="auto"/>
          </w:tcPr>
          <w:p w14:paraId="32C6D61C" w14:textId="77777777" w:rsidR="000005F4" w:rsidRDefault="000005F4" w:rsidP="000005F4">
            <w:pPr>
              <w:pStyle w:val="TableTextNoSpace"/>
            </w:pPr>
            <w:r w:rsidRPr="003B3BB6">
              <w:t xml:space="preserve">Article 19 </w:t>
            </w:r>
          </w:p>
        </w:tc>
        <w:tc>
          <w:tcPr>
            <w:tcW w:w="6664" w:type="dxa"/>
            <w:shd w:val="clear" w:color="auto" w:fill="auto"/>
          </w:tcPr>
          <w:p w14:paraId="1110C1C6" w14:textId="77777777" w:rsidR="000005F4" w:rsidRDefault="000005F4" w:rsidP="000005F4">
            <w:pPr>
              <w:pStyle w:val="TableTextNoSpace"/>
            </w:pPr>
            <w:r>
              <w:t xml:space="preserve">Farm and business development </w:t>
            </w:r>
          </w:p>
        </w:tc>
      </w:tr>
      <w:tr w:rsidR="000005F4" w14:paraId="0113E590" w14:textId="77777777" w:rsidTr="000005F4">
        <w:tc>
          <w:tcPr>
            <w:tcW w:w="2407" w:type="dxa"/>
            <w:shd w:val="clear" w:color="auto" w:fill="EAF1DD" w:themeFill="accent3" w:themeFillTint="33"/>
          </w:tcPr>
          <w:p w14:paraId="0622E043" w14:textId="77777777" w:rsidR="000005F4" w:rsidRDefault="000005F4" w:rsidP="000005F4">
            <w:pPr>
              <w:pStyle w:val="TableTextNoSpace"/>
            </w:pPr>
            <w:r>
              <w:t>Article 20</w:t>
            </w:r>
            <w:r w:rsidRPr="003B3BB6">
              <w:t xml:space="preserve"> </w:t>
            </w:r>
            <w:r>
              <w:t>(1a)</w:t>
            </w:r>
          </w:p>
        </w:tc>
        <w:tc>
          <w:tcPr>
            <w:tcW w:w="6664" w:type="dxa"/>
            <w:shd w:val="clear" w:color="auto" w:fill="EAF1DD" w:themeFill="accent3" w:themeFillTint="33"/>
          </w:tcPr>
          <w:p w14:paraId="03020F5C" w14:textId="77777777" w:rsidR="000005F4" w:rsidRDefault="000005F4" w:rsidP="000005F4">
            <w:pPr>
              <w:pStyle w:val="TableTextNoSpace"/>
            </w:pPr>
            <w:r>
              <w:rPr>
                <w:rFonts w:ascii="Calibri" w:hAnsi="Calibri"/>
                <w:sz w:val="22"/>
                <w:szCs w:val="22"/>
              </w:rPr>
              <w:t xml:space="preserve">Basic services and village renewal in rural areas: </w:t>
            </w:r>
            <w:r w:rsidRPr="006D06B0">
              <w:rPr>
                <w:rFonts w:ascii="Calibri" w:hAnsi="Calibri"/>
                <w:sz w:val="22"/>
                <w:szCs w:val="22"/>
              </w:rPr>
              <w:t>Supports drawing up and updating development plans including protection of N2K plans</w:t>
            </w:r>
          </w:p>
        </w:tc>
      </w:tr>
      <w:tr w:rsidR="000005F4" w14:paraId="2DDD9E04" w14:textId="77777777" w:rsidTr="000005F4">
        <w:tc>
          <w:tcPr>
            <w:tcW w:w="2407" w:type="dxa"/>
            <w:shd w:val="clear" w:color="auto" w:fill="auto"/>
          </w:tcPr>
          <w:p w14:paraId="735A6E13" w14:textId="77777777" w:rsidR="000005F4" w:rsidRPr="003B3BB6" w:rsidRDefault="000005F4" w:rsidP="000005F4">
            <w:pPr>
              <w:pStyle w:val="TableTextNoSpace"/>
            </w:pPr>
            <w:r>
              <w:t>Article 20</w:t>
            </w:r>
            <w:r w:rsidRPr="003B3BB6">
              <w:t xml:space="preserve"> </w:t>
            </w:r>
            <w:r>
              <w:t>(1d)</w:t>
            </w:r>
          </w:p>
        </w:tc>
        <w:tc>
          <w:tcPr>
            <w:tcW w:w="6664" w:type="dxa"/>
            <w:shd w:val="clear" w:color="auto" w:fill="auto"/>
          </w:tcPr>
          <w:p w14:paraId="6F3DB88B" w14:textId="77777777" w:rsidR="000005F4" w:rsidRDefault="000005F4" w:rsidP="000005F4">
            <w:pPr>
              <w:pStyle w:val="TableTextNoSpace"/>
            </w:pPr>
            <w:r>
              <w:rPr>
                <w:rFonts w:ascii="Calibri" w:hAnsi="Calibri"/>
                <w:sz w:val="22"/>
                <w:szCs w:val="22"/>
              </w:rPr>
              <w:t xml:space="preserve">Basic services and village renewal in rural areas: </w:t>
            </w:r>
            <w:r w:rsidRPr="006D06B0">
              <w:rPr>
                <w:rFonts w:ascii="Calibri" w:hAnsi="Calibri"/>
                <w:sz w:val="22"/>
                <w:szCs w:val="22"/>
              </w:rPr>
              <w:t>Investments for basic rural services and infrastructure</w:t>
            </w:r>
          </w:p>
        </w:tc>
      </w:tr>
      <w:tr w:rsidR="000005F4" w14:paraId="0DCF7540" w14:textId="77777777" w:rsidTr="000005F4">
        <w:tc>
          <w:tcPr>
            <w:tcW w:w="2407" w:type="dxa"/>
            <w:shd w:val="clear" w:color="auto" w:fill="auto"/>
          </w:tcPr>
          <w:p w14:paraId="2A03BA20" w14:textId="77777777" w:rsidR="000005F4" w:rsidRPr="003B3BB6" w:rsidRDefault="000005F4" w:rsidP="000005F4">
            <w:pPr>
              <w:pStyle w:val="TableTextNoSpace"/>
            </w:pPr>
            <w:r>
              <w:t>Article 20</w:t>
            </w:r>
            <w:r w:rsidRPr="003B3BB6">
              <w:t xml:space="preserve"> </w:t>
            </w:r>
            <w:r>
              <w:t>(1e)</w:t>
            </w:r>
          </w:p>
        </w:tc>
        <w:tc>
          <w:tcPr>
            <w:tcW w:w="6664" w:type="dxa"/>
            <w:shd w:val="clear" w:color="auto" w:fill="auto"/>
          </w:tcPr>
          <w:p w14:paraId="6C0819B7" w14:textId="77777777" w:rsidR="000005F4" w:rsidRDefault="000005F4" w:rsidP="000005F4">
            <w:pPr>
              <w:pStyle w:val="TableTextNoSpace"/>
            </w:pPr>
            <w:r>
              <w:rPr>
                <w:rFonts w:ascii="Calibri" w:hAnsi="Calibri"/>
                <w:sz w:val="22"/>
                <w:szCs w:val="22"/>
              </w:rPr>
              <w:t xml:space="preserve">Basic services and village renewal in rural areas: </w:t>
            </w:r>
            <w:r w:rsidRPr="006D06B0">
              <w:rPr>
                <w:rFonts w:ascii="Calibri" w:hAnsi="Calibri"/>
                <w:sz w:val="22"/>
                <w:szCs w:val="22"/>
              </w:rPr>
              <w:t>Investments in recreational infrastructure, tourist information and sign-posting</w:t>
            </w:r>
          </w:p>
        </w:tc>
      </w:tr>
      <w:tr w:rsidR="000005F4" w14:paraId="1A92E441" w14:textId="77777777" w:rsidTr="000005F4">
        <w:tc>
          <w:tcPr>
            <w:tcW w:w="2407" w:type="dxa"/>
            <w:shd w:val="clear" w:color="auto" w:fill="EAF1DD" w:themeFill="accent3" w:themeFillTint="33"/>
          </w:tcPr>
          <w:p w14:paraId="6AD1BDC9" w14:textId="77777777" w:rsidR="000005F4" w:rsidRPr="003B3BB6" w:rsidRDefault="000005F4" w:rsidP="000005F4">
            <w:pPr>
              <w:pStyle w:val="TableTextNoSpace"/>
            </w:pPr>
            <w:r w:rsidRPr="003B3BB6">
              <w:t>Article 2</w:t>
            </w:r>
            <w:r>
              <w:t>0</w:t>
            </w:r>
            <w:r w:rsidRPr="003B3BB6">
              <w:t xml:space="preserve"> </w:t>
            </w:r>
            <w:r>
              <w:t>(1f)</w:t>
            </w:r>
          </w:p>
        </w:tc>
        <w:tc>
          <w:tcPr>
            <w:tcW w:w="6664" w:type="dxa"/>
            <w:shd w:val="clear" w:color="auto" w:fill="EAF1DD" w:themeFill="accent3" w:themeFillTint="33"/>
          </w:tcPr>
          <w:p w14:paraId="0B6AC84D" w14:textId="77777777" w:rsidR="000005F4" w:rsidRDefault="000005F4" w:rsidP="000005F4">
            <w:pPr>
              <w:pStyle w:val="TableTextNoSpace"/>
            </w:pPr>
            <w:r>
              <w:rPr>
                <w:rFonts w:ascii="Calibri" w:hAnsi="Calibri"/>
                <w:sz w:val="22"/>
                <w:szCs w:val="22"/>
              </w:rPr>
              <w:t xml:space="preserve">Basic services and village renewal in rural areas: </w:t>
            </w:r>
            <w:r w:rsidRPr="006D06B0">
              <w:rPr>
                <w:rFonts w:ascii="Calibri" w:hAnsi="Calibri"/>
                <w:sz w:val="22"/>
                <w:szCs w:val="22"/>
              </w:rPr>
              <w:t>Support studies associated with the maintenance, restoration and upgrading of rural landscapes</w:t>
            </w:r>
          </w:p>
        </w:tc>
      </w:tr>
      <w:tr w:rsidR="000005F4" w14:paraId="6B518B9A" w14:textId="77777777" w:rsidTr="000005F4">
        <w:tc>
          <w:tcPr>
            <w:tcW w:w="2407" w:type="dxa"/>
            <w:shd w:val="clear" w:color="auto" w:fill="auto"/>
          </w:tcPr>
          <w:p w14:paraId="104B4086" w14:textId="77777777" w:rsidR="000005F4" w:rsidRPr="003B3BB6" w:rsidRDefault="000005F4" w:rsidP="000005F4">
            <w:pPr>
              <w:pStyle w:val="TableTextNoSpace"/>
            </w:pPr>
            <w:r>
              <w:t>Article 20 (1g)</w:t>
            </w:r>
          </w:p>
        </w:tc>
        <w:tc>
          <w:tcPr>
            <w:tcW w:w="6664" w:type="dxa"/>
            <w:shd w:val="clear" w:color="auto" w:fill="auto"/>
          </w:tcPr>
          <w:p w14:paraId="31F6FCEB" w14:textId="77777777" w:rsidR="000005F4" w:rsidRDefault="000005F4" w:rsidP="000005F4">
            <w:pPr>
              <w:pStyle w:val="TableTextNoSpace"/>
              <w:rPr>
                <w:rFonts w:ascii="Calibri" w:hAnsi="Calibri"/>
                <w:sz w:val="22"/>
                <w:szCs w:val="22"/>
              </w:rPr>
            </w:pPr>
            <w:r>
              <w:rPr>
                <w:rFonts w:ascii="Calibri" w:hAnsi="Calibri"/>
                <w:sz w:val="22"/>
                <w:szCs w:val="22"/>
              </w:rPr>
              <w:t>Basic services and village renewal in rural areas: Investments targeting the relation of activities and conversion of building &amp; facilities to improve quality of life or increase environmental performance of settlement.</w:t>
            </w:r>
          </w:p>
        </w:tc>
      </w:tr>
      <w:tr w:rsidR="000005F4" w14:paraId="460EBDE0" w14:textId="77777777" w:rsidTr="000005F4">
        <w:tc>
          <w:tcPr>
            <w:tcW w:w="2407" w:type="dxa"/>
            <w:shd w:val="clear" w:color="auto" w:fill="auto"/>
          </w:tcPr>
          <w:p w14:paraId="326570AF" w14:textId="77777777" w:rsidR="000005F4" w:rsidRPr="003B3BB6" w:rsidRDefault="000005F4" w:rsidP="000005F4">
            <w:pPr>
              <w:pStyle w:val="TableTextNoSpace"/>
            </w:pPr>
            <w:r w:rsidRPr="003B3BB6">
              <w:t xml:space="preserve">Article 21 </w:t>
            </w:r>
            <w:r>
              <w:t>(1a)</w:t>
            </w:r>
          </w:p>
        </w:tc>
        <w:tc>
          <w:tcPr>
            <w:tcW w:w="6664" w:type="dxa"/>
            <w:shd w:val="clear" w:color="auto" w:fill="auto"/>
          </w:tcPr>
          <w:p w14:paraId="78A0A60A" w14:textId="77777777" w:rsidR="000005F4" w:rsidRDefault="000005F4" w:rsidP="000005F4">
            <w:pPr>
              <w:pStyle w:val="TableTextNoSpace"/>
            </w:pPr>
            <w:r>
              <w:rPr>
                <w:rFonts w:ascii="Calibri" w:hAnsi="Calibri"/>
                <w:sz w:val="22"/>
                <w:szCs w:val="22"/>
              </w:rPr>
              <w:t xml:space="preserve">Afforestation and creation of woodland </w:t>
            </w:r>
          </w:p>
        </w:tc>
      </w:tr>
      <w:tr w:rsidR="000005F4" w14:paraId="12B68960" w14:textId="77777777" w:rsidTr="000005F4">
        <w:tc>
          <w:tcPr>
            <w:tcW w:w="2407" w:type="dxa"/>
            <w:shd w:val="clear" w:color="auto" w:fill="auto"/>
          </w:tcPr>
          <w:p w14:paraId="3E97181C" w14:textId="77777777" w:rsidR="000005F4" w:rsidRDefault="000005F4" w:rsidP="000005F4">
            <w:pPr>
              <w:pStyle w:val="TableTextNoSpace"/>
            </w:pPr>
            <w:r>
              <w:t>Article 21 (1b)</w:t>
            </w:r>
          </w:p>
        </w:tc>
        <w:tc>
          <w:tcPr>
            <w:tcW w:w="6664" w:type="dxa"/>
            <w:shd w:val="clear" w:color="auto" w:fill="auto"/>
          </w:tcPr>
          <w:p w14:paraId="4584CCED" w14:textId="77777777" w:rsidR="000005F4" w:rsidRDefault="000005F4" w:rsidP="000005F4">
            <w:pPr>
              <w:pStyle w:val="TableTextNoSpace"/>
            </w:pPr>
            <w:r>
              <w:rPr>
                <w:rFonts w:ascii="Calibri" w:hAnsi="Calibri"/>
                <w:sz w:val="22"/>
                <w:szCs w:val="22"/>
              </w:rPr>
              <w:t xml:space="preserve">Establishment of agro-forestry systems </w:t>
            </w:r>
          </w:p>
        </w:tc>
      </w:tr>
      <w:tr w:rsidR="000005F4" w14:paraId="2B39A722" w14:textId="77777777" w:rsidTr="000005F4">
        <w:tc>
          <w:tcPr>
            <w:tcW w:w="2407" w:type="dxa"/>
            <w:shd w:val="clear" w:color="auto" w:fill="EAF1DD" w:themeFill="accent3" w:themeFillTint="33"/>
          </w:tcPr>
          <w:p w14:paraId="7FC0E337" w14:textId="77777777" w:rsidR="000005F4" w:rsidRDefault="000005F4" w:rsidP="000005F4">
            <w:pPr>
              <w:pStyle w:val="TableTextNoSpace"/>
            </w:pPr>
            <w:r>
              <w:t>Article 21 (1c)</w:t>
            </w:r>
          </w:p>
        </w:tc>
        <w:tc>
          <w:tcPr>
            <w:tcW w:w="6664" w:type="dxa"/>
            <w:shd w:val="clear" w:color="auto" w:fill="EAF1DD" w:themeFill="accent3" w:themeFillTint="33"/>
          </w:tcPr>
          <w:p w14:paraId="25D9AFCA" w14:textId="77777777" w:rsidR="000005F4" w:rsidRDefault="000005F4" w:rsidP="000005F4">
            <w:pPr>
              <w:pStyle w:val="TableTextNoSpace"/>
            </w:pPr>
            <w:r w:rsidRPr="006D06B0">
              <w:rPr>
                <w:rFonts w:ascii="Calibri" w:hAnsi="Calibri"/>
                <w:sz w:val="22"/>
                <w:szCs w:val="22"/>
              </w:rPr>
              <w:t xml:space="preserve">Prevention and restoration of damage to forests from fires and natural disasters </w:t>
            </w:r>
          </w:p>
        </w:tc>
      </w:tr>
      <w:tr w:rsidR="000005F4" w14:paraId="6A66E0B4" w14:textId="77777777" w:rsidTr="000005F4">
        <w:tc>
          <w:tcPr>
            <w:tcW w:w="2407" w:type="dxa"/>
            <w:shd w:val="clear" w:color="auto" w:fill="EAF1DD" w:themeFill="accent3" w:themeFillTint="33"/>
          </w:tcPr>
          <w:p w14:paraId="5DCD9985" w14:textId="77777777" w:rsidR="000005F4" w:rsidRPr="006D06B0" w:rsidRDefault="000005F4" w:rsidP="000005F4">
            <w:pPr>
              <w:pStyle w:val="TableTextNoSpace"/>
            </w:pPr>
            <w:r>
              <w:t>Article 21 (1d)</w:t>
            </w:r>
          </w:p>
        </w:tc>
        <w:tc>
          <w:tcPr>
            <w:tcW w:w="6664" w:type="dxa"/>
            <w:shd w:val="clear" w:color="auto" w:fill="EAF1DD" w:themeFill="accent3" w:themeFillTint="33"/>
          </w:tcPr>
          <w:p w14:paraId="338758D0" w14:textId="77777777" w:rsidR="000005F4" w:rsidRPr="006D06B0" w:rsidRDefault="000005F4" w:rsidP="000005F4">
            <w:pPr>
              <w:pStyle w:val="TableTextNoSpace"/>
            </w:pPr>
            <w:r w:rsidRPr="006D06B0">
              <w:rPr>
                <w:rFonts w:ascii="Calibri" w:hAnsi="Calibri"/>
                <w:sz w:val="22"/>
                <w:szCs w:val="22"/>
              </w:rPr>
              <w:t>Investments improving the resilience and environmental value of forest ecosystems</w:t>
            </w:r>
          </w:p>
        </w:tc>
      </w:tr>
      <w:tr w:rsidR="000005F4" w14:paraId="20E1A8F4" w14:textId="77777777" w:rsidTr="000005F4">
        <w:tc>
          <w:tcPr>
            <w:tcW w:w="2407" w:type="dxa"/>
            <w:shd w:val="clear" w:color="auto" w:fill="auto"/>
          </w:tcPr>
          <w:p w14:paraId="07C73BA0" w14:textId="77777777" w:rsidR="000005F4" w:rsidRPr="006D06B0" w:rsidRDefault="000005F4" w:rsidP="000005F4">
            <w:pPr>
              <w:pStyle w:val="TableTextNoSpace"/>
            </w:pPr>
            <w:r w:rsidRPr="006D06B0">
              <w:rPr>
                <w:rFonts w:ascii="Calibri" w:hAnsi="Calibri"/>
                <w:bCs/>
                <w:sz w:val="22"/>
                <w:szCs w:val="22"/>
              </w:rPr>
              <w:t xml:space="preserve">Article </w:t>
            </w:r>
            <w:r>
              <w:rPr>
                <w:rFonts w:ascii="Calibri" w:hAnsi="Calibri"/>
                <w:bCs/>
                <w:sz w:val="22"/>
                <w:szCs w:val="22"/>
              </w:rPr>
              <w:t>27</w:t>
            </w:r>
            <w:r w:rsidRPr="006D06B0">
              <w:rPr>
                <w:rFonts w:ascii="Calibri" w:hAnsi="Calibri"/>
                <w:bCs/>
                <w:sz w:val="22"/>
                <w:szCs w:val="22"/>
              </w:rPr>
              <w:t xml:space="preserve"> </w:t>
            </w:r>
          </w:p>
        </w:tc>
        <w:tc>
          <w:tcPr>
            <w:tcW w:w="6664" w:type="dxa"/>
            <w:shd w:val="clear" w:color="auto" w:fill="auto"/>
          </w:tcPr>
          <w:p w14:paraId="014721A0" w14:textId="77777777" w:rsidR="000005F4" w:rsidRPr="006D06B0" w:rsidRDefault="000005F4" w:rsidP="000005F4">
            <w:pPr>
              <w:pStyle w:val="TableTextNoSpace"/>
            </w:pPr>
            <w:r>
              <w:t xml:space="preserve">Setting up producer groups </w:t>
            </w:r>
          </w:p>
        </w:tc>
      </w:tr>
      <w:tr w:rsidR="000005F4" w14:paraId="55F6384B" w14:textId="77777777" w:rsidTr="000005F4">
        <w:tc>
          <w:tcPr>
            <w:tcW w:w="2407" w:type="dxa"/>
            <w:shd w:val="clear" w:color="auto" w:fill="EAF1DD" w:themeFill="accent3" w:themeFillTint="33"/>
          </w:tcPr>
          <w:p w14:paraId="0C1B6A78" w14:textId="77777777" w:rsidR="000005F4" w:rsidRDefault="000005F4" w:rsidP="000005F4">
            <w:pPr>
              <w:pStyle w:val="TableTextNoSpace"/>
            </w:pPr>
            <w:r>
              <w:t>Article 28</w:t>
            </w:r>
          </w:p>
        </w:tc>
        <w:tc>
          <w:tcPr>
            <w:tcW w:w="6664" w:type="dxa"/>
            <w:shd w:val="clear" w:color="auto" w:fill="EAF1DD" w:themeFill="accent3" w:themeFillTint="33"/>
          </w:tcPr>
          <w:p w14:paraId="12D023B3" w14:textId="77777777" w:rsidR="000005F4" w:rsidRDefault="000005F4" w:rsidP="000005F4">
            <w:pPr>
              <w:pStyle w:val="TableTextNoSpace"/>
            </w:pPr>
            <w:r>
              <w:t xml:space="preserve">Agri-environment and climate measures </w:t>
            </w:r>
          </w:p>
        </w:tc>
      </w:tr>
      <w:tr w:rsidR="000005F4" w14:paraId="7C25E0F6" w14:textId="77777777" w:rsidTr="000005F4">
        <w:tc>
          <w:tcPr>
            <w:tcW w:w="2407" w:type="dxa"/>
            <w:shd w:val="clear" w:color="auto" w:fill="EAF1DD" w:themeFill="accent3" w:themeFillTint="33"/>
          </w:tcPr>
          <w:p w14:paraId="61DA8886" w14:textId="77777777" w:rsidR="000005F4" w:rsidRDefault="000005F4" w:rsidP="000005F4">
            <w:pPr>
              <w:pStyle w:val="TableTextNoSpace"/>
            </w:pPr>
            <w:r>
              <w:t>Article 29</w:t>
            </w:r>
          </w:p>
        </w:tc>
        <w:tc>
          <w:tcPr>
            <w:tcW w:w="6664" w:type="dxa"/>
            <w:shd w:val="clear" w:color="auto" w:fill="EAF1DD" w:themeFill="accent3" w:themeFillTint="33"/>
          </w:tcPr>
          <w:p w14:paraId="17B454CC" w14:textId="77777777" w:rsidR="000005F4" w:rsidRDefault="000005F4" w:rsidP="000005F4">
            <w:pPr>
              <w:pStyle w:val="TableTextNoSpace"/>
            </w:pPr>
            <w:r>
              <w:t xml:space="preserve">Support for organic farming </w:t>
            </w:r>
          </w:p>
        </w:tc>
      </w:tr>
      <w:tr w:rsidR="000005F4" w14:paraId="7C10DA88" w14:textId="77777777" w:rsidTr="000005F4">
        <w:tc>
          <w:tcPr>
            <w:tcW w:w="2407" w:type="dxa"/>
            <w:shd w:val="clear" w:color="auto" w:fill="EAF1DD" w:themeFill="accent3" w:themeFillTint="33"/>
          </w:tcPr>
          <w:p w14:paraId="543428D0" w14:textId="77777777" w:rsidR="000005F4" w:rsidRDefault="000005F4" w:rsidP="000005F4">
            <w:pPr>
              <w:pStyle w:val="TableTextNoSpace"/>
            </w:pPr>
            <w:r>
              <w:t>Article 30</w:t>
            </w:r>
          </w:p>
        </w:tc>
        <w:tc>
          <w:tcPr>
            <w:tcW w:w="6664" w:type="dxa"/>
            <w:shd w:val="clear" w:color="auto" w:fill="EAF1DD" w:themeFill="accent3" w:themeFillTint="33"/>
          </w:tcPr>
          <w:p w14:paraId="700E9FAE" w14:textId="77777777" w:rsidR="000005F4" w:rsidRDefault="000005F4" w:rsidP="000005F4">
            <w:pPr>
              <w:pStyle w:val="TableTextNoSpace"/>
            </w:pPr>
            <w:r>
              <w:t xml:space="preserve">Natura 2000 and WFD payments </w:t>
            </w:r>
          </w:p>
        </w:tc>
      </w:tr>
      <w:tr w:rsidR="000005F4" w14:paraId="2D572A7A" w14:textId="77777777" w:rsidTr="000005F4">
        <w:tc>
          <w:tcPr>
            <w:tcW w:w="2407" w:type="dxa"/>
            <w:shd w:val="clear" w:color="auto" w:fill="EAF1DD" w:themeFill="accent3" w:themeFillTint="33"/>
          </w:tcPr>
          <w:p w14:paraId="2D9C8B38" w14:textId="77777777" w:rsidR="000005F4" w:rsidRDefault="000005F4" w:rsidP="000005F4">
            <w:pPr>
              <w:pStyle w:val="TableTextNoSpace"/>
            </w:pPr>
            <w:r>
              <w:t>Article 31</w:t>
            </w:r>
          </w:p>
        </w:tc>
        <w:tc>
          <w:tcPr>
            <w:tcW w:w="6664" w:type="dxa"/>
            <w:shd w:val="clear" w:color="auto" w:fill="EAF1DD" w:themeFill="accent3" w:themeFillTint="33"/>
          </w:tcPr>
          <w:p w14:paraId="6995A7E7" w14:textId="77777777" w:rsidR="000005F4" w:rsidRDefault="000005F4" w:rsidP="000005F4">
            <w:pPr>
              <w:pStyle w:val="TableTextNoSpace"/>
            </w:pPr>
            <w:r>
              <w:t xml:space="preserve">Payments to areas facing natural constraints </w:t>
            </w:r>
          </w:p>
        </w:tc>
      </w:tr>
      <w:tr w:rsidR="000005F4" w14:paraId="5DA2BE46" w14:textId="77777777" w:rsidTr="000005F4">
        <w:tc>
          <w:tcPr>
            <w:tcW w:w="2407" w:type="dxa"/>
            <w:shd w:val="clear" w:color="auto" w:fill="EAF1DD" w:themeFill="accent3" w:themeFillTint="33"/>
          </w:tcPr>
          <w:p w14:paraId="040550D5" w14:textId="77777777" w:rsidR="000005F4" w:rsidRPr="003B3BB6" w:rsidRDefault="000005F4" w:rsidP="000005F4">
            <w:pPr>
              <w:pStyle w:val="TableTextNoSpace"/>
            </w:pPr>
            <w:r>
              <w:t>Article 34</w:t>
            </w:r>
          </w:p>
        </w:tc>
        <w:tc>
          <w:tcPr>
            <w:tcW w:w="6664" w:type="dxa"/>
            <w:shd w:val="clear" w:color="auto" w:fill="EAF1DD" w:themeFill="accent3" w:themeFillTint="33"/>
          </w:tcPr>
          <w:p w14:paraId="5AFAABEE" w14:textId="77777777" w:rsidR="000005F4" w:rsidRDefault="000005F4" w:rsidP="000005F4">
            <w:pPr>
              <w:pStyle w:val="TableTextNoSpace"/>
            </w:pPr>
            <w:r>
              <w:t xml:space="preserve">Forest-environment and climate services </w:t>
            </w:r>
          </w:p>
        </w:tc>
      </w:tr>
      <w:tr w:rsidR="000005F4" w14:paraId="11B65D1A" w14:textId="77777777" w:rsidTr="000005F4">
        <w:tc>
          <w:tcPr>
            <w:tcW w:w="2407" w:type="dxa"/>
            <w:shd w:val="clear" w:color="auto" w:fill="EAF1DD" w:themeFill="accent3" w:themeFillTint="33"/>
          </w:tcPr>
          <w:p w14:paraId="476A6416" w14:textId="77777777" w:rsidR="000005F4" w:rsidRPr="003B3BB6" w:rsidRDefault="000005F4" w:rsidP="000005F4">
            <w:pPr>
              <w:pStyle w:val="TableTextNoSpace"/>
            </w:pPr>
            <w:r>
              <w:t>Article 35</w:t>
            </w:r>
          </w:p>
        </w:tc>
        <w:tc>
          <w:tcPr>
            <w:tcW w:w="6664" w:type="dxa"/>
            <w:shd w:val="clear" w:color="auto" w:fill="EAF1DD" w:themeFill="accent3" w:themeFillTint="33"/>
          </w:tcPr>
          <w:p w14:paraId="578E85F8" w14:textId="77777777" w:rsidR="000005F4" w:rsidRDefault="000005F4" w:rsidP="000005F4">
            <w:pPr>
              <w:pStyle w:val="TableTextNoSpace"/>
            </w:pPr>
            <w:r>
              <w:t xml:space="preserve">Cooperation, including EIP cooperation </w:t>
            </w:r>
          </w:p>
        </w:tc>
      </w:tr>
      <w:tr w:rsidR="000005F4" w14:paraId="3D92C25F" w14:textId="77777777" w:rsidTr="000005F4">
        <w:tc>
          <w:tcPr>
            <w:tcW w:w="2407" w:type="dxa"/>
            <w:shd w:val="clear" w:color="auto" w:fill="auto"/>
          </w:tcPr>
          <w:p w14:paraId="1C1E7867" w14:textId="77777777" w:rsidR="000005F4" w:rsidRPr="003B3BB6" w:rsidRDefault="000005F4" w:rsidP="000005F4">
            <w:pPr>
              <w:pStyle w:val="TableTextNoSpace"/>
            </w:pPr>
            <w:r>
              <w:t>Article 36</w:t>
            </w:r>
          </w:p>
        </w:tc>
        <w:tc>
          <w:tcPr>
            <w:tcW w:w="6664" w:type="dxa"/>
            <w:shd w:val="clear" w:color="auto" w:fill="auto"/>
          </w:tcPr>
          <w:p w14:paraId="57FDC59B" w14:textId="77777777" w:rsidR="000005F4" w:rsidRDefault="000005F4" w:rsidP="000005F4">
            <w:pPr>
              <w:pStyle w:val="TableTextNoSpace"/>
            </w:pPr>
            <w:r>
              <w:t xml:space="preserve">Risk management/insurance </w:t>
            </w:r>
          </w:p>
        </w:tc>
      </w:tr>
      <w:tr w:rsidR="000005F4" w14:paraId="07A4546D" w14:textId="77777777" w:rsidTr="000005F4">
        <w:tc>
          <w:tcPr>
            <w:tcW w:w="2407" w:type="dxa"/>
            <w:shd w:val="clear" w:color="auto" w:fill="auto"/>
          </w:tcPr>
          <w:p w14:paraId="4237820A" w14:textId="77777777" w:rsidR="000005F4" w:rsidRPr="003B3BB6" w:rsidRDefault="000005F4" w:rsidP="000005F4">
            <w:pPr>
              <w:pStyle w:val="TableTextNoSpace"/>
            </w:pPr>
            <w:r>
              <w:t>Articles 42-45</w:t>
            </w:r>
          </w:p>
        </w:tc>
        <w:tc>
          <w:tcPr>
            <w:tcW w:w="6664" w:type="dxa"/>
            <w:shd w:val="clear" w:color="auto" w:fill="auto"/>
          </w:tcPr>
          <w:p w14:paraId="66849711" w14:textId="77777777" w:rsidR="000005F4" w:rsidRDefault="000005F4" w:rsidP="000005F4">
            <w:pPr>
              <w:pStyle w:val="TableTextNoSpace"/>
            </w:pPr>
            <w:r>
              <w:t xml:space="preserve">LEADER </w:t>
            </w:r>
          </w:p>
        </w:tc>
      </w:tr>
    </w:tbl>
    <w:p w14:paraId="464786A1" w14:textId="77777777" w:rsidR="000005F4" w:rsidRPr="009B1EA0" w:rsidRDefault="000005F4" w:rsidP="000005F4">
      <w:pPr>
        <w:pStyle w:val="AnnexTable"/>
      </w:pPr>
      <w:bookmarkStart w:id="394" w:name="_Toc407942725"/>
      <w:bookmarkStart w:id="395" w:name="_Toc408094131"/>
      <w:bookmarkStart w:id="396" w:name="_Toc408851115"/>
      <w:r w:rsidRPr="009B1EA0">
        <w:t>Summary of Wales-relevant articles in the EAFRD</w:t>
      </w:r>
      <w:bookmarkEnd w:id="394"/>
      <w:bookmarkEnd w:id="395"/>
      <w:bookmarkEnd w:id="396"/>
      <w:r w:rsidRPr="009B1EA0">
        <w:t xml:space="preserve"> </w:t>
      </w:r>
    </w:p>
    <w:tbl>
      <w:tblPr>
        <w:tblW w:w="5000" w:type="pct"/>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CellMar>
          <w:top w:w="57" w:type="dxa"/>
          <w:left w:w="0" w:type="dxa"/>
          <w:bottom w:w="28" w:type="dxa"/>
          <w:right w:w="0" w:type="dxa"/>
        </w:tblCellMar>
        <w:tblLook w:val="0000" w:firstRow="0" w:lastRow="0" w:firstColumn="0" w:lastColumn="0" w:noHBand="0" w:noVBand="0"/>
      </w:tblPr>
      <w:tblGrid>
        <w:gridCol w:w="1002"/>
        <w:gridCol w:w="322"/>
        <w:gridCol w:w="322"/>
        <w:gridCol w:w="322"/>
        <w:gridCol w:w="322"/>
        <w:gridCol w:w="322"/>
        <w:gridCol w:w="322"/>
        <w:gridCol w:w="322"/>
        <w:gridCol w:w="322"/>
        <w:gridCol w:w="322"/>
        <w:gridCol w:w="322"/>
        <w:gridCol w:w="322"/>
        <w:gridCol w:w="323"/>
        <w:gridCol w:w="323"/>
        <w:gridCol w:w="323"/>
        <w:gridCol w:w="323"/>
        <w:gridCol w:w="323"/>
        <w:gridCol w:w="323"/>
        <w:gridCol w:w="323"/>
        <w:gridCol w:w="323"/>
        <w:gridCol w:w="323"/>
        <w:gridCol w:w="323"/>
        <w:gridCol w:w="323"/>
        <w:gridCol w:w="323"/>
        <w:gridCol w:w="323"/>
        <w:gridCol w:w="322"/>
      </w:tblGrid>
      <w:tr w:rsidR="000005F4" w14:paraId="2ACFE389" w14:textId="77777777" w:rsidTr="000005F4">
        <w:trPr>
          <w:cantSplit/>
        </w:trPr>
        <w:tc>
          <w:tcPr>
            <w:tcW w:w="553" w:type="pct"/>
            <w:shd w:val="clear" w:color="auto" w:fill="auto"/>
          </w:tcPr>
          <w:p w14:paraId="4104AEB2" w14:textId="77777777" w:rsidR="000005F4" w:rsidRDefault="000005F4" w:rsidP="000005F4">
            <w:pPr>
              <w:pStyle w:val="TableHeading"/>
            </w:pPr>
          </w:p>
        </w:tc>
        <w:tc>
          <w:tcPr>
            <w:tcW w:w="4447" w:type="pct"/>
            <w:gridSpan w:val="25"/>
            <w:tcBorders>
              <w:bottom w:val="single" w:sz="2" w:space="0" w:color="FFFFFF" w:themeColor="background1"/>
            </w:tcBorders>
            <w:shd w:val="solid" w:color="0067AB" w:fill="0067AB"/>
          </w:tcPr>
          <w:p w14:paraId="6BAEC531" w14:textId="77777777" w:rsidR="000005F4" w:rsidRDefault="000005F4" w:rsidP="000005F4">
            <w:pPr>
              <w:pStyle w:val="TableHeadingWhite"/>
              <w:jc w:val="center"/>
            </w:pPr>
            <w:r>
              <w:t>Management action</w:t>
            </w:r>
          </w:p>
        </w:tc>
      </w:tr>
      <w:tr w:rsidR="000005F4" w14:paraId="7074A880" w14:textId="77777777" w:rsidTr="000005F4">
        <w:trPr>
          <w:cantSplit/>
        </w:trPr>
        <w:tc>
          <w:tcPr>
            <w:tcW w:w="553" w:type="pct"/>
            <w:shd w:val="clear" w:color="auto" w:fill="auto"/>
          </w:tcPr>
          <w:p w14:paraId="0458C6A1" w14:textId="77777777" w:rsidR="000005F4" w:rsidRDefault="000005F4" w:rsidP="000005F4">
            <w:pPr>
              <w:pStyle w:val="TableHeading"/>
            </w:pPr>
            <w:r>
              <w:t>Article</w:t>
            </w:r>
          </w:p>
        </w:tc>
        <w:tc>
          <w:tcPr>
            <w:tcW w:w="178" w:type="pct"/>
            <w:tcBorders>
              <w:top w:val="single" w:sz="2" w:space="0" w:color="FFFFFF" w:themeColor="background1"/>
              <w:right w:val="single" w:sz="2" w:space="0" w:color="FFFFFF"/>
            </w:tcBorders>
            <w:shd w:val="solid" w:color="0067AB" w:fill="0067AB"/>
          </w:tcPr>
          <w:p w14:paraId="5CC8C961" w14:textId="77777777" w:rsidR="000005F4" w:rsidRDefault="000005F4" w:rsidP="000005F4">
            <w:pPr>
              <w:pStyle w:val="TableHeadingWhite"/>
            </w:pPr>
            <w:r>
              <w:t>1</w:t>
            </w:r>
          </w:p>
        </w:tc>
        <w:tc>
          <w:tcPr>
            <w:tcW w:w="178" w:type="pct"/>
            <w:tcBorders>
              <w:top w:val="single" w:sz="2" w:space="0" w:color="FFFFFF" w:themeColor="background1"/>
              <w:left w:val="single" w:sz="2" w:space="0" w:color="FFFFFF"/>
              <w:right w:val="single" w:sz="2" w:space="0" w:color="FFFFFF"/>
            </w:tcBorders>
            <w:shd w:val="solid" w:color="0067AB" w:fill="0067AB"/>
          </w:tcPr>
          <w:p w14:paraId="1DE2859A" w14:textId="77777777" w:rsidR="000005F4" w:rsidRDefault="000005F4" w:rsidP="000005F4">
            <w:pPr>
              <w:pStyle w:val="TableHeadingWhite"/>
            </w:pPr>
            <w:r>
              <w:t>2</w:t>
            </w:r>
          </w:p>
        </w:tc>
        <w:tc>
          <w:tcPr>
            <w:tcW w:w="178" w:type="pct"/>
            <w:tcBorders>
              <w:top w:val="single" w:sz="2" w:space="0" w:color="FFFFFF" w:themeColor="background1"/>
              <w:left w:val="single" w:sz="2" w:space="0" w:color="FFFFFF"/>
              <w:right w:val="single" w:sz="2" w:space="0" w:color="FFFFFF"/>
            </w:tcBorders>
            <w:shd w:val="solid" w:color="0067AB" w:fill="0067AB"/>
          </w:tcPr>
          <w:p w14:paraId="162C25FC" w14:textId="77777777" w:rsidR="000005F4" w:rsidRDefault="000005F4" w:rsidP="000005F4">
            <w:pPr>
              <w:pStyle w:val="TableHeadingWhite"/>
            </w:pPr>
            <w:r>
              <w:t>3</w:t>
            </w:r>
          </w:p>
        </w:tc>
        <w:tc>
          <w:tcPr>
            <w:tcW w:w="178" w:type="pct"/>
            <w:tcBorders>
              <w:top w:val="single" w:sz="2" w:space="0" w:color="FFFFFF" w:themeColor="background1"/>
              <w:left w:val="single" w:sz="2" w:space="0" w:color="FFFFFF"/>
              <w:right w:val="single" w:sz="2" w:space="0" w:color="FFFFFF"/>
            </w:tcBorders>
            <w:shd w:val="solid" w:color="0067AB" w:fill="0067AB"/>
          </w:tcPr>
          <w:p w14:paraId="36BA0180" w14:textId="77777777" w:rsidR="000005F4" w:rsidRDefault="000005F4" w:rsidP="000005F4">
            <w:pPr>
              <w:pStyle w:val="TableHeadingWhite"/>
            </w:pPr>
            <w:r>
              <w:t>4</w:t>
            </w:r>
          </w:p>
        </w:tc>
        <w:tc>
          <w:tcPr>
            <w:tcW w:w="178" w:type="pct"/>
            <w:tcBorders>
              <w:top w:val="single" w:sz="2" w:space="0" w:color="FFFFFF" w:themeColor="background1"/>
              <w:left w:val="single" w:sz="2" w:space="0" w:color="FFFFFF"/>
              <w:right w:val="single" w:sz="2" w:space="0" w:color="FFFFFF"/>
            </w:tcBorders>
            <w:shd w:val="solid" w:color="0067AB" w:fill="0067AB"/>
          </w:tcPr>
          <w:p w14:paraId="18D853E2" w14:textId="77777777" w:rsidR="000005F4" w:rsidRDefault="000005F4" w:rsidP="000005F4">
            <w:pPr>
              <w:pStyle w:val="TableHeadingWhite"/>
            </w:pPr>
            <w:r>
              <w:t>5</w:t>
            </w:r>
          </w:p>
        </w:tc>
        <w:tc>
          <w:tcPr>
            <w:tcW w:w="178" w:type="pct"/>
            <w:tcBorders>
              <w:top w:val="single" w:sz="2" w:space="0" w:color="FFFFFF" w:themeColor="background1"/>
              <w:left w:val="single" w:sz="2" w:space="0" w:color="FFFFFF"/>
              <w:right w:val="single" w:sz="2" w:space="0" w:color="FFFFFF"/>
            </w:tcBorders>
            <w:shd w:val="solid" w:color="0067AB" w:fill="0067AB"/>
          </w:tcPr>
          <w:p w14:paraId="3E16CA69" w14:textId="77777777" w:rsidR="000005F4" w:rsidRDefault="000005F4" w:rsidP="000005F4">
            <w:pPr>
              <w:pStyle w:val="TableHeadingWhite"/>
            </w:pPr>
            <w:r>
              <w:t>6</w:t>
            </w:r>
          </w:p>
        </w:tc>
        <w:tc>
          <w:tcPr>
            <w:tcW w:w="178" w:type="pct"/>
            <w:tcBorders>
              <w:top w:val="single" w:sz="2" w:space="0" w:color="FFFFFF" w:themeColor="background1"/>
              <w:left w:val="single" w:sz="2" w:space="0" w:color="FFFFFF"/>
              <w:right w:val="single" w:sz="2" w:space="0" w:color="FFFFFF"/>
            </w:tcBorders>
            <w:shd w:val="solid" w:color="0067AB" w:fill="0067AB"/>
          </w:tcPr>
          <w:p w14:paraId="0B5FF8A9" w14:textId="77777777" w:rsidR="000005F4" w:rsidRDefault="000005F4" w:rsidP="000005F4">
            <w:pPr>
              <w:pStyle w:val="TableHeadingWhite"/>
            </w:pPr>
            <w:r>
              <w:t>7</w:t>
            </w:r>
          </w:p>
        </w:tc>
        <w:tc>
          <w:tcPr>
            <w:tcW w:w="178" w:type="pct"/>
            <w:tcBorders>
              <w:top w:val="single" w:sz="2" w:space="0" w:color="FFFFFF" w:themeColor="background1"/>
              <w:left w:val="single" w:sz="2" w:space="0" w:color="FFFFFF"/>
              <w:right w:val="single" w:sz="2" w:space="0" w:color="FFFFFF"/>
            </w:tcBorders>
            <w:shd w:val="solid" w:color="0067AB" w:fill="0067AB"/>
          </w:tcPr>
          <w:p w14:paraId="7BD32F0D" w14:textId="77777777" w:rsidR="000005F4" w:rsidRDefault="000005F4" w:rsidP="000005F4">
            <w:pPr>
              <w:pStyle w:val="TableHeadingWhite"/>
            </w:pPr>
            <w:r>
              <w:t>8</w:t>
            </w:r>
          </w:p>
        </w:tc>
        <w:tc>
          <w:tcPr>
            <w:tcW w:w="178" w:type="pct"/>
            <w:tcBorders>
              <w:top w:val="single" w:sz="2" w:space="0" w:color="FFFFFF" w:themeColor="background1"/>
              <w:left w:val="single" w:sz="2" w:space="0" w:color="FFFFFF"/>
              <w:right w:val="single" w:sz="2" w:space="0" w:color="FFFFFF"/>
            </w:tcBorders>
            <w:shd w:val="solid" w:color="0067AB" w:fill="0067AB"/>
          </w:tcPr>
          <w:p w14:paraId="6FC106BF" w14:textId="77777777" w:rsidR="000005F4" w:rsidRDefault="000005F4" w:rsidP="000005F4">
            <w:pPr>
              <w:pStyle w:val="TableHeadingWhite"/>
            </w:pPr>
            <w:r>
              <w:t>9</w:t>
            </w:r>
          </w:p>
        </w:tc>
        <w:tc>
          <w:tcPr>
            <w:tcW w:w="178" w:type="pct"/>
            <w:tcBorders>
              <w:top w:val="single" w:sz="2" w:space="0" w:color="FFFFFF" w:themeColor="background1"/>
              <w:left w:val="single" w:sz="2" w:space="0" w:color="FFFFFF"/>
              <w:right w:val="single" w:sz="2" w:space="0" w:color="FFFFFF"/>
            </w:tcBorders>
            <w:shd w:val="solid" w:color="0067AB" w:fill="0067AB"/>
          </w:tcPr>
          <w:p w14:paraId="5B2CC57F" w14:textId="77777777" w:rsidR="000005F4" w:rsidRDefault="000005F4" w:rsidP="000005F4">
            <w:pPr>
              <w:pStyle w:val="TableHeadingWhite"/>
            </w:pPr>
            <w:r>
              <w:t>10</w:t>
            </w:r>
          </w:p>
        </w:tc>
        <w:tc>
          <w:tcPr>
            <w:tcW w:w="178" w:type="pct"/>
            <w:tcBorders>
              <w:top w:val="single" w:sz="2" w:space="0" w:color="FFFFFF" w:themeColor="background1"/>
              <w:left w:val="single" w:sz="2" w:space="0" w:color="FFFFFF"/>
              <w:right w:val="single" w:sz="2" w:space="0" w:color="FFFFFF"/>
            </w:tcBorders>
            <w:shd w:val="solid" w:color="0067AB" w:fill="0067AB"/>
          </w:tcPr>
          <w:p w14:paraId="5FA17991" w14:textId="77777777" w:rsidR="000005F4" w:rsidRDefault="000005F4" w:rsidP="000005F4">
            <w:pPr>
              <w:pStyle w:val="TableHeadingWhite"/>
            </w:pPr>
            <w:r>
              <w:t>11</w:t>
            </w:r>
          </w:p>
        </w:tc>
        <w:tc>
          <w:tcPr>
            <w:tcW w:w="178" w:type="pct"/>
            <w:tcBorders>
              <w:top w:val="single" w:sz="2" w:space="0" w:color="FFFFFF" w:themeColor="background1"/>
              <w:left w:val="single" w:sz="2" w:space="0" w:color="FFFFFF"/>
              <w:right w:val="single" w:sz="2" w:space="0" w:color="FFFFFF"/>
            </w:tcBorders>
            <w:shd w:val="solid" w:color="0067AB" w:fill="0067AB"/>
          </w:tcPr>
          <w:p w14:paraId="50C1A71C" w14:textId="77777777" w:rsidR="000005F4" w:rsidRDefault="000005F4" w:rsidP="000005F4">
            <w:pPr>
              <w:pStyle w:val="TableHeadingWhite"/>
            </w:pPr>
            <w:r>
              <w:t>12</w:t>
            </w:r>
          </w:p>
        </w:tc>
        <w:tc>
          <w:tcPr>
            <w:tcW w:w="178" w:type="pct"/>
            <w:tcBorders>
              <w:top w:val="single" w:sz="2" w:space="0" w:color="FFFFFF" w:themeColor="background1"/>
              <w:left w:val="single" w:sz="2" w:space="0" w:color="FFFFFF"/>
              <w:right w:val="single" w:sz="2" w:space="0" w:color="FFFFFF"/>
            </w:tcBorders>
            <w:shd w:val="solid" w:color="0067AB" w:fill="0067AB"/>
          </w:tcPr>
          <w:p w14:paraId="3034CB8B" w14:textId="77777777" w:rsidR="000005F4" w:rsidRDefault="000005F4" w:rsidP="000005F4">
            <w:pPr>
              <w:pStyle w:val="TableHeadingWhite"/>
            </w:pPr>
            <w:r>
              <w:t>13</w:t>
            </w:r>
          </w:p>
        </w:tc>
        <w:tc>
          <w:tcPr>
            <w:tcW w:w="178" w:type="pct"/>
            <w:tcBorders>
              <w:top w:val="single" w:sz="2" w:space="0" w:color="FFFFFF" w:themeColor="background1"/>
              <w:left w:val="single" w:sz="2" w:space="0" w:color="FFFFFF"/>
              <w:right w:val="single" w:sz="2" w:space="0" w:color="FFFFFF"/>
            </w:tcBorders>
            <w:shd w:val="solid" w:color="0067AB" w:fill="0067AB"/>
          </w:tcPr>
          <w:p w14:paraId="74715C53" w14:textId="77777777" w:rsidR="000005F4" w:rsidRDefault="000005F4" w:rsidP="000005F4">
            <w:pPr>
              <w:pStyle w:val="TableHeadingWhite"/>
            </w:pPr>
            <w:r>
              <w:t>14</w:t>
            </w:r>
          </w:p>
        </w:tc>
        <w:tc>
          <w:tcPr>
            <w:tcW w:w="178" w:type="pct"/>
            <w:tcBorders>
              <w:top w:val="single" w:sz="2" w:space="0" w:color="FFFFFF" w:themeColor="background1"/>
              <w:left w:val="single" w:sz="2" w:space="0" w:color="FFFFFF"/>
              <w:right w:val="single" w:sz="2" w:space="0" w:color="FFFFFF"/>
            </w:tcBorders>
            <w:shd w:val="solid" w:color="0067AB" w:fill="0067AB"/>
          </w:tcPr>
          <w:p w14:paraId="3BEFCB46" w14:textId="77777777" w:rsidR="000005F4" w:rsidRDefault="000005F4" w:rsidP="000005F4">
            <w:pPr>
              <w:pStyle w:val="TableHeadingWhite"/>
            </w:pPr>
            <w:r>
              <w:t>15</w:t>
            </w:r>
          </w:p>
        </w:tc>
        <w:tc>
          <w:tcPr>
            <w:tcW w:w="178" w:type="pct"/>
            <w:tcBorders>
              <w:top w:val="single" w:sz="2" w:space="0" w:color="FFFFFF" w:themeColor="background1"/>
              <w:left w:val="single" w:sz="2" w:space="0" w:color="FFFFFF"/>
              <w:right w:val="single" w:sz="2" w:space="0" w:color="FFFFFF"/>
            </w:tcBorders>
            <w:shd w:val="solid" w:color="0067AB" w:fill="0067AB"/>
          </w:tcPr>
          <w:p w14:paraId="7955FE4A" w14:textId="77777777" w:rsidR="000005F4" w:rsidRDefault="000005F4" w:rsidP="000005F4">
            <w:pPr>
              <w:pStyle w:val="TableHeadingWhite"/>
            </w:pPr>
            <w:r>
              <w:t>16</w:t>
            </w:r>
          </w:p>
        </w:tc>
        <w:tc>
          <w:tcPr>
            <w:tcW w:w="178" w:type="pct"/>
            <w:tcBorders>
              <w:top w:val="single" w:sz="2" w:space="0" w:color="FFFFFF" w:themeColor="background1"/>
              <w:left w:val="single" w:sz="2" w:space="0" w:color="FFFFFF"/>
              <w:right w:val="single" w:sz="2" w:space="0" w:color="FFFFFF"/>
            </w:tcBorders>
            <w:shd w:val="solid" w:color="0067AB" w:fill="0067AB"/>
          </w:tcPr>
          <w:p w14:paraId="7309501F" w14:textId="77777777" w:rsidR="000005F4" w:rsidRDefault="000005F4" w:rsidP="000005F4">
            <w:pPr>
              <w:pStyle w:val="TableHeadingWhite"/>
            </w:pPr>
            <w:r>
              <w:t>17</w:t>
            </w:r>
          </w:p>
        </w:tc>
        <w:tc>
          <w:tcPr>
            <w:tcW w:w="178" w:type="pct"/>
            <w:tcBorders>
              <w:top w:val="single" w:sz="2" w:space="0" w:color="FFFFFF" w:themeColor="background1"/>
              <w:left w:val="single" w:sz="2" w:space="0" w:color="FFFFFF"/>
              <w:bottom w:val="nil"/>
              <w:right w:val="single" w:sz="2" w:space="0" w:color="FFFFFF"/>
            </w:tcBorders>
            <w:shd w:val="solid" w:color="0067AB" w:fill="0067AB"/>
          </w:tcPr>
          <w:p w14:paraId="47539D30" w14:textId="77777777" w:rsidR="000005F4" w:rsidRDefault="000005F4" w:rsidP="000005F4">
            <w:pPr>
              <w:pStyle w:val="TableHeadingWhite"/>
            </w:pPr>
            <w:r>
              <w:t>18</w:t>
            </w:r>
          </w:p>
        </w:tc>
        <w:tc>
          <w:tcPr>
            <w:tcW w:w="178" w:type="pct"/>
            <w:tcBorders>
              <w:top w:val="single" w:sz="2" w:space="0" w:color="FFFFFF" w:themeColor="background1"/>
              <w:left w:val="single" w:sz="2" w:space="0" w:color="FFFFFF"/>
              <w:bottom w:val="nil"/>
              <w:right w:val="single" w:sz="2" w:space="0" w:color="FFFFFF"/>
            </w:tcBorders>
            <w:shd w:val="solid" w:color="0067AB" w:fill="0067AB"/>
          </w:tcPr>
          <w:p w14:paraId="6DC211E0" w14:textId="77777777" w:rsidR="000005F4" w:rsidRDefault="000005F4" w:rsidP="000005F4">
            <w:pPr>
              <w:pStyle w:val="TableHeadingWhite"/>
            </w:pPr>
            <w:r>
              <w:t>19</w:t>
            </w:r>
          </w:p>
        </w:tc>
        <w:tc>
          <w:tcPr>
            <w:tcW w:w="178" w:type="pct"/>
            <w:tcBorders>
              <w:top w:val="single" w:sz="2" w:space="0" w:color="FFFFFF" w:themeColor="background1"/>
              <w:left w:val="single" w:sz="2" w:space="0" w:color="FFFFFF"/>
              <w:right w:val="single" w:sz="2" w:space="0" w:color="FFFFFF"/>
            </w:tcBorders>
            <w:shd w:val="solid" w:color="0067AB" w:fill="0067AB"/>
          </w:tcPr>
          <w:p w14:paraId="4934BD9A" w14:textId="77777777" w:rsidR="000005F4" w:rsidRDefault="000005F4" w:rsidP="000005F4">
            <w:pPr>
              <w:pStyle w:val="TableHeadingWhite"/>
            </w:pPr>
            <w:r>
              <w:t>20</w:t>
            </w:r>
          </w:p>
        </w:tc>
        <w:tc>
          <w:tcPr>
            <w:tcW w:w="178" w:type="pct"/>
            <w:tcBorders>
              <w:top w:val="single" w:sz="2" w:space="0" w:color="FFFFFF" w:themeColor="background1"/>
              <w:left w:val="single" w:sz="2" w:space="0" w:color="FFFFFF"/>
              <w:right w:val="single" w:sz="2" w:space="0" w:color="FFFFFF"/>
            </w:tcBorders>
            <w:shd w:val="solid" w:color="0067AB" w:fill="0067AB"/>
          </w:tcPr>
          <w:p w14:paraId="075AA746" w14:textId="77777777" w:rsidR="000005F4" w:rsidRDefault="000005F4" w:rsidP="000005F4">
            <w:pPr>
              <w:pStyle w:val="TableHeadingWhite"/>
            </w:pPr>
            <w:r>
              <w:t>21</w:t>
            </w:r>
          </w:p>
        </w:tc>
        <w:tc>
          <w:tcPr>
            <w:tcW w:w="178" w:type="pct"/>
            <w:tcBorders>
              <w:top w:val="single" w:sz="2" w:space="0" w:color="FFFFFF" w:themeColor="background1"/>
              <w:left w:val="single" w:sz="2" w:space="0" w:color="FFFFFF"/>
              <w:right w:val="single" w:sz="2" w:space="0" w:color="FFFFFF"/>
            </w:tcBorders>
            <w:shd w:val="solid" w:color="0067AB" w:fill="0067AB"/>
          </w:tcPr>
          <w:p w14:paraId="3BCFD23E" w14:textId="77777777" w:rsidR="000005F4" w:rsidRDefault="000005F4" w:rsidP="000005F4">
            <w:pPr>
              <w:pStyle w:val="TableHeadingWhite"/>
            </w:pPr>
            <w:r>
              <w:t>22</w:t>
            </w:r>
          </w:p>
        </w:tc>
        <w:tc>
          <w:tcPr>
            <w:tcW w:w="178" w:type="pct"/>
            <w:tcBorders>
              <w:top w:val="single" w:sz="2" w:space="0" w:color="FFFFFF" w:themeColor="background1"/>
              <w:left w:val="single" w:sz="2" w:space="0" w:color="FFFFFF"/>
              <w:right w:val="single" w:sz="2" w:space="0" w:color="FFFFFF"/>
            </w:tcBorders>
            <w:shd w:val="solid" w:color="0067AB" w:fill="0067AB"/>
          </w:tcPr>
          <w:p w14:paraId="2EC155A3" w14:textId="77777777" w:rsidR="000005F4" w:rsidRDefault="000005F4" w:rsidP="000005F4">
            <w:pPr>
              <w:pStyle w:val="TableHeadingWhite"/>
            </w:pPr>
            <w:r>
              <w:t>23</w:t>
            </w:r>
          </w:p>
        </w:tc>
        <w:tc>
          <w:tcPr>
            <w:tcW w:w="178" w:type="pct"/>
            <w:tcBorders>
              <w:top w:val="single" w:sz="2" w:space="0" w:color="FFFFFF" w:themeColor="background1"/>
              <w:left w:val="single" w:sz="2" w:space="0" w:color="FFFFFF"/>
              <w:right w:val="single" w:sz="2" w:space="0" w:color="FFFFFF"/>
            </w:tcBorders>
            <w:shd w:val="solid" w:color="0067AB" w:fill="0067AB"/>
          </w:tcPr>
          <w:p w14:paraId="49FF2222" w14:textId="77777777" w:rsidR="000005F4" w:rsidRDefault="000005F4" w:rsidP="000005F4">
            <w:pPr>
              <w:pStyle w:val="TableHeadingWhite"/>
            </w:pPr>
            <w:r>
              <w:t>24</w:t>
            </w:r>
          </w:p>
        </w:tc>
        <w:tc>
          <w:tcPr>
            <w:tcW w:w="178" w:type="pct"/>
            <w:tcBorders>
              <w:top w:val="single" w:sz="2" w:space="0" w:color="FFFFFF" w:themeColor="background1"/>
              <w:left w:val="single" w:sz="2" w:space="0" w:color="FFFFFF"/>
            </w:tcBorders>
            <w:shd w:val="solid" w:color="0067AB" w:fill="0067AB"/>
          </w:tcPr>
          <w:p w14:paraId="5BCD5CF9" w14:textId="77777777" w:rsidR="000005F4" w:rsidRDefault="000005F4" w:rsidP="000005F4">
            <w:pPr>
              <w:pStyle w:val="TableHeadingWhite"/>
            </w:pPr>
            <w:r>
              <w:t>25</w:t>
            </w:r>
          </w:p>
        </w:tc>
      </w:tr>
      <w:tr w:rsidR="000005F4" w14:paraId="29E16781" w14:textId="77777777" w:rsidTr="000005F4">
        <w:tc>
          <w:tcPr>
            <w:tcW w:w="553" w:type="pct"/>
            <w:shd w:val="clear" w:color="auto" w:fill="EAF1DD" w:themeFill="accent3" w:themeFillTint="33"/>
          </w:tcPr>
          <w:p w14:paraId="467133DB" w14:textId="77777777" w:rsidR="000005F4" w:rsidRPr="005B0B91" w:rsidRDefault="000005F4" w:rsidP="000005F4">
            <w:pPr>
              <w:pStyle w:val="TableTextNoSpace"/>
              <w:ind w:right="-358"/>
              <w:rPr>
                <w:sz w:val="16"/>
              </w:rPr>
            </w:pPr>
            <w:r>
              <w:t>Article 14</w:t>
            </w:r>
          </w:p>
        </w:tc>
        <w:tc>
          <w:tcPr>
            <w:tcW w:w="178" w:type="pct"/>
            <w:shd w:val="clear" w:color="auto" w:fill="EAF1DD" w:themeFill="accent3" w:themeFillTint="33"/>
          </w:tcPr>
          <w:p w14:paraId="7FDF2E0C" w14:textId="77777777" w:rsidR="000005F4" w:rsidRDefault="000005F4" w:rsidP="000005F4">
            <w:pPr>
              <w:pStyle w:val="TableTextNoSpace"/>
            </w:pPr>
          </w:p>
        </w:tc>
        <w:tc>
          <w:tcPr>
            <w:tcW w:w="178" w:type="pct"/>
            <w:shd w:val="clear" w:color="auto" w:fill="EAF1DD" w:themeFill="accent3" w:themeFillTint="33"/>
          </w:tcPr>
          <w:p w14:paraId="2FF68C3B" w14:textId="77777777" w:rsidR="000005F4" w:rsidRDefault="000005F4" w:rsidP="000005F4">
            <w:pPr>
              <w:pStyle w:val="TableTextNoSpace"/>
            </w:pPr>
          </w:p>
        </w:tc>
        <w:tc>
          <w:tcPr>
            <w:tcW w:w="178" w:type="pct"/>
            <w:shd w:val="clear" w:color="auto" w:fill="EAF1DD" w:themeFill="accent3" w:themeFillTint="33"/>
          </w:tcPr>
          <w:p w14:paraId="206E6F4E" w14:textId="77777777" w:rsidR="000005F4" w:rsidRDefault="000005F4" w:rsidP="000005F4">
            <w:pPr>
              <w:pStyle w:val="TableTextNoSpace"/>
            </w:pPr>
            <w:r>
              <w:t>x</w:t>
            </w:r>
          </w:p>
        </w:tc>
        <w:tc>
          <w:tcPr>
            <w:tcW w:w="178" w:type="pct"/>
            <w:shd w:val="clear" w:color="auto" w:fill="EAF1DD" w:themeFill="accent3" w:themeFillTint="33"/>
          </w:tcPr>
          <w:p w14:paraId="47B0BBD5" w14:textId="77777777" w:rsidR="000005F4" w:rsidRDefault="000005F4" w:rsidP="000005F4">
            <w:pPr>
              <w:pStyle w:val="TableTextNoSpace"/>
            </w:pPr>
          </w:p>
        </w:tc>
        <w:tc>
          <w:tcPr>
            <w:tcW w:w="178" w:type="pct"/>
            <w:shd w:val="clear" w:color="auto" w:fill="EAF1DD" w:themeFill="accent3" w:themeFillTint="33"/>
          </w:tcPr>
          <w:p w14:paraId="6222B291" w14:textId="77777777" w:rsidR="000005F4" w:rsidRDefault="000005F4" w:rsidP="000005F4">
            <w:pPr>
              <w:pStyle w:val="TableTextNoSpace"/>
            </w:pPr>
          </w:p>
        </w:tc>
        <w:tc>
          <w:tcPr>
            <w:tcW w:w="178" w:type="pct"/>
            <w:shd w:val="clear" w:color="auto" w:fill="EAF1DD" w:themeFill="accent3" w:themeFillTint="33"/>
          </w:tcPr>
          <w:p w14:paraId="68295CDC" w14:textId="77777777" w:rsidR="000005F4" w:rsidRDefault="000005F4" w:rsidP="000005F4">
            <w:pPr>
              <w:pStyle w:val="TableTextNoSpace"/>
            </w:pPr>
          </w:p>
        </w:tc>
        <w:tc>
          <w:tcPr>
            <w:tcW w:w="178" w:type="pct"/>
            <w:shd w:val="clear" w:color="auto" w:fill="EAF1DD" w:themeFill="accent3" w:themeFillTint="33"/>
          </w:tcPr>
          <w:p w14:paraId="15DC4B40" w14:textId="77777777" w:rsidR="000005F4" w:rsidRDefault="000005F4" w:rsidP="000005F4">
            <w:pPr>
              <w:pStyle w:val="TableTextNoSpace"/>
            </w:pPr>
          </w:p>
        </w:tc>
        <w:tc>
          <w:tcPr>
            <w:tcW w:w="178" w:type="pct"/>
            <w:shd w:val="clear" w:color="auto" w:fill="EAF1DD" w:themeFill="accent3" w:themeFillTint="33"/>
          </w:tcPr>
          <w:p w14:paraId="3F3F9C3C" w14:textId="77777777" w:rsidR="000005F4" w:rsidRDefault="000005F4" w:rsidP="000005F4">
            <w:pPr>
              <w:pStyle w:val="TableTextNoSpace"/>
            </w:pPr>
          </w:p>
        </w:tc>
        <w:tc>
          <w:tcPr>
            <w:tcW w:w="178" w:type="pct"/>
            <w:shd w:val="clear" w:color="auto" w:fill="EAF1DD" w:themeFill="accent3" w:themeFillTint="33"/>
          </w:tcPr>
          <w:p w14:paraId="0659764D" w14:textId="77777777" w:rsidR="000005F4" w:rsidRDefault="000005F4" w:rsidP="000005F4">
            <w:pPr>
              <w:pStyle w:val="TableTextNoSpace"/>
            </w:pPr>
          </w:p>
        </w:tc>
        <w:tc>
          <w:tcPr>
            <w:tcW w:w="178" w:type="pct"/>
            <w:shd w:val="clear" w:color="auto" w:fill="EAF1DD" w:themeFill="accent3" w:themeFillTint="33"/>
          </w:tcPr>
          <w:p w14:paraId="311C2CE8" w14:textId="77777777" w:rsidR="000005F4" w:rsidRDefault="000005F4" w:rsidP="000005F4">
            <w:pPr>
              <w:pStyle w:val="TableTextNoSpace"/>
            </w:pPr>
          </w:p>
        </w:tc>
        <w:tc>
          <w:tcPr>
            <w:tcW w:w="178" w:type="pct"/>
            <w:shd w:val="clear" w:color="auto" w:fill="EAF1DD" w:themeFill="accent3" w:themeFillTint="33"/>
          </w:tcPr>
          <w:p w14:paraId="20F39E52" w14:textId="77777777" w:rsidR="000005F4" w:rsidRDefault="000005F4" w:rsidP="000005F4">
            <w:pPr>
              <w:pStyle w:val="TableTextNoSpace"/>
            </w:pPr>
          </w:p>
        </w:tc>
        <w:tc>
          <w:tcPr>
            <w:tcW w:w="178" w:type="pct"/>
            <w:shd w:val="clear" w:color="auto" w:fill="EAF1DD" w:themeFill="accent3" w:themeFillTint="33"/>
          </w:tcPr>
          <w:p w14:paraId="3D0D61B1" w14:textId="77777777" w:rsidR="000005F4" w:rsidRDefault="000005F4" w:rsidP="000005F4">
            <w:pPr>
              <w:pStyle w:val="TableTextNoSpace"/>
            </w:pPr>
          </w:p>
        </w:tc>
        <w:tc>
          <w:tcPr>
            <w:tcW w:w="178" w:type="pct"/>
            <w:shd w:val="clear" w:color="auto" w:fill="EAF1DD" w:themeFill="accent3" w:themeFillTint="33"/>
          </w:tcPr>
          <w:p w14:paraId="45699C17" w14:textId="77777777" w:rsidR="000005F4" w:rsidRDefault="000005F4" w:rsidP="000005F4">
            <w:pPr>
              <w:pStyle w:val="TableTextNoSpace"/>
            </w:pPr>
          </w:p>
        </w:tc>
        <w:tc>
          <w:tcPr>
            <w:tcW w:w="178" w:type="pct"/>
            <w:shd w:val="clear" w:color="auto" w:fill="EAF1DD" w:themeFill="accent3" w:themeFillTint="33"/>
          </w:tcPr>
          <w:p w14:paraId="7F96018F" w14:textId="77777777" w:rsidR="000005F4" w:rsidRDefault="000005F4" w:rsidP="000005F4">
            <w:pPr>
              <w:pStyle w:val="TableTextNoSpace"/>
            </w:pPr>
          </w:p>
        </w:tc>
        <w:tc>
          <w:tcPr>
            <w:tcW w:w="178" w:type="pct"/>
            <w:shd w:val="clear" w:color="auto" w:fill="EAF1DD" w:themeFill="accent3" w:themeFillTint="33"/>
          </w:tcPr>
          <w:p w14:paraId="38C6B7AC" w14:textId="77777777" w:rsidR="000005F4" w:rsidRDefault="000005F4" w:rsidP="000005F4">
            <w:pPr>
              <w:pStyle w:val="TableTextNoSpace"/>
            </w:pPr>
          </w:p>
        </w:tc>
        <w:tc>
          <w:tcPr>
            <w:tcW w:w="178" w:type="pct"/>
            <w:shd w:val="clear" w:color="auto" w:fill="EAF1DD" w:themeFill="accent3" w:themeFillTint="33"/>
          </w:tcPr>
          <w:p w14:paraId="3A810A8A" w14:textId="77777777" w:rsidR="000005F4" w:rsidRDefault="000005F4" w:rsidP="000005F4">
            <w:pPr>
              <w:pStyle w:val="TableTextNoSpace"/>
            </w:pPr>
          </w:p>
        </w:tc>
        <w:tc>
          <w:tcPr>
            <w:tcW w:w="178" w:type="pct"/>
            <w:shd w:val="clear" w:color="auto" w:fill="EAF1DD" w:themeFill="accent3" w:themeFillTint="33"/>
          </w:tcPr>
          <w:p w14:paraId="037E2DCC" w14:textId="77777777" w:rsidR="000005F4" w:rsidRDefault="000005F4" w:rsidP="000005F4">
            <w:pPr>
              <w:pStyle w:val="TableTextNoSpace"/>
            </w:pPr>
          </w:p>
        </w:tc>
        <w:tc>
          <w:tcPr>
            <w:tcW w:w="178" w:type="pct"/>
            <w:tcBorders>
              <w:top w:val="nil"/>
            </w:tcBorders>
            <w:shd w:val="clear" w:color="auto" w:fill="EAF1DD" w:themeFill="accent3" w:themeFillTint="33"/>
          </w:tcPr>
          <w:p w14:paraId="1AAFA089" w14:textId="77777777" w:rsidR="000005F4" w:rsidRDefault="000005F4" w:rsidP="000005F4">
            <w:pPr>
              <w:pStyle w:val="TableTextNoSpace"/>
            </w:pPr>
          </w:p>
        </w:tc>
        <w:tc>
          <w:tcPr>
            <w:tcW w:w="178" w:type="pct"/>
            <w:tcBorders>
              <w:top w:val="nil"/>
            </w:tcBorders>
            <w:shd w:val="clear" w:color="auto" w:fill="EAF1DD" w:themeFill="accent3" w:themeFillTint="33"/>
          </w:tcPr>
          <w:p w14:paraId="5EAE6ECD" w14:textId="77777777" w:rsidR="000005F4" w:rsidRDefault="000005F4" w:rsidP="000005F4">
            <w:pPr>
              <w:pStyle w:val="TableTextNoSpace"/>
            </w:pPr>
            <w:r>
              <w:t>x</w:t>
            </w:r>
          </w:p>
        </w:tc>
        <w:tc>
          <w:tcPr>
            <w:tcW w:w="178" w:type="pct"/>
            <w:shd w:val="clear" w:color="auto" w:fill="EAF1DD" w:themeFill="accent3" w:themeFillTint="33"/>
          </w:tcPr>
          <w:p w14:paraId="64DD8FCD" w14:textId="77777777" w:rsidR="000005F4" w:rsidRDefault="000005F4" w:rsidP="000005F4">
            <w:pPr>
              <w:pStyle w:val="TableTextNoSpace"/>
            </w:pPr>
          </w:p>
        </w:tc>
        <w:tc>
          <w:tcPr>
            <w:tcW w:w="178" w:type="pct"/>
            <w:shd w:val="clear" w:color="auto" w:fill="EAF1DD" w:themeFill="accent3" w:themeFillTint="33"/>
          </w:tcPr>
          <w:p w14:paraId="22E2A9CE" w14:textId="77777777" w:rsidR="000005F4" w:rsidRDefault="000005F4" w:rsidP="000005F4">
            <w:pPr>
              <w:pStyle w:val="TableTextNoSpace"/>
            </w:pPr>
            <w:r>
              <w:t>x</w:t>
            </w:r>
          </w:p>
        </w:tc>
        <w:tc>
          <w:tcPr>
            <w:tcW w:w="178" w:type="pct"/>
            <w:shd w:val="clear" w:color="auto" w:fill="EAF1DD" w:themeFill="accent3" w:themeFillTint="33"/>
          </w:tcPr>
          <w:p w14:paraId="6C9900C0" w14:textId="77777777" w:rsidR="000005F4" w:rsidRDefault="000005F4" w:rsidP="000005F4">
            <w:pPr>
              <w:pStyle w:val="TableTextNoSpace"/>
            </w:pPr>
          </w:p>
        </w:tc>
        <w:tc>
          <w:tcPr>
            <w:tcW w:w="178" w:type="pct"/>
            <w:shd w:val="clear" w:color="auto" w:fill="EAF1DD" w:themeFill="accent3" w:themeFillTint="33"/>
          </w:tcPr>
          <w:p w14:paraId="44BEB970" w14:textId="77777777" w:rsidR="000005F4" w:rsidRDefault="000005F4" w:rsidP="000005F4">
            <w:pPr>
              <w:pStyle w:val="TableTextNoSpace"/>
            </w:pPr>
          </w:p>
        </w:tc>
        <w:tc>
          <w:tcPr>
            <w:tcW w:w="178" w:type="pct"/>
            <w:shd w:val="clear" w:color="auto" w:fill="EAF1DD" w:themeFill="accent3" w:themeFillTint="33"/>
          </w:tcPr>
          <w:p w14:paraId="63DCE8E8" w14:textId="77777777" w:rsidR="000005F4" w:rsidRDefault="000005F4" w:rsidP="000005F4">
            <w:pPr>
              <w:pStyle w:val="TableTextNoSpace"/>
            </w:pPr>
          </w:p>
        </w:tc>
        <w:tc>
          <w:tcPr>
            <w:tcW w:w="178" w:type="pct"/>
            <w:shd w:val="clear" w:color="auto" w:fill="EAF1DD" w:themeFill="accent3" w:themeFillTint="33"/>
          </w:tcPr>
          <w:p w14:paraId="2CE009B6" w14:textId="77777777" w:rsidR="000005F4" w:rsidRDefault="000005F4" w:rsidP="000005F4">
            <w:pPr>
              <w:pStyle w:val="TableTextNoSpace"/>
            </w:pPr>
          </w:p>
        </w:tc>
      </w:tr>
      <w:tr w:rsidR="000005F4" w14:paraId="75F7620A" w14:textId="77777777" w:rsidTr="000005F4">
        <w:tc>
          <w:tcPr>
            <w:tcW w:w="553" w:type="pct"/>
            <w:shd w:val="clear" w:color="auto" w:fill="EAF1DD" w:themeFill="accent3" w:themeFillTint="33"/>
          </w:tcPr>
          <w:p w14:paraId="474C9847" w14:textId="77777777" w:rsidR="000005F4" w:rsidRPr="005B0B91" w:rsidRDefault="000005F4" w:rsidP="000005F4">
            <w:pPr>
              <w:pStyle w:val="TableTextNoSpace"/>
              <w:rPr>
                <w:sz w:val="16"/>
                <w:szCs w:val="16"/>
              </w:rPr>
            </w:pPr>
            <w:r w:rsidRPr="003B3BB6">
              <w:t>Article 15</w:t>
            </w:r>
          </w:p>
        </w:tc>
        <w:tc>
          <w:tcPr>
            <w:tcW w:w="178" w:type="pct"/>
            <w:shd w:val="clear" w:color="auto" w:fill="EAF1DD" w:themeFill="accent3" w:themeFillTint="33"/>
          </w:tcPr>
          <w:p w14:paraId="607AC285" w14:textId="77777777" w:rsidR="000005F4" w:rsidRDefault="000005F4" w:rsidP="000005F4">
            <w:pPr>
              <w:pStyle w:val="TableTextNoSpace"/>
            </w:pPr>
          </w:p>
        </w:tc>
        <w:tc>
          <w:tcPr>
            <w:tcW w:w="178" w:type="pct"/>
            <w:shd w:val="clear" w:color="auto" w:fill="EAF1DD" w:themeFill="accent3" w:themeFillTint="33"/>
          </w:tcPr>
          <w:p w14:paraId="60854347" w14:textId="77777777" w:rsidR="000005F4" w:rsidRDefault="000005F4" w:rsidP="000005F4">
            <w:pPr>
              <w:pStyle w:val="TableTextNoSpace"/>
            </w:pPr>
          </w:p>
        </w:tc>
        <w:tc>
          <w:tcPr>
            <w:tcW w:w="178" w:type="pct"/>
            <w:shd w:val="clear" w:color="auto" w:fill="EAF1DD" w:themeFill="accent3" w:themeFillTint="33"/>
          </w:tcPr>
          <w:p w14:paraId="7372E843" w14:textId="77777777" w:rsidR="000005F4" w:rsidRDefault="000005F4" w:rsidP="000005F4">
            <w:pPr>
              <w:pStyle w:val="TableTextNoSpace"/>
            </w:pPr>
            <w:r>
              <w:t>x</w:t>
            </w:r>
          </w:p>
        </w:tc>
        <w:tc>
          <w:tcPr>
            <w:tcW w:w="178" w:type="pct"/>
            <w:shd w:val="clear" w:color="auto" w:fill="EAF1DD" w:themeFill="accent3" w:themeFillTint="33"/>
          </w:tcPr>
          <w:p w14:paraId="1A453AA5" w14:textId="77777777" w:rsidR="000005F4" w:rsidRDefault="000005F4" w:rsidP="000005F4">
            <w:pPr>
              <w:pStyle w:val="TableTextNoSpace"/>
            </w:pPr>
          </w:p>
        </w:tc>
        <w:tc>
          <w:tcPr>
            <w:tcW w:w="178" w:type="pct"/>
            <w:shd w:val="clear" w:color="auto" w:fill="EAF1DD" w:themeFill="accent3" w:themeFillTint="33"/>
          </w:tcPr>
          <w:p w14:paraId="6CE7796C" w14:textId="77777777" w:rsidR="000005F4" w:rsidRDefault="000005F4" w:rsidP="000005F4">
            <w:pPr>
              <w:pStyle w:val="TableTextNoSpace"/>
            </w:pPr>
          </w:p>
        </w:tc>
        <w:tc>
          <w:tcPr>
            <w:tcW w:w="178" w:type="pct"/>
            <w:shd w:val="clear" w:color="auto" w:fill="EAF1DD" w:themeFill="accent3" w:themeFillTint="33"/>
          </w:tcPr>
          <w:p w14:paraId="072A07E5" w14:textId="77777777" w:rsidR="000005F4" w:rsidRDefault="000005F4" w:rsidP="000005F4">
            <w:pPr>
              <w:pStyle w:val="TableTextNoSpace"/>
            </w:pPr>
          </w:p>
        </w:tc>
        <w:tc>
          <w:tcPr>
            <w:tcW w:w="178" w:type="pct"/>
            <w:shd w:val="clear" w:color="auto" w:fill="EAF1DD" w:themeFill="accent3" w:themeFillTint="33"/>
          </w:tcPr>
          <w:p w14:paraId="727D7FC8" w14:textId="77777777" w:rsidR="000005F4" w:rsidRDefault="000005F4" w:rsidP="000005F4">
            <w:pPr>
              <w:pStyle w:val="TableTextNoSpace"/>
            </w:pPr>
          </w:p>
        </w:tc>
        <w:tc>
          <w:tcPr>
            <w:tcW w:w="178" w:type="pct"/>
            <w:shd w:val="clear" w:color="auto" w:fill="EAF1DD" w:themeFill="accent3" w:themeFillTint="33"/>
          </w:tcPr>
          <w:p w14:paraId="539C0036" w14:textId="77777777" w:rsidR="000005F4" w:rsidRDefault="000005F4" w:rsidP="000005F4">
            <w:pPr>
              <w:pStyle w:val="TableTextNoSpace"/>
            </w:pPr>
          </w:p>
        </w:tc>
        <w:tc>
          <w:tcPr>
            <w:tcW w:w="178" w:type="pct"/>
            <w:shd w:val="clear" w:color="auto" w:fill="EAF1DD" w:themeFill="accent3" w:themeFillTint="33"/>
          </w:tcPr>
          <w:p w14:paraId="22C0E878" w14:textId="77777777" w:rsidR="000005F4" w:rsidRDefault="000005F4" w:rsidP="000005F4">
            <w:pPr>
              <w:pStyle w:val="TableTextNoSpace"/>
            </w:pPr>
          </w:p>
        </w:tc>
        <w:tc>
          <w:tcPr>
            <w:tcW w:w="178" w:type="pct"/>
            <w:shd w:val="clear" w:color="auto" w:fill="EAF1DD" w:themeFill="accent3" w:themeFillTint="33"/>
          </w:tcPr>
          <w:p w14:paraId="5DA2F6B2" w14:textId="77777777" w:rsidR="000005F4" w:rsidRDefault="000005F4" w:rsidP="000005F4">
            <w:pPr>
              <w:pStyle w:val="TableTextNoSpace"/>
            </w:pPr>
          </w:p>
        </w:tc>
        <w:tc>
          <w:tcPr>
            <w:tcW w:w="178" w:type="pct"/>
            <w:shd w:val="clear" w:color="auto" w:fill="EAF1DD" w:themeFill="accent3" w:themeFillTint="33"/>
          </w:tcPr>
          <w:p w14:paraId="4FDEDFDB" w14:textId="77777777" w:rsidR="000005F4" w:rsidRDefault="000005F4" w:rsidP="000005F4">
            <w:pPr>
              <w:pStyle w:val="TableTextNoSpace"/>
            </w:pPr>
          </w:p>
        </w:tc>
        <w:tc>
          <w:tcPr>
            <w:tcW w:w="178" w:type="pct"/>
            <w:shd w:val="clear" w:color="auto" w:fill="EAF1DD" w:themeFill="accent3" w:themeFillTint="33"/>
          </w:tcPr>
          <w:p w14:paraId="343EC28E" w14:textId="77777777" w:rsidR="000005F4" w:rsidRDefault="000005F4" w:rsidP="000005F4">
            <w:pPr>
              <w:pStyle w:val="TableTextNoSpace"/>
            </w:pPr>
          </w:p>
        </w:tc>
        <w:tc>
          <w:tcPr>
            <w:tcW w:w="178" w:type="pct"/>
            <w:shd w:val="clear" w:color="auto" w:fill="EAF1DD" w:themeFill="accent3" w:themeFillTint="33"/>
          </w:tcPr>
          <w:p w14:paraId="66BA8DF0" w14:textId="77777777" w:rsidR="000005F4" w:rsidRDefault="000005F4" w:rsidP="000005F4">
            <w:pPr>
              <w:pStyle w:val="TableTextNoSpace"/>
            </w:pPr>
          </w:p>
        </w:tc>
        <w:tc>
          <w:tcPr>
            <w:tcW w:w="178" w:type="pct"/>
            <w:shd w:val="clear" w:color="auto" w:fill="EAF1DD" w:themeFill="accent3" w:themeFillTint="33"/>
          </w:tcPr>
          <w:p w14:paraId="1DE40D8D" w14:textId="77777777" w:rsidR="000005F4" w:rsidRDefault="000005F4" w:rsidP="000005F4">
            <w:pPr>
              <w:pStyle w:val="TableTextNoSpace"/>
            </w:pPr>
          </w:p>
        </w:tc>
        <w:tc>
          <w:tcPr>
            <w:tcW w:w="178" w:type="pct"/>
            <w:shd w:val="clear" w:color="auto" w:fill="EAF1DD" w:themeFill="accent3" w:themeFillTint="33"/>
          </w:tcPr>
          <w:p w14:paraId="50E89A23" w14:textId="77777777" w:rsidR="000005F4" w:rsidRDefault="000005F4" w:rsidP="000005F4">
            <w:pPr>
              <w:pStyle w:val="TableTextNoSpace"/>
            </w:pPr>
          </w:p>
        </w:tc>
        <w:tc>
          <w:tcPr>
            <w:tcW w:w="178" w:type="pct"/>
            <w:shd w:val="clear" w:color="auto" w:fill="EAF1DD" w:themeFill="accent3" w:themeFillTint="33"/>
          </w:tcPr>
          <w:p w14:paraId="066E083C" w14:textId="77777777" w:rsidR="000005F4" w:rsidRDefault="000005F4" w:rsidP="000005F4">
            <w:pPr>
              <w:pStyle w:val="TableTextNoSpace"/>
            </w:pPr>
          </w:p>
        </w:tc>
        <w:tc>
          <w:tcPr>
            <w:tcW w:w="178" w:type="pct"/>
            <w:shd w:val="clear" w:color="auto" w:fill="EAF1DD" w:themeFill="accent3" w:themeFillTint="33"/>
          </w:tcPr>
          <w:p w14:paraId="463E9F44" w14:textId="77777777" w:rsidR="000005F4" w:rsidRDefault="000005F4" w:rsidP="000005F4">
            <w:pPr>
              <w:pStyle w:val="TableTextNoSpace"/>
            </w:pPr>
          </w:p>
        </w:tc>
        <w:tc>
          <w:tcPr>
            <w:tcW w:w="178" w:type="pct"/>
            <w:shd w:val="clear" w:color="auto" w:fill="EAF1DD" w:themeFill="accent3" w:themeFillTint="33"/>
          </w:tcPr>
          <w:p w14:paraId="6B70D9C1" w14:textId="77777777" w:rsidR="000005F4" w:rsidRDefault="000005F4" w:rsidP="000005F4">
            <w:pPr>
              <w:pStyle w:val="TableTextNoSpace"/>
            </w:pPr>
          </w:p>
        </w:tc>
        <w:tc>
          <w:tcPr>
            <w:tcW w:w="178" w:type="pct"/>
            <w:shd w:val="clear" w:color="auto" w:fill="EAF1DD" w:themeFill="accent3" w:themeFillTint="33"/>
          </w:tcPr>
          <w:p w14:paraId="635EAA16" w14:textId="77777777" w:rsidR="000005F4" w:rsidRDefault="000005F4" w:rsidP="000005F4">
            <w:pPr>
              <w:pStyle w:val="TableTextNoSpace"/>
            </w:pPr>
          </w:p>
        </w:tc>
        <w:tc>
          <w:tcPr>
            <w:tcW w:w="178" w:type="pct"/>
            <w:shd w:val="clear" w:color="auto" w:fill="EAF1DD" w:themeFill="accent3" w:themeFillTint="33"/>
          </w:tcPr>
          <w:p w14:paraId="41AFFA44" w14:textId="77777777" w:rsidR="000005F4" w:rsidRDefault="000005F4" w:rsidP="000005F4">
            <w:pPr>
              <w:pStyle w:val="TableTextNoSpace"/>
            </w:pPr>
          </w:p>
        </w:tc>
        <w:tc>
          <w:tcPr>
            <w:tcW w:w="178" w:type="pct"/>
            <w:shd w:val="clear" w:color="auto" w:fill="EAF1DD" w:themeFill="accent3" w:themeFillTint="33"/>
          </w:tcPr>
          <w:p w14:paraId="1720C83D" w14:textId="77777777" w:rsidR="000005F4" w:rsidRDefault="000005F4" w:rsidP="000005F4">
            <w:pPr>
              <w:pStyle w:val="TableTextNoSpace"/>
            </w:pPr>
            <w:r>
              <w:t>x</w:t>
            </w:r>
          </w:p>
        </w:tc>
        <w:tc>
          <w:tcPr>
            <w:tcW w:w="178" w:type="pct"/>
            <w:shd w:val="clear" w:color="auto" w:fill="EAF1DD" w:themeFill="accent3" w:themeFillTint="33"/>
          </w:tcPr>
          <w:p w14:paraId="5FAE9537" w14:textId="77777777" w:rsidR="000005F4" w:rsidRDefault="000005F4" w:rsidP="000005F4">
            <w:pPr>
              <w:pStyle w:val="TableTextNoSpace"/>
            </w:pPr>
          </w:p>
        </w:tc>
        <w:tc>
          <w:tcPr>
            <w:tcW w:w="178" w:type="pct"/>
            <w:shd w:val="clear" w:color="auto" w:fill="EAF1DD" w:themeFill="accent3" w:themeFillTint="33"/>
          </w:tcPr>
          <w:p w14:paraId="479F3CA4" w14:textId="77777777" w:rsidR="000005F4" w:rsidRDefault="000005F4" w:rsidP="000005F4">
            <w:pPr>
              <w:pStyle w:val="TableTextNoSpace"/>
            </w:pPr>
          </w:p>
        </w:tc>
        <w:tc>
          <w:tcPr>
            <w:tcW w:w="178" w:type="pct"/>
            <w:shd w:val="clear" w:color="auto" w:fill="EAF1DD" w:themeFill="accent3" w:themeFillTint="33"/>
          </w:tcPr>
          <w:p w14:paraId="42E63B5E" w14:textId="77777777" w:rsidR="000005F4" w:rsidRDefault="000005F4" w:rsidP="000005F4">
            <w:pPr>
              <w:pStyle w:val="TableTextNoSpace"/>
            </w:pPr>
          </w:p>
        </w:tc>
        <w:tc>
          <w:tcPr>
            <w:tcW w:w="178" w:type="pct"/>
            <w:shd w:val="clear" w:color="auto" w:fill="EAF1DD" w:themeFill="accent3" w:themeFillTint="33"/>
          </w:tcPr>
          <w:p w14:paraId="15804C2F" w14:textId="77777777" w:rsidR="000005F4" w:rsidRDefault="000005F4" w:rsidP="000005F4">
            <w:pPr>
              <w:pStyle w:val="TableTextNoSpace"/>
            </w:pPr>
          </w:p>
        </w:tc>
      </w:tr>
      <w:tr w:rsidR="000005F4" w14:paraId="3B8CEC5C" w14:textId="77777777" w:rsidTr="000005F4">
        <w:tc>
          <w:tcPr>
            <w:tcW w:w="553" w:type="pct"/>
            <w:shd w:val="clear" w:color="auto" w:fill="auto"/>
          </w:tcPr>
          <w:p w14:paraId="2E7917F7" w14:textId="77777777" w:rsidR="000005F4" w:rsidRPr="005B0B91" w:rsidRDefault="000005F4" w:rsidP="000005F4">
            <w:pPr>
              <w:pStyle w:val="TableTextNoSpace"/>
              <w:rPr>
                <w:sz w:val="16"/>
                <w:szCs w:val="16"/>
              </w:rPr>
            </w:pPr>
            <w:r w:rsidRPr="003B3BB6">
              <w:t>Article 16</w:t>
            </w:r>
          </w:p>
        </w:tc>
        <w:tc>
          <w:tcPr>
            <w:tcW w:w="178" w:type="pct"/>
            <w:shd w:val="clear" w:color="auto" w:fill="auto"/>
          </w:tcPr>
          <w:p w14:paraId="76991BCB" w14:textId="77777777" w:rsidR="000005F4" w:rsidRDefault="000005F4" w:rsidP="000005F4">
            <w:pPr>
              <w:pStyle w:val="TableTextNoSpace"/>
            </w:pPr>
          </w:p>
        </w:tc>
        <w:tc>
          <w:tcPr>
            <w:tcW w:w="178" w:type="pct"/>
            <w:shd w:val="clear" w:color="auto" w:fill="auto"/>
          </w:tcPr>
          <w:p w14:paraId="6ACC3C5F" w14:textId="77777777" w:rsidR="000005F4" w:rsidRDefault="000005F4" w:rsidP="000005F4">
            <w:pPr>
              <w:pStyle w:val="TableTextNoSpace"/>
            </w:pPr>
          </w:p>
        </w:tc>
        <w:tc>
          <w:tcPr>
            <w:tcW w:w="178" w:type="pct"/>
            <w:shd w:val="clear" w:color="auto" w:fill="auto"/>
          </w:tcPr>
          <w:p w14:paraId="3834EBA5" w14:textId="77777777" w:rsidR="000005F4" w:rsidRDefault="000005F4" w:rsidP="000005F4">
            <w:pPr>
              <w:pStyle w:val="TableTextNoSpace"/>
            </w:pPr>
          </w:p>
        </w:tc>
        <w:tc>
          <w:tcPr>
            <w:tcW w:w="178" w:type="pct"/>
            <w:shd w:val="clear" w:color="auto" w:fill="auto"/>
          </w:tcPr>
          <w:p w14:paraId="6140D867" w14:textId="77777777" w:rsidR="000005F4" w:rsidRDefault="000005F4" w:rsidP="000005F4">
            <w:pPr>
              <w:pStyle w:val="TableTextNoSpace"/>
            </w:pPr>
            <w:r>
              <w:t>x</w:t>
            </w:r>
          </w:p>
        </w:tc>
        <w:tc>
          <w:tcPr>
            <w:tcW w:w="178" w:type="pct"/>
            <w:shd w:val="clear" w:color="auto" w:fill="auto"/>
          </w:tcPr>
          <w:p w14:paraId="0FBAE1DB" w14:textId="77777777" w:rsidR="000005F4" w:rsidRDefault="000005F4" w:rsidP="000005F4">
            <w:pPr>
              <w:pStyle w:val="TableTextNoSpace"/>
            </w:pPr>
          </w:p>
        </w:tc>
        <w:tc>
          <w:tcPr>
            <w:tcW w:w="178" w:type="pct"/>
            <w:shd w:val="clear" w:color="auto" w:fill="auto"/>
          </w:tcPr>
          <w:p w14:paraId="0F773A65" w14:textId="77777777" w:rsidR="000005F4" w:rsidRDefault="000005F4" w:rsidP="000005F4">
            <w:pPr>
              <w:pStyle w:val="TableTextNoSpace"/>
            </w:pPr>
          </w:p>
        </w:tc>
        <w:tc>
          <w:tcPr>
            <w:tcW w:w="178" w:type="pct"/>
            <w:shd w:val="clear" w:color="auto" w:fill="auto"/>
          </w:tcPr>
          <w:p w14:paraId="6C07F221" w14:textId="77777777" w:rsidR="000005F4" w:rsidRDefault="000005F4" w:rsidP="000005F4">
            <w:pPr>
              <w:pStyle w:val="TableTextNoSpace"/>
            </w:pPr>
          </w:p>
        </w:tc>
        <w:tc>
          <w:tcPr>
            <w:tcW w:w="178" w:type="pct"/>
            <w:shd w:val="clear" w:color="auto" w:fill="auto"/>
          </w:tcPr>
          <w:p w14:paraId="07E0DA19" w14:textId="77777777" w:rsidR="000005F4" w:rsidRDefault="000005F4" w:rsidP="000005F4">
            <w:pPr>
              <w:pStyle w:val="TableTextNoSpace"/>
            </w:pPr>
          </w:p>
        </w:tc>
        <w:tc>
          <w:tcPr>
            <w:tcW w:w="178" w:type="pct"/>
            <w:shd w:val="clear" w:color="auto" w:fill="auto"/>
          </w:tcPr>
          <w:p w14:paraId="581B992B" w14:textId="77777777" w:rsidR="000005F4" w:rsidRDefault="000005F4" w:rsidP="000005F4">
            <w:pPr>
              <w:pStyle w:val="TableTextNoSpace"/>
            </w:pPr>
          </w:p>
        </w:tc>
        <w:tc>
          <w:tcPr>
            <w:tcW w:w="178" w:type="pct"/>
            <w:shd w:val="clear" w:color="auto" w:fill="auto"/>
          </w:tcPr>
          <w:p w14:paraId="35CFE748" w14:textId="77777777" w:rsidR="000005F4" w:rsidRDefault="000005F4" w:rsidP="000005F4">
            <w:pPr>
              <w:pStyle w:val="TableTextNoSpace"/>
            </w:pPr>
          </w:p>
        </w:tc>
        <w:tc>
          <w:tcPr>
            <w:tcW w:w="178" w:type="pct"/>
            <w:shd w:val="clear" w:color="auto" w:fill="auto"/>
          </w:tcPr>
          <w:p w14:paraId="03E874C6" w14:textId="77777777" w:rsidR="000005F4" w:rsidRDefault="000005F4" w:rsidP="000005F4">
            <w:pPr>
              <w:pStyle w:val="TableTextNoSpace"/>
            </w:pPr>
          </w:p>
        </w:tc>
        <w:tc>
          <w:tcPr>
            <w:tcW w:w="178" w:type="pct"/>
            <w:shd w:val="clear" w:color="auto" w:fill="auto"/>
          </w:tcPr>
          <w:p w14:paraId="07D48B94" w14:textId="77777777" w:rsidR="000005F4" w:rsidRDefault="000005F4" w:rsidP="000005F4">
            <w:pPr>
              <w:pStyle w:val="TableTextNoSpace"/>
            </w:pPr>
            <w:r>
              <w:t>x</w:t>
            </w:r>
          </w:p>
        </w:tc>
        <w:tc>
          <w:tcPr>
            <w:tcW w:w="178" w:type="pct"/>
            <w:shd w:val="clear" w:color="auto" w:fill="auto"/>
          </w:tcPr>
          <w:p w14:paraId="7FFB505A" w14:textId="77777777" w:rsidR="000005F4" w:rsidRDefault="000005F4" w:rsidP="000005F4">
            <w:pPr>
              <w:pStyle w:val="TableTextNoSpace"/>
            </w:pPr>
            <w:r>
              <w:t>x</w:t>
            </w:r>
          </w:p>
        </w:tc>
        <w:tc>
          <w:tcPr>
            <w:tcW w:w="178" w:type="pct"/>
            <w:shd w:val="clear" w:color="auto" w:fill="auto"/>
          </w:tcPr>
          <w:p w14:paraId="6746979C" w14:textId="77777777" w:rsidR="000005F4" w:rsidRDefault="000005F4" w:rsidP="000005F4">
            <w:pPr>
              <w:pStyle w:val="TableTextNoSpace"/>
            </w:pPr>
          </w:p>
        </w:tc>
        <w:tc>
          <w:tcPr>
            <w:tcW w:w="178" w:type="pct"/>
            <w:shd w:val="clear" w:color="auto" w:fill="auto"/>
          </w:tcPr>
          <w:p w14:paraId="1A3332E3" w14:textId="77777777" w:rsidR="000005F4" w:rsidRDefault="000005F4" w:rsidP="000005F4">
            <w:pPr>
              <w:pStyle w:val="TableTextNoSpace"/>
            </w:pPr>
          </w:p>
        </w:tc>
        <w:tc>
          <w:tcPr>
            <w:tcW w:w="178" w:type="pct"/>
            <w:shd w:val="clear" w:color="auto" w:fill="auto"/>
          </w:tcPr>
          <w:p w14:paraId="3933E191" w14:textId="77777777" w:rsidR="000005F4" w:rsidRDefault="000005F4" w:rsidP="000005F4">
            <w:pPr>
              <w:pStyle w:val="TableTextNoSpace"/>
            </w:pPr>
          </w:p>
        </w:tc>
        <w:tc>
          <w:tcPr>
            <w:tcW w:w="178" w:type="pct"/>
            <w:shd w:val="clear" w:color="auto" w:fill="auto"/>
          </w:tcPr>
          <w:p w14:paraId="16614CDF" w14:textId="77777777" w:rsidR="000005F4" w:rsidRDefault="000005F4" w:rsidP="000005F4">
            <w:pPr>
              <w:pStyle w:val="TableTextNoSpace"/>
            </w:pPr>
          </w:p>
        </w:tc>
        <w:tc>
          <w:tcPr>
            <w:tcW w:w="178" w:type="pct"/>
            <w:shd w:val="clear" w:color="auto" w:fill="auto"/>
          </w:tcPr>
          <w:p w14:paraId="2DCECEA5" w14:textId="77777777" w:rsidR="000005F4" w:rsidRDefault="000005F4" w:rsidP="000005F4">
            <w:pPr>
              <w:pStyle w:val="TableTextNoSpace"/>
            </w:pPr>
          </w:p>
        </w:tc>
        <w:tc>
          <w:tcPr>
            <w:tcW w:w="178" w:type="pct"/>
            <w:shd w:val="clear" w:color="auto" w:fill="auto"/>
          </w:tcPr>
          <w:p w14:paraId="71DA5C4A" w14:textId="77777777" w:rsidR="000005F4" w:rsidRDefault="000005F4" w:rsidP="000005F4">
            <w:pPr>
              <w:pStyle w:val="TableTextNoSpace"/>
            </w:pPr>
          </w:p>
        </w:tc>
        <w:tc>
          <w:tcPr>
            <w:tcW w:w="178" w:type="pct"/>
            <w:shd w:val="clear" w:color="auto" w:fill="auto"/>
          </w:tcPr>
          <w:p w14:paraId="6113869B" w14:textId="77777777" w:rsidR="000005F4" w:rsidRDefault="000005F4" w:rsidP="000005F4">
            <w:pPr>
              <w:pStyle w:val="TableTextNoSpace"/>
            </w:pPr>
          </w:p>
        </w:tc>
        <w:tc>
          <w:tcPr>
            <w:tcW w:w="178" w:type="pct"/>
            <w:shd w:val="clear" w:color="auto" w:fill="auto"/>
          </w:tcPr>
          <w:p w14:paraId="451FCEBC" w14:textId="77777777" w:rsidR="000005F4" w:rsidRDefault="000005F4" w:rsidP="000005F4">
            <w:pPr>
              <w:pStyle w:val="TableTextNoSpace"/>
            </w:pPr>
          </w:p>
        </w:tc>
        <w:tc>
          <w:tcPr>
            <w:tcW w:w="178" w:type="pct"/>
            <w:shd w:val="clear" w:color="auto" w:fill="auto"/>
          </w:tcPr>
          <w:p w14:paraId="704AE7BF" w14:textId="77777777" w:rsidR="000005F4" w:rsidRDefault="000005F4" w:rsidP="000005F4">
            <w:pPr>
              <w:pStyle w:val="TableTextNoSpace"/>
            </w:pPr>
          </w:p>
        </w:tc>
        <w:tc>
          <w:tcPr>
            <w:tcW w:w="178" w:type="pct"/>
            <w:shd w:val="clear" w:color="auto" w:fill="auto"/>
          </w:tcPr>
          <w:p w14:paraId="04A98858" w14:textId="77777777" w:rsidR="000005F4" w:rsidRDefault="000005F4" w:rsidP="000005F4">
            <w:pPr>
              <w:pStyle w:val="TableTextNoSpace"/>
            </w:pPr>
          </w:p>
        </w:tc>
        <w:tc>
          <w:tcPr>
            <w:tcW w:w="178" w:type="pct"/>
            <w:shd w:val="clear" w:color="auto" w:fill="auto"/>
          </w:tcPr>
          <w:p w14:paraId="76E0587B" w14:textId="77777777" w:rsidR="000005F4" w:rsidRDefault="000005F4" w:rsidP="000005F4">
            <w:pPr>
              <w:pStyle w:val="TableTextNoSpace"/>
            </w:pPr>
          </w:p>
        </w:tc>
        <w:tc>
          <w:tcPr>
            <w:tcW w:w="178" w:type="pct"/>
            <w:shd w:val="clear" w:color="auto" w:fill="auto"/>
          </w:tcPr>
          <w:p w14:paraId="17AF4F96" w14:textId="77777777" w:rsidR="000005F4" w:rsidRDefault="000005F4" w:rsidP="000005F4">
            <w:pPr>
              <w:pStyle w:val="TableTextNoSpace"/>
            </w:pPr>
          </w:p>
        </w:tc>
      </w:tr>
      <w:tr w:rsidR="000005F4" w14:paraId="28839F16" w14:textId="77777777" w:rsidTr="000005F4">
        <w:tc>
          <w:tcPr>
            <w:tcW w:w="553" w:type="pct"/>
            <w:shd w:val="clear" w:color="auto" w:fill="auto"/>
          </w:tcPr>
          <w:p w14:paraId="2854481C" w14:textId="77777777" w:rsidR="000005F4" w:rsidRPr="004419C4" w:rsidRDefault="000005F4" w:rsidP="000005F4">
            <w:pPr>
              <w:pStyle w:val="TableTextNoSpace"/>
              <w:rPr>
                <w:sz w:val="16"/>
                <w:szCs w:val="16"/>
              </w:rPr>
            </w:pPr>
            <w:r w:rsidRPr="003B3BB6">
              <w:t>Article 17</w:t>
            </w:r>
          </w:p>
        </w:tc>
        <w:tc>
          <w:tcPr>
            <w:tcW w:w="178" w:type="pct"/>
            <w:shd w:val="clear" w:color="auto" w:fill="auto"/>
          </w:tcPr>
          <w:p w14:paraId="445F26F9" w14:textId="77777777" w:rsidR="000005F4" w:rsidRDefault="000005F4" w:rsidP="000005F4">
            <w:pPr>
              <w:pStyle w:val="TableTextNoSpace"/>
            </w:pPr>
          </w:p>
        </w:tc>
        <w:tc>
          <w:tcPr>
            <w:tcW w:w="178" w:type="pct"/>
            <w:shd w:val="clear" w:color="auto" w:fill="auto"/>
          </w:tcPr>
          <w:p w14:paraId="1166FF44" w14:textId="77777777" w:rsidR="000005F4" w:rsidRDefault="000005F4" w:rsidP="000005F4">
            <w:pPr>
              <w:pStyle w:val="TableTextNoSpace"/>
            </w:pPr>
          </w:p>
        </w:tc>
        <w:tc>
          <w:tcPr>
            <w:tcW w:w="178" w:type="pct"/>
            <w:shd w:val="clear" w:color="auto" w:fill="auto"/>
          </w:tcPr>
          <w:p w14:paraId="375BA141" w14:textId="77777777" w:rsidR="000005F4" w:rsidRDefault="000005F4" w:rsidP="000005F4">
            <w:pPr>
              <w:pStyle w:val="TableTextNoSpace"/>
            </w:pPr>
          </w:p>
        </w:tc>
        <w:tc>
          <w:tcPr>
            <w:tcW w:w="178" w:type="pct"/>
            <w:shd w:val="clear" w:color="auto" w:fill="auto"/>
          </w:tcPr>
          <w:p w14:paraId="51461460" w14:textId="77777777" w:rsidR="000005F4" w:rsidRDefault="000005F4" w:rsidP="000005F4">
            <w:pPr>
              <w:pStyle w:val="TableTextNoSpace"/>
            </w:pPr>
            <w:r>
              <w:t>x</w:t>
            </w:r>
          </w:p>
        </w:tc>
        <w:tc>
          <w:tcPr>
            <w:tcW w:w="178" w:type="pct"/>
            <w:shd w:val="clear" w:color="auto" w:fill="auto"/>
          </w:tcPr>
          <w:p w14:paraId="088897F2" w14:textId="77777777" w:rsidR="000005F4" w:rsidRDefault="000005F4" w:rsidP="000005F4">
            <w:pPr>
              <w:pStyle w:val="TableTextNoSpace"/>
            </w:pPr>
          </w:p>
        </w:tc>
        <w:tc>
          <w:tcPr>
            <w:tcW w:w="178" w:type="pct"/>
            <w:shd w:val="clear" w:color="auto" w:fill="auto"/>
          </w:tcPr>
          <w:p w14:paraId="7B39D60F" w14:textId="77777777" w:rsidR="000005F4" w:rsidRDefault="000005F4" w:rsidP="000005F4">
            <w:pPr>
              <w:pStyle w:val="TableTextNoSpace"/>
            </w:pPr>
          </w:p>
        </w:tc>
        <w:tc>
          <w:tcPr>
            <w:tcW w:w="178" w:type="pct"/>
            <w:shd w:val="clear" w:color="auto" w:fill="auto"/>
          </w:tcPr>
          <w:p w14:paraId="74D5F1A9" w14:textId="77777777" w:rsidR="000005F4" w:rsidRDefault="000005F4" w:rsidP="000005F4">
            <w:pPr>
              <w:pStyle w:val="TableTextNoSpace"/>
            </w:pPr>
          </w:p>
        </w:tc>
        <w:tc>
          <w:tcPr>
            <w:tcW w:w="178" w:type="pct"/>
            <w:shd w:val="clear" w:color="auto" w:fill="auto"/>
          </w:tcPr>
          <w:p w14:paraId="4EA4D61B" w14:textId="77777777" w:rsidR="000005F4" w:rsidRDefault="000005F4" w:rsidP="000005F4">
            <w:pPr>
              <w:pStyle w:val="TableTextNoSpace"/>
            </w:pPr>
          </w:p>
        </w:tc>
        <w:tc>
          <w:tcPr>
            <w:tcW w:w="178" w:type="pct"/>
            <w:shd w:val="clear" w:color="auto" w:fill="auto"/>
          </w:tcPr>
          <w:p w14:paraId="24B6B170" w14:textId="77777777" w:rsidR="000005F4" w:rsidRDefault="000005F4" w:rsidP="000005F4">
            <w:pPr>
              <w:pStyle w:val="TableTextNoSpace"/>
            </w:pPr>
          </w:p>
        </w:tc>
        <w:tc>
          <w:tcPr>
            <w:tcW w:w="178" w:type="pct"/>
            <w:shd w:val="clear" w:color="auto" w:fill="auto"/>
          </w:tcPr>
          <w:p w14:paraId="0FC1D12F" w14:textId="77777777" w:rsidR="000005F4" w:rsidRDefault="000005F4" w:rsidP="000005F4">
            <w:pPr>
              <w:pStyle w:val="TableTextNoSpace"/>
            </w:pPr>
            <w:r>
              <w:t>x</w:t>
            </w:r>
          </w:p>
        </w:tc>
        <w:tc>
          <w:tcPr>
            <w:tcW w:w="178" w:type="pct"/>
            <w:shd w:val="clear" w:color="auto" w:fill="auto"/>
          </w:tcPr>
          <w:p w14:paraId="1982B418" w14:textId="77777777" w:rsidR="000005F4" w:rsidRDefault="000005F4" w:rsidP="000005F4">
            <w:pPr>
              <w:pStyle w:val="TableTextNoSpace"/>
            </w:pPr>
          </w:p>
        </w:tc>
        <w:tc>
          <w:tcPr>
            <w:tcW w:w="178" w:type="pct"/>
            <w:shd w:val="clear" w:color="auto" w:fill="auto"/>
          </w:tcPr>
          <w:p w14:paraId="4643C327" w14:textId="77777777" w:rsidR="000005F4" w:rsidRDefault="000005F4" w:rsidP="000005F4">
            <w:pPr>
              <w:pStyle w:val="TableTextNoSpace"/>
            </w:pPr>
            <w:r>
              <w:t>x</w:t>
            </w:r>
          </w:p>
        </w:tc>
        <w:tc>
          <w:tcPr>
            <w:tcW w:w="178" w:type="pct"/>
            <w:shd w:val="clear" w:color="auto" w:fill="auto"/>
          </w:tcPr>
          <w:p w14:paraId="30A27F1E" w14:textId="77777777" w:rsidR="000005F4" w:rsidRDefault="000005F4" w:rsidP="000005F4">
            <w:pPr>
              <w:pStyle w:val="TableTextNoSpace"/>
            </w:pPr>
            <w:r>
              <w:t>x</w:t>
            </w:r>
          </w:p>
        </w:tc>
        <w:tc>
          <w:tcPr>
            <w:tcW w:w="178" w:type="pct"/>
            <w:shd w:val="clear" w:color="auto" w:fill="auto"/>
          </w:tcPr>
          <w:p w14:paraId="64F37478" w14:textId="77777777" w:rsidR="000005F4" w:rsidRDefault="000005F4" w:rsidP="000005F4">
            <w:pPr>
              <w:pStyle w:val="TableTextNoSpace"/>
            </w:pPr>
            <w:r>
              <w:t>x</w:t>
            </w:r>
          </w:p>
        </w:tc>
        <w:tc>
          <w:tcPr>
            <w:tcW w:w="178" w:type="pct"/>
            <w:shd w:val="clear" w:color="auto" w:fill="auto"/>
          </w:tcPr>
          <w:p w14:paraId="6AC7FFE0" w14:textId="77777777" w:rsidR="000005F4" w:rsidRDefault="000005F4" w:rsidP="000005F4">
            <w:pPr>
              <w:pStyle w:val="TableTextNoSpace"/>
            </w:pPr>
          </w:p>
        </w:tc>
        <w:tc>
          <w:tcPr>
            <w:tcW w:w="178" w:type="pct"/>
            <w:shd w:val="clear" w:color="auto" w:fill="auto"/>
          </w:tcPr>
          <w:p w14:paraId="15B01DE0" w14:textId="77777777" w:rsidR="000005F4" w:rsidRDefault="000005F4" w:rsidP="000005F4">
            <w:pPr>
              <w:pStyle w:val="TableTextNoSpace"/>
            </w:pPr>
            <w:r>
              <w:t>x</w:t>
            </w:r>
          </w:p>
        </w:tc>
        <w:tc>
          <w:tcPr>
            <w:tcW w:w="178" w:type="pct"/>
            <w:shd w:val="clear" w:color="auto" w:fill="auto"/>
          </w:tcPr>
          <w:p w14:paraId="2076EAA0" w14:textId="77777777" w:rsidR="000005F4" w:rsidRDefault="000005F4" w:rsidP="000005F4">
            <w:pPr>
              <w:pStyle w:val="TableTextNoSpace"/>
            </w:pPr>
            <w:r>
              <w:t>x</w:t>
            </w:r>
          </w:p>
        </w:tc>
        <w:tc>
          <w:tcPr>
            <w:tcW w:w="178" w:type="pct"/>
            <w:shd w:val="clear" w:color="auto" w:fill="auto"/>
          </w:tcPr>
          <w:p w14:paraId="0D13C436" w14:textId="77777777" w:rsidR="000005F4" w:rsidRDefault="000005F4" w:rsidP="000005F4">
            <w:pPr>
              <w:pStyle w:val="TableTextNoSpace"/>
            </w:pPr>
          </w:p>
        </w:tc>
        <w:tc>
          <w:tcPr>
            <w:tcW w:w="178" w:type="pct"/>
          </w:tcPr>
          <w:p w14:paraId="4A5AF50D" w14:textId="77777777" w:rsidR="000005F4" w:rsidRDefault="000005F4" w:rsidP="000005F4">
            <w:pPr>
              <w:pStyle w:val="TableTextNoSpace"/>
            </w:pPr>
          </w:p>
        </w:tc>
        <w:tc>
          <w:tcPr>
            <w:tcW w:w="178" w:type="pct"/>
          </w:tcPr>
          <w:p w14:paraId="1E77DEB9" w14:textId="77777777" w:rsidR="000005F4" w:rsidRDefault="000005F4" w:rsidP="000005F4">
            <w:pPr>
              <w:pStyle w:val="TableTextNoSpace"/>
            </w:pPr>
          </w:p>
        </w:tc>
        <w:tc>
          <w:tcPr>
            <w:tcW w:w="178" w:type="pct"/>
          </w:tcPr>
          <w:p w14:paraId="77A8215E" w14:textId="77777777" w:rsidR="000005F4" w:rsidRDefault="000005F4" w:rsidP="000005F4">
            <w:pPr>
              <w:pStyle w:val="TableTextNoSpace"/>
            </w:pPr>
          </w:p>
        </w:tc>
        <w:tc>
          <w:tcPr>
            <w:tcW w:w="178" w:type="pct"/>
          </w:tcPr>
          <w:p w14:paraId="0814FBE7" w14:textId="77777777" w:rsidR="000005F4" w:rsidRDefault="000005F4" w:rsidP="000005F4">
            <w:pPr>
              <w:pStyle w:val="TableTextNoSpace"/>
            </w:pPr>
            <w:r>
              <w:t>x</w:t>
            </w:r>
          </w:p>
        </w:tc>
        <w:tc>
          <w:tcPr>
            <w:tcW w:w="178" w:type="pct"/>
          </w:tcPr>
          <w:p w14:paraId="28107DFF" w14:textId="77777777" w:rsidR="000005F4" w:rsidRDefault="000005F4" w:rsidP="000005F4">
            <w:pPr>
              <w:pStyle w:val="TableTextNoSpace"/>
            </w:pPr>
          </w:p>
        </w:tc>
        <w:tc>
          <w:tcPr>
            <w:tcW w:w="178" w:type="pct"/>
          </w:tcPr>
          <w:p w14:paraId="1BBE7881" w14:textId="77777777" w:rsidR="000005F4" w:rsidRDefault="000005F4" w:rsidP="000005F4">
            <w:pPr>
              <w:pStyle w:val="TableTextNoSpace"/>
            </w:pPr>
            <w:r>
              <w:t>x</w:t>
            </w:r>
          </w:p>
        </w:tc>
        <w:tc>
          <w:tcPr>
            <w:tcW w:w="178" w:type="pct"/>
            <w:shd w:val="clear" w:color="auto" w:fill="auto"/>
          </w:tcPr>
          <w:p w14:paraId="7521B0AC" w14:textId="77777777" w:rsidR="000005F4" w:rsidRDefault="000005F4" w:rsidP="000005F4">
            <w:pPr>
              <w:pStyle w:val="TableTextNoSpace"/>
            </w:pPr>
          </w:p>
        </w:tc>
      </w:tr>
      <w:tr w:rsidR="000005F4" w14:paraId="4F7EADF0" w14:textId="77777777" w:rsidTr="000005F4">
        <w:tc>
          <w:tcPr>
            <w:tcW w:w="553" w:type="pct"/>
            <w:shd w:val="clear" w:color="auto" w:fill="auto"/>
          </w:tcPr>
          <w:p w14:paraId="5C7AD858" w14:textId="77777777" w:rsidR="000005F4" w:rsidRPr="004419C4" w:rsidRDefault="000005F4" w:rsidP="000005F4">
            <w:pPr>
              <w:pStyle w:val="TableTextNoSpace"/>
              <w:rPr>
                <w:sz w:val="16"/>
                <w:szCs w:val="16"/>
              </w:rPr>
            </w:pPr>
            <w:r>
              <w:t>Article 18 (1a)</w:t>
            </w:r>
          </w:p>
        </w:tc>
        <w:tc>
          <w:tcPr>
            <w:tcW w:w="178" w:type="pct"/>
            <w:shd w:val="clear" w:color="auto" w:fill="auto"/>
          </w:tcPr>
          <w:p w14:paraId="6FCAA180" w14:textId="77777777" w:rsidR="000005F4" w:rsidRDefault="000005F4" w:rsidP="000005F4">
            <w:pPr>
              <w:pStyle w:val="TableTextNoSpace"/>
            </w:pPr>
          </w:p>
        </w:tc>
        <w:tc>
          <w:tcPr>
            <w:tcW w:w="178" w:type="pct"/>
            <w:shd w:val="clear" w:color="auto" w:fill="auto"/>
          </w:tcPr>
          <w:p w14:paraId="4BA29D2A" w14:textId="77777777" w:rsidR="000005F4" w:rsidRDefault="000005F4" w:rsidP="000005F4">
            <w:pPr>
              <w:pStyle w:val="TableTextNoSpace"/>
            </w:pPr>
          </w:p>
        </w:tc>
        <w:tc>
          <w:tcPr>
            <w:tcW w:w="178" w:type="pct"/>
            <w:shd w:val="clear" w:color="auto" w:fill="auto"/>
          </w:tcPr>
          <w:p w14:paraId="3874433A" w14:textId="77777777" w:rsidR="000005F4" w:rsidRDefault="000005F4" w:rsidP="000005F4">
            <w:pPr>
              <w:pStyle w:val="TableTextNoSpace"/>
            </w:pPr>
          </w:p>
        </w:tc>
        <w:tc>
          <w:tcPr>
            <w:tcW w:w="178" w:type="pct"/>
            <w:shd w:val="clear" w:color="auto" w:fill="auto"/>
          </w:tcPr>
          <w:p w14:paraId="5F43E248" w14:textId="77777777" w:rsidR="000005F4" w:rsidRDefault="000005F4" w:rsidP="000005F4">
            <w:pPr>
              <w:pStyle w:val="TableTextNoSpace"/>
            </w:pPr>
          </w:p>
        </w:tc>
        <w:tc>
          <w:tcPr>
            <w:tcW w:w="178" w:type="pct"/>
            <w:shd w:val="clear" w:color="auto" w:fill="auto"/>
          </w:tcPr>
          <w:p w14:paraId="4A4CD8AB" w14:textId="77777777" w:rsidR="000005F4" w:rsidRDefault="000005F4" w:rsidP="000005F4">
            <w:pPr>
              <w:pStyle w:val="TableTextNoSpace"/>
            </w:pPr>
          </w:p>
        </w:tc>
        <w:tc>
          <w:tcPr>
            <w:tcW w:w="178" w:type="pct"/>
            <w:shd w:val="clear" w:color="auto" w:fill="auto"/>
          </w:tcPr>
          <w:p w14:paraId="01210346" w14:textId="77777777" w:rsidR="000005F4" w:rsidRDefault="000005F4" w:rsidP="000005F4">
            <w:pPr>
              <w:pStyle w:val="TableTextNoSpace"/>
            </w:pPr>
          </w:p>
        </w:tc>
        <w:tc>
          <w:tcPr>
            <w:tcW w:w="178" w:type="pct"/>
            <w:shd w:val="clear" w:color="auto" w:fill="auto"/>
          </w:tcPr>
          <w:p w14:paraId="6A873E2A" w14:textId="77777777" w:rsidR="000005F4" w:rsidRDefault="000005F4" w:rsidP="000005F4">
            <w:pPr>
              <w:pStyle w:val="TableTextNoSpace"/>
            </w:pPr>
          </w:p>
        </w:tc>
        <w:tc>
          <w:tcPr>
            <w:tcW w:w="178" w:type="pct"/>
            <w:shd w:val="clear" w:color="auto" w:fill="auto"/>
          </w:tcPr>
          <w:p w14:paraId="6168B1C4" w14:textId="77777777" w:rsidR="000005F4" w:rsidRDefault="000005F4" w:rsidP="000005F4">
            <w:pPr>
              <w:pStyle w:val="TableTextNoSpace"/>
            </w:pPr>
          </w:p>
        </w:tc>
        <w:tc>
          <w:tcPr>
            <w:tcW w:w="178" w:type="pct"/>
            <w:shd w:val="clear" w:color="auto" w:fill="auto"/>
          </w:tcPr>
          <w:p w14:paraId="08788FB6" w14:textId="77777777" w:rsidR="000005F4" w:rsidRDefault="000005F4" w:rsidP="000005F4">
            <w:pPr>
              <w:pStyle w:val="TableTextNoSpace"/>
            </w:pPr>
          </w:p>
        </w:tc>
        <w:tc>
          <w:tcPr>
            <w:tcW w:w="178" w:type="pct"/>
            <w:shd w:val="clear" w:color="auto" w:fill="auto"/>
          </w:tcPr>
          <w:p w14:paraId="142DF4FD" w14:textId="77777777" w:rsidR="000005F4" w:rsidRDefault="000005F4" w:rsidP="000005F4">
            <w:pPr>
              <w:pStyle w:val="TableTextNoSpace"/>
            </w:pPr>
          </w:p>
        </w:tc>
        <w:tc>
          <w:tcPr>
            <w:tcW w:w="178" w:type="pct"/>
            <w:shd w:val="clear" w:color="auto" w:fill="auto"/>
          </w:tcPr>
          <w:p w14:paraId="421C4668" w14:textId="77777777" w:rsidR="000005F4" w:rsidRDefault="000005F4" w:rsidP="000005F4">
            <w:pPr>
              <w:pStyle w:val="TableTextNoSpace"/>
            </w:pPr>
          </w:p>
        </w:tc>
        <w:tc>
          <w:tcPr>
            <w:tcW w:w="178" w:type="pct"/>
            <w:shd w:val="clear" w:color="auto" w:fill="auto"/>
          </w:tcPr>
          <w:p w14:paraId="51C5DBF9" w14:textId="77777777" w:rsidR="000005F4" w:rsidRDefault="000005F4" w:rsidP="000005F4">
            <w:pPr>
              <w:pStyle w:val="TableTextNoSpace"/>
            </w:pPr>
            <w:r>
              <w:t>x</w:t>
            </w:r>
          </w:p>
        </w:tc>
        <w:tc>
          <w:tcPr>
            <w:tcW w:w="178" w:type="pct"/>
            <w:shd w:val="clear" w:color="auto" w:fill="auto"/>
          </w:tcPr>
          <w:p w14:paraId="2E94B148" w14:textId="77777777" w:rsidR="000005F4" w:rsidRDefault="000005F4" w:rsidP="000005F4">
            <w:pPr>
              <w:pStyle w:val="TableTextNoSpace"/>
            </w:pPr>
            <w:r>
              <w:t>x</w:t>
            </w:r>
          </w:p>
        </w:tc>
        <w:tc>
          <w:tcPr>
            <w:tcW w:w="178" w:type="pct"/>
            <w:shd w:val="clear" w:color="auto" w:fill="auto"/>
          </w:tcPr>
          <w:p w14:paraId="1961D81F" w14:textId="77777777" w:rsidR="000005F4" w:rsidRDefault="000005F4" w:rsidP="000005F4">
            <w:pPr>
              <w:pStyle w:val="TableTextNoSpace"/>
            </w:pPr>
          </w:p>
        </w:tc>
        <w:tc>
          <w:tcPr>
            <w:tcW w:w="178" w:type="pct"/>
            <w:shd w:val="clear" w:color="auto" w:fill="auto"/>
          </w:tcPr>
          <w:p w14:paraId="59ACE33E" w14:textId="77777777" w:rsidR="000005F4" w:rsidRDefault="000005F4" w:rsidP="000005F4">
            <w:pPr>
              <w:pStyle w:val="TableTextNoSpace"/>
            </w:pPr>
          </w:p>
        </w:tc>
        <w:tc>
          <w:tcPr>
            <w:tcW w:w="178" w:type="pct"/>
            <w:shd w:val="clear" w:color="auto" w:fill="auto"/>
          </w:tcPr>
          <w:p w14:paraId="5896B463" w14:textId="77777777" w:rsidR="000005F4" w:rsidRDefault="000005F4" w:rsidP="000005F4">
            <w:pPr>
              <w:pStyle w:val="TableTextNoSpace"/>
            </w:pPr>
            <w:r>
              <w:t>x</w:t>
            </w:r>
          </w:p>
        </w:tc>
        <w:tc>
          <w:tcPr>
            <w:tcW w:w="178" w:type="pct"/>
            <w:shd w:val="clear" w:color="auto" w:fill="auto"/>
          </w:tcPr>
          <w:p w14:paraId="28932544" w14:textId="77777777" w:rsidR="000005F4" w:rsidRDefault="000005F4" w:rsidP="000005F4">
            <w:pPr>
              <w:pStyle w:val="TableTextNoSpace"/>
            </w:pPr>
          </w:p>
        </w:tc>
        <w:tc>
          <w:tcPr>
            <w:tcW w:w="178" w:type="pct"/>
            <w:shd w:val="clear" w:color="auto" w:fill="auto"/>
          </w:tcPr>
          <w:p w14:paraId="30095960" w14:textId="77777777" w:rsidR="000005F4" w:rsidRDefault="000005F4" w:rsidP="000005F4">
            <w:pPr>
              <w:pStyle w:val="TableTextNoSpace"/>
            </w:pPr>
            <w:r>
              <w:t>x</w:t>
            </w:r>
          </w:p>
        </w:tc>
        <w:tc>
          <w:tcPr>
            <w:tcW w:w="178" w:type="pct"/>
          </w:tcPr>
          <w:p w14:paraId="71B69023" w14:textId="77777777" w:rsidR="000005F4" w:rsidRDefault="000005F4" w:rsidP="000005F4">
            <w:pPr>
              <w:pStyle w:val="TableTextNoSpace"/>
            </w:pPr>
          </w:p>
        </w:tc>
        <w:tc>
          <w:tcPr>
            <w:tcW w:w="178" w:type="pct"/>
          </w:tcPr>
          <w:p w14:paraId="03C48DDF" w14:textId="77777777" w:rsidR="000005F4" w:rsidRDefault="000005F4" w:rsidP="000005F4">
            <w:pPr>
              <w:pStyle w:val="TableTextNoSpace"/>
            </w:pPr>
          </w:p>
        </w:tc>
        <w:tc>
          <w:tcPr>
            <w:tcW w:w="178" w:type="pct"/>
          </w:tcPr>
          <w:p w14:paraId="268360EE" w14:textId="77777777" w:rsidR="000005F4" w:rsidRDefault="000005F4" w:rsidP="000005F4">
            <w:pPr>
              <w:pStyle w:val="TableTextNoSpace"/>
            </w:pPr>
          </w:p>
        </w:tc>
        <w:tc>
          <w:tcPr>
            <w:tcW w:w="178" w:type="pct"/>
          </w:tcPr>
          <w:p w14:paraId="192A57CA" w14:textId="77777777" w:rsidR="000005F4" w:rsidRDefault="000005F4" w:rsidP="000005F4">
            <w:pPr>
              <w:pStyle w:val="TableTextNoSpace"/>
            </w:pPr>
          </w:p>
        </w:tc>
        <w:tc>
          <w:tcPr>
            <w:tcW w:w="178" w:type="pct"/>
          </w:tcPr>
          <w:p w14:paraId="0876A53F" w14:textId="77777777" w:rsidR="000005F4" w:rsidRDefault="000005F4" w:rsidP="000005F4">
            <w:pPr>
              <w:pStyle w:val="TableTextNoSpace"/>
            </w:pPr>
          </w:p>
        </w:tc>
        <w:tc>
          <w:tcPr>
            <w:tcW w:w="178" w:type="pct"/>
          </w:tcPr>
          <w:p w14:paraId="4AAE1297" w14:textId="77777777" w:rsidR="000005F4" w:rsidRDefault="000005F4" w:rsidP="000005F4">
            <w:pPr>
              <w:pStyle w:val="TableTextNoSpace"/>
            </w:pPr>
          </w:p>
        </w:tc>
        <w:tc>
          <w:tcPr>
            <w:tcW w:w="178" w:type="pct"/>
            <w:shd w:val="clear" w:color="auto" w:fill="auto"/>
          </w:tcPr>
          <w:p w14:paraId="130C073F" w14:textId="77777777" w:rsidR="000005F4" w:rsidRDefault="000005F4" w:rsidP="000005F4">
            <w:pPr>
              <w:pStyle w:val="TableTextNoSpace"/>
            </w:pPr>
          </w:p>
        </w:tc>
      </w:tr>
      <w:tr w:rsidR="000005F4" w14:paraId="652F3781" w14:textId="77777777" w:rsidTr="000005F4">
        <w:tc>
          <w:tcPr>
            <w:tcW w:w="553" w:type="pct"/>
            <w:shd w:val="clear" w:color="auto" w:fill="auto"/>
          </w:tcPr>
          <w:p w14:paraId="49E3B6EA" w14:textId="77777777" w:rsidR="000005F4" w:rsidRPr="004419C4" w:rsidRDefault="000005F4" w:rsidP="000005F4">
            <w:pPr>
              <w:pStyle w:val="TableTextNoSpace"/>
              <w:rPr>
                <w:sz w:val="16"/>
                <w:szCs w:val="16"/>
              </w:rPr>
            </w:pPr>
            <w:r w:rsidRPr="003B3BB6">
              <w:t xml:space="preserve">Article 19 </w:t>
            </w:r>
          </w:p>
        </w:tc>
        <w:tc>
          <w:tcPr>
            <w:tcW w:w="178" w:type="pct"/>
            <w:shd w:val="clear" w:color="auto" w:fill="auto"/>
          </w:tcPr>
          <w:p w14:paraId="3FED09F9" w14:textId="77777777" w:rsidR="000005F4" w:rsidRDefault="000005F4" w:rsidP="000005F4">
            <w:pPr>
              <w:pStyle w:val="TableTextNoSpace"/>
            </w:pPr>
          </w:p>
        </w:tc>
        <w:tc>
          <w:tcPr>
            <w:tcW w:w="178" w:type="pct"/>
            <w:shd w:val="clear" w:color="auto" w:fill="auto"/>
          </w:tcPr>
          <w:p w14:paraId="03A45C91" w14:textId="77777777" w:rsidR="000005F4" w:rsidRDefault="000005F4" w:rsidP="000005F4">
            <w:pPr>
              <w:pStyle w:val="TableTextNoSpace"/>
            </w:pPr>
          </w:p>
        </w:tc>
        <w:tc>
          <w:tcPr>
            <w:tcW w:w="178" w:type="pct"/>
            <w:shd w:val="clear" w:color="auto" w:fill="auto"/>
          </w:tcPr>
          <w:p w14:paraId="537FE89D" w14:textId="77777777" w:rsidR="000005F4" w:rsidRDefault="000005F4" w:rsidP="000005F4">
            <w:pPr>
              <w:pStyle w:val="TableTextNoSpace"/>
            </w:pPr>
          </w:p>
        </w:tc>
        <w:tc>
          <w:tcPr>
            <w:tcW w:w="178" w:type="pct"/>
            <w:shd w:val="clear" w:color="auto" w:fill="auto"/>
          </w:tcPr>
          <w:p w14:paraId="6D0BA2E1" w14:textId="77777777" w:rsidR="000005F4" w:rsidRDefault="000005F4" w:rsidP="000005F4">
            <w:pPr>
              <w:pStyle w:val="TableTextNoSpace"/>
            </w:pPr>
          </w:p>
        </w:tc>
        <w:tc>
          <w:tcPr>
            <w:tcW w:w="178" w:type="pct"/>
            <w:shd w:val="clear" w:color="auto" w:fill="auto"/>
          </w:tcPr>
          <w:p w14:paraId="72747564" w14:textId="77777777" w:rsidR="000005F4" w:rsidRDefault="000005F4" w:rsidP="000005F4">
            <w:pPr>
              <w:pStyle w:val="TableTextNoSpace"/>
            </w:pPr>
          </w:p>
        </w:tc>
        <w:tc>
          <w:tcPr>
            <w:tcW w:w="178" w:type="pct"/>
            <w:shd w:val="clear" w:color="auto" w:fill="auto"/>
          </w:tcPr>
          <w:p w14:paraId="78C86DA4" w14:textId="77777777" w:rsidR="000005F4" w:rsidRDefault="000005F4" w:rsidP="000005F4">
            <w:pPr>
              <w:pStyle w:val="TableTextNoSpace"/>
            </w:pPr>
          </w:p>
        </w:tc>
        <w:tc>
          <w:tcPr>
            <w:tcW w:w="178" w:type="pct"/>
            <w:shd w:val="clear" w:color="auto" w:fill="auto"/>
          </w:tcPr>
          <w:p w14:paraId="3C233792" w14:textId="77777777" w:rsidR="000005F4" w:rsidRDefault="000005F4" w:rsidP="000005F4">
            <w:pPr>
              <w:pStyle w:val="TableTextNoSpace"/>
            </w:pPr>
          </w:p>
        </w:tc>
        <w:tc>
          <w:tcPr>
            <w:tcW w:w="178" w:type="pct"/>
            <w:shd w:val="clear" w:color="auto" w:fill="auto"/>
          </w:tcPr>
          <w:p w14:paraId="2E17B3C8" w14:textId="77777777" w:rsidR="000005F4" w:rsidRDefault="000005F4" w:rsidP="000005F4">
            <w:pPr>
              <w:pStyle w:val="TableTextNoSpace"/>
            </w:pPr>
          </w:p>
        </w:tc>
        <w:tc>
          <w:tcPr>
            <w:tcW w:w="178" w:type="pct"/>
            <w:shd w:val="clear" w:color="auto" w:fill="auto"/>
          </w:tcPr>
          <w:p w14:paraId="5E58CE08" w14:textId="77777777" w:rsidR="000005F4" w:rsidRDefault="000005F4" w:rsidP="000005F4">
            <w:pPr>
              <w:pStyle w:val="TableTextNoSpace"/>
            </w:pPr>
          </w:p>
        </w:tc>
        <w:tc>
          <w:tcPr>
            <w:tcW w:w="178" w:type="pct"/>
            <w:shd w:val="clear" w:color="auto" w:fill="auto"/>
          </w:tcPr>
          <w:p w14:paraId="0FE4E299" w14:textId="77777777" w:rsidR="000005F4" w:rsidRDefault="000005F4" w:rsidP="000005F4">
            <w:pPr>
              <w:pStyle w:val="TableTextNoSpace"/>
            </w:pPr>
          </w:p>
        </w:tc>
        <w:tc>
          <w:tcPr>
            <w:tcW w:w="178" w:type="pct"/>
            <w:shd w:val="clear" w:color="auto" w:fill="auto"/>
          </w:tcPr>
          <w:p w14:paraId="5AD5CB51" w14:textId="77777777" w:rsidR="000005F4" w:rsidRDefault="000005F4" w:rsidP="000005F4">
            <w:pPr>
              <w:pStyle w:val="TableTextNoSpace"/>
            </w:pPr>
          </w:p>
        </w:tc>
        <w:tc>
          <w:tcPr>
            <w:tcW w:w="178" w:type="pct"/>
            <w:shd w:val="clear" w:color="auto" w:fill="auto"/>
          </w:tcPr>
          <w:p w14:paraId="56E5C40E" w14:textId="77777777" w:rsidR="000005F4" w:rsidRDefault="000005F4" w:rsidP="000005F4">
            <w:pPr>
              <w:pStyle w:val="TableTextNoSpace"/>
            </w:pPr>
          </w:p>
        </w:tc>
        <w:tc>
          <w:tcPr>
            <w:tcW w:w="178" w:type="pct"/>
            <w:shd w:val="clear" w:color="auto" w:fill="auto"/>
          </w:tcPr>
          <w:p w14:paraId="479F40ED" w14:textId="77777777" w:rsidR="000005F4" w:rsidRDefault="000005F4" w:rsidP="000005F4">
            <w:pPr>
              <w:pStyle w:val="TableTextNoSpace"/>
            </w:pPr>
          </w:p>
        </w:tc>
        <w:tc>
          <w:tcPr>
            <w:tcW w:w="178" w:type="pct"/>
            <w:shd w:val="clear" w:color="auto" w:fill="auto"/>
          </w:tcPr>
          <w:p w14:paraId="438A96E5" w14:textId="77777777" w:rsidR="000005F4" w:rsidRDefault="000005F4" w:rsidP="000005F4">
            <w:pPr>
              <w:pStyle w:val="TableTextNoSpace"/>
            </w:pPr>
          </w:p>
        </w:tc>
        <w:tc>
          <w:tcPr>
            <w:tcW w:w="178" w:type="pct"/>
            <w:shd w:val="clear" w:color="auto" w:fill="auto"/>
          </w:tcPr>
          <w:p w14:paraId="36CB9E04" w14:textId="77777777" w:rsidR="000005F4" w:rsidRDefault="000005F4" w:rsidP="000005F4">
            <w:pPr>
              <w:pStyle w:val="TableTextNoSpace"/>
            </w:pPr>
          </w:p>
        </w:tc>
        <w:tc>
          <w:tcPr>
            <w:tcW w:w="178" w:type="pct"/>
            <w:shd w:val="clear" w:color="auto" w:fill="auto"/>
          </w:tcPr>
          <w:p w14:paraId="3C79DC97" w14:textId="77777777" w:rsidR="000005F4" w:rsidRDefault="000005F4" w:rsidP="000005F4">
            <w:pPr>
              <w:pStyle w:val="TableTextNoSpace"/>
            </w:pPr>
          </w:p>
        </w:tc>
        <w:tc>
          <w:tcPr>
            <w:tcW w:w="178" w:type="pct"/>
            <w:shd w:val="clear" w:color="auto" w:fill="auto"/>
          </w:tcPr>
          <w:p w14:paraId="2A105E3B" w14:textId="77777777" w:rsidR="000005F4" w:rsidRDefault="000005F4" w:rsidP="000005F4">
            <w:pPr>
              <w:pStyle w:val="TableTextNoSpace"/>
            </w:pPr>
          </w:p>
        </w:tc>
        <w:tc>
          <w:tcPr>
            <w:tcW w:w="178" w:type="pct"/>
            <w:shd w:val="clear" w:color="auto" w:fill="auto"/>
          </w:tcPr>
          <w:p w14:paraId="50FBBAF3" w14:textId="77777777" w:rsidR="000005F4" w:rsidRDefault="000005F4" w:rsidP="000005F4">
            <w:pPr>
              <w:pStyle w:val="TableTextNoSpace"/>
            </w:pPr>
          </w:p>
        </w:tc>
        <w:tc>
          <w:tcPr>
            <w:tcW w:w="178" w:type="pct"/>
            <w:shd w:val="clear" w:color="auto" w:fill="auto"/>
          </w:tcPr>
          <w:p w14:paraId="643FDAFC" w14:textId="77777777" w:rsidR="000005F4" w:rsidRDefault="000005F4" w:rsidP="000005F4">
            <w:pPr>
              <w:pStyle w:val="TableTextNoSpace"/>
            </w:pPr>
          </w:p>
        </w:tc>
        <w:tc>
          <w:tcPr>
            <w:tcW w:w="178" w:type="pct"/>
            <w:shd w:val="clear" w:color="auto" w:fill="auto"/>
          </w:tcPr>
          <w:p w14:paraId="00C0E62B" w14:textId="77777777" w:rsidR="000005F4" w:rsidRDefault="000005F4" w:rsidP="000005F4">
            <w:pPr>
              <w:pStyle w:val="TableTextNoSpace"/>
            </w:pPr>
          </w:p>
        </w:tc>
        <w:tc>
          <w:tcPr>
            <w:tcW w:w="178" w:type="pct"/>
            <w:shd w:val="clear" w:color="auto" w:fill="auto"/>
          </w:tcPr>
          <w:p w14:paraId="034AB353" w14:textId="77777777" w:rsidR="000005F4" w:rsidRDefault="000005F4" w:rsidP="000005F4">
            <w:pPr>
              <w:pStyle w:val="TableTextNoSpace"/>
            </w:pPr>
          </w:p>
        </w:tc>
        <w:tc>
          <w:tcPr>
            <w:tcW w:w="178" w:type="pct"/>
            <w:shd w:val="clear" w:color="auto" w:fill="auto"/>
          </w:tcPr>
          <w:p w14:paraId="63CE375D" w14:textId="77777777" w:rsidR="000005F4" w:rsidRDefault="000005F4" w:rsidP="000005F4">
            <w:pPr>
              <w:pStyle w:val="TableTextNoSpace"/>
            </w:pPr>
          </w:p>
        </w:tc>
        <w:tc>
          <w:tcPr>
            <w:tcW w:w="178" w:type="pct"/>
            <w:shd w:val="clear" w:color="auto" w:fill="auto"/>
          </w:tcPr>
          <w:p w14:paraId="792EE9AC" w14:textId="77777777" w:rsidR="000005F4" w:rsidRDefault="000005F4" w:rsidP="000005F4">
            <w:pPr>
              <w:pStyle w:val="TableTextNoSpace"/>
            </w:pPr>
          </w:p>
        </w:tc>
        <w:tc>
          <w:tcPr>
            <w:tcW w:w="178" w:type="pct"/>
            <w:shd w:val="clear" w:color="auto" w:fill="auto"/>
          </w:tcPr>
          <w:p w14:paraId="17C758E2" w14:textId="77777777" w:rsidR="000005F4" w:rsidRDefault="000005F4" w:rsidP="000005F4">
            <w:pPr>
              <w:pStyle w:val="TableTextNoSpace"/>
            </w:pPr>
          </w:p>
        </w:tc>
        <w:tc>
          <w:tcPr>
            <w:tcW w:w="178" w:type="pct"/>
            <w:shd w:val="clear" w:color="auto" w:fill="auto"/>
          </w:tcPr>
          <w:p w14:paraId="55A99112" w14:textId="77777777" w:rsidR="000005F4" w:rsidRDefault="000005F4" w:rsidP="000005F4">
            <w:pPr>
              <w:pStyle w:val="TableTextNoSpace"/>
            </w:pPr>
            <w:r>
              <w:t>x</w:t>
            </w:r>
          </w:p>
        </w:tc>
      </w:tr>
      <w:tr w:rsidR="000005F4" w14:paraId="2A27EA89" w14:textId="77777777" w:rsidTr="000005F4">
        <w:tc>
          <w:tcPr>
            <w:tcW w:w="553" w:type="pct"/>
            <w:shd w:val="clear" w:color="auto" w:fill="EAF1DD" w:themeFill="accent3" w:themeFillTint="33"/>
          </w:tcPr>
          <w:p w14:paraId="5F713324" w14:textId="77777777" w:rsidR="000005F4" w:rsidRPr="004419C4" w:rsidRDefault="000005F4" w:rsidP="000005F4">
            <w:pPr>
              <w:pStyle w:val="TableTextNoSpace"/>
              <w:rPr>
                <w:rFonts w:cs="Arial"/>
                <w:sz w:val="16"/>
                <w:szCs w:val="16"/>
              </w:rPr>
            </w:pPr>
            <w:r>
              <w:t>Article 20</w:t>
            </w:r>
            <w:r w:rsidRPr="003B3BB6">
              <w:t xml:space="preserve"> </w:t>
            </w:r>
            <w:r>
              <w:t>(1a)</w:t>
            </w:r>
          </w:p>
        </w:tc>
        <w:tc>
          <w:tcPr>
            <w:tcW w:w="178" w:type="pct"/>
            <w:shd w:val="clear" w:color="auto" w:fill="EAF1DD" w:themeFill="accent3" w:themeFillTint="33"/>
            <w:vAlign w:val="bottom"/>
          </w:tcPr>
          <w:p w14:paraId="14C3DFC5" w14:textId="77777777" w:rsidR="000005F4" w:rsidRDefault="000005F4" w:rsidP="000005F4">
            <w:pPr>
              <w:pStyle w:val="TableTextNoSpace"/>
            </w:pPr>
          </w:p>
        </w:tc>
        <w:tc>
          <w:tcPr>
            <w:tcW w:w="178" w:type="pct"/>
            <w:shd w:val="clear" w:color="auto" w:fill="EAF1DD" w:themeFill="accent3" w:themeFillTint="33"/>
            <w:vAlign w:val="bottom"/>
          </w:tcPr>
          <w:p w14:paraId="396C4D6D" w14:textId="77777777" w:rsidR="000005F4" w:rsidRDefault="000005F4" w:rsidP="000005F4">
            <w:pPr>
              <w:pStyle w:val="TableTextNoSpace"/>
            </w:pPr>
          </w:p>
        </w:tc>
        <w:tc>
          <w:tcPr>
            <w:tcW w:w="178" w:type="pct"/>
            <w:shd w:val="clear" w:color="auto" w:fill="EAF1DD" w:themeFill="accent3" w:themeFillTint="33"/>
          </w:tcPr>
          <w:p w14:paraId="0AE325AB" w14:textId="77777777" w:rsidR="000005F4" w:rsidRDefault="000005F4" w:rsidP="000005F4">
            <w:pPr>
              <w:pStyle w:val="TableTextNoSpace"/>
            </w:pPr>
            <w:r>
              <w:t>x</w:t>
            </w:r>
          </w:p>
        </w:tc>
        <w:tc>
          <w:tcPr>
            <w:tcW w:w="178" w:type="pct"/>
            <w:shd w:val="clear" w:color="auto" w:fill="EAF1DD" w:themeFill="accent3" w:themeFillTint="33"/>
            <w:vAlign w:val="bottom"/>
          </w:tcPr>
          <w:p w14:paraId="4728C725" w14:textId="77777777" w:rsidR="000005F4" w:rsidRDefault="000005F4" w:rsidP="000005F4">
            <w:pPr>
              <w:pStyle w:val="TableTextNoSpace"/>
            </w:pPr>
          </w:p>
        </w:tc>
        <w:tc>
          <w:tcPr>
            <w:tcW w:w="178" w:type="pct"/>
            <w:shd w:val="clear" w:color="auto" w:fill="EAF1DD" w:themeFill="accent3" w:themeFillTint="33"/>
            <w:vAlign w:val="bottom"/>
          </w:tcPr>
          <w:p w14:paraId="026CAEDC" w14:textId="77777777" w:rsidR="000005F4" w:rsidRDefault="000005F4" w:rsidP="000005F4">
            <w:pPr>
              <w:pStyle w:val="TableTextNoSpace"/>
            </w:pPr>
            <w:r>
              <w:t>x</w:t>
            </w:r>
          </w:p>
        </w:tc>
        <w:tc>
          <w:tcPr>
            <w:tcW w:w="178" w:type="pct"/>
            <w:shd w:val="clear" w:color="auto" w:fill="EAF1DD" w:themeFill="accent3" w:themeFillTint="33"/>
            <w:vAlign w:val="bottom"/>
          </w:tcPr>
          <w:p w14:paraId="1E7CEE4A" w14:textId="77777777" w:rsidR="000005F4" w:rsidRDefault="000005F4" w:rsidP="000005F4">
            <w:pPr>
              <w:pStyle w:val="TableTextNoSpace"/>
            </w:pPr>
          </w:p>
        </w:tc>
        <w:tc>
          <w:tcPr>
            <w:tcW w:w="178" w:type="pct"/>
            <w:shd w:val="clear" w:color="auto" w:fill="EAF1DD" w:themeFill="accent3" w:themeFillTint="33"/>
            <w:vAlign w:val="bottom"/>
          </w:tcPr>
          <w:p w14:paraId="39CE417C" w14:textId="77777777" w:rsidR="000005F4" w:rsidRDefault="000005F4" w:rsidP="000005F4">
            <w:pPr>
              <w:pStyle w:val="TableTextNoSpace"/>
            </w:pPr>
          </w:p>
        </w:tc>
        <w:tc>
          <w:tcPr>
            <w:tcW w:w="178" w:type="pct"/>
            <w:shd w:val="clear" w:color="auto" w:fill="EAF1DD" w:themeFill="accent3" w:themeFillTint="33"/>
            <w:vAlign w:val="bottom"/>
          </w:tcPr>
          <w:p w14:paraId="38B31028" w14:textId="77777777" w:rsidR="000005F4" w:rsidRDefault="000005F4" w:rsidP="000005F4">
            <w:pPr>
              <w:pStyle w:val="TableTextNoSpace"/>
            </w:pPr>
            <w:r>
              <w:t>x</w:t>
            </w:r>
          </w:p>
        </w:tc>
        <w:tc>
          <w:tcPr>
            <w:tcW w:w="178" w:type="pct"/>
            <w:shd w:val="clear" w:color="auto" w:fill="EAF1DD" w:themeFill="accent3" w:themeFillTint="33"/>
            <w:vAlign w:val="bottom"/>
          </w:tcPr>
          <w:p w14:paraId="487FADC4" w14:textId="77777777" w:rsidR="000005F4" w:rsidRDefault="000005F4" w:rsidP="000005F4">
            <w:pPr>
              <w:pStyle w:val="TableTextNoSpace"/>
            </w:pPr>
          </w:p>
        </w:tc>
        <w:tc>
          <w:tcPr>
            <w:tcW w:w="178" w:type="pct"/>
            <w:shd w:val="clear" w:color="auto" w:fill="EAF1DD" w:themeFill="accent3" w:themeFillTint="33"/>
            <w:vAlign w:val="bottom"/>
          </w:tcPr>
          <w:p w14:paraId="653A0CDF" w14:textId="77777777" w:rsidR="000005F4" w:rsidRDefault="000005F4" w:rsidP="000005F4">
            <w:pPr>
              <w:pStyle w:val="TableTextNoSpace"/>
            </w:pPr>
          </w:p>
        </w:tc>
        <w:tc>
          <w:tcPr>
            <w:tcW w:w="178" w:type="pct"/>
            <w:shd w:val="clear" w:color="auto" w:fill="EAF1DD" w:themeFill="accent3" w:themeFillTint="33"/>
            <w:vAlign w:val="bottom"/>
          </w:tcPr>
          <w:p w14:paraId="7F0CAA97" w14:textId="77777777" w:rsidR="000005F4" w:rsidRDefault="000005F4" w:rsidP="000005F4">
            <w:pPr>
              <w:pStyle w:val="TableTextNoSpace"/>
            </w:pPr>
          </w:p>
        </w:tc>
        <w:tc>
          <w:tcPr>
            <w:tcW w:w="178" w:type="pct"/>
            <w:shd w:val="clear" w:color="auto" w:fill="EAF1DD" w:themeFill="accent3" w:themeFillTint="33"/>
            <w:vAlign w:val="bottom"/>
          </w:tcPr>
          <w:p w14:paraId="23F94C0F" w14:textId="77777777" w:rsidR="000005F4" w:rsidRDefault="000005F4" w:rsidP="000005F4">
            <w:pPr>
              <w:pStyle w:val="TableTextNoSpace"/>
            </w:pPr>
          </w:p>
        </w:tc>
        <w:tc>
          <w:tcPr>
            <w:tcW w:w="178" w:type="pct"/>
            <w:shd w:val="clear" w:color="auto" w:fill="EAF1DD" w:themeFill="accent3" w:themeFillTint="33"/>
            <w:vAlign w:val="bottom"/>
          </w:tcPr>
          <w:p w14:paraId="2DE78FD3" w14:textId="77777777" w:rsidR="000005F4" w:rsidRDefault="000005F4" w:rsidP="000005F4">
            <w:pPr>
              <w:pStyle w:val="TableTextNoSpace"/>
            </w:pPr>
          </w:p>
        </w:tc>
        <w:tc>
          <w:tcPr>
            <w:tcW w:w="178" w:type="pct"/>
            <w:shd w:val="clear" w:color="auto" w:fill="EAF1DD" w:themeFill="accent3" w:themeFillTint="33"/>
            <w:vAlign w:val="bottom"/>
          </w:tcPr>
          <w:p w14:paraId="27856A38" w14:textId="77777777" w:rsidR="000005F4" w:rsidRDefault="000005F4" w:rsidP="000005F4">
            <w:pPr>
              <w:pStyle w:val="TableTextNoSpace"/>
            </w:pPr>
          </w:p>
        </w:tc>
        <w:tc>
          <w:tcPr>
            <w:tcW w:w="178" w:type="pct"/>
            <w:shd w:val="clear" w:color="auto" w:fill="EAF1DD" w:themeFill="accent3" w:themeFillTint="33"/>
            <w:vAlign w:val="bottom"/>
          </w:tcPr>
          <w:p w14:paraId="4448B4A5" w14:textId="77777777" w:rsidR="000005F4" w:rsidRDefault="000005F4" w:rsidP="000005F4">
            <w:pPr>
              <w:pStyle w:val="TableTextNoSpace"/>
            </w:pPr>
          </w:p>
        </w:tc>
        <w:tc>
          <w:tcPr>
            <w:tcW w:w="178" w:type="pct"/>
            <w:shd w:val="clear" w:color="auto" w:fill="EAF1DD" w:themeFill="accent3" w:themeFillTint="33"/>
            <w:vAlign w:val="bottom"/>
          </w:tcPr>
          <w:p w14:paraId="3446F0AA" w14:textId="77777777" w:rsidR="000005F4" w:rsidRDefault="000005F4" w:rsidP="000005F4">
            <w:pPr>
              <w:pStyle w:val="TableTextNoSpace"/>
            </w:pPr>
          </w:p>
        </w:tc>
        <w:tc>
          <w:tcPr>
            <w:tcW w:w="178" w:type="pct"/>
            <w:shd w:val="clear" w:color="auto" w:fill="EAF1DD" w:themeFill="accent3" w:themeFillTint="33"/>
            <w:vAlign w:val="bottom"/>
          </w:tcPr>
          <w:p w14:paraId="208B719E" w14:textId="77777777" w:rsidR="000005F4" w:rsidRDefault="000005F4" w:rsidP="000005F4">
            <w:pPr>
              <w:pStyle w:val="TableTextNoSpace"/>
            </w:pPr>
          </w:p>
        </w:tc>
        <w:tc>
          <w:tcPr>
            <w:tcW w:w="178" w:type="pct"/>
            <w:shd w:val="clear" w:color="auto" w:fill="EAF1DD" w:themeFill="accent3" w:themeFillTint="33"/>
            <w:vAlign w:val="bottom"/>
          </w:tcPr>
          <w:p w14:paraId="2092754B" w14:textId="77777777" w:rsidR="000005F4" w:rsidRDefault="000005F4" w:rsidP="000005F4">
            <w:pPr>
              <w:pStyle w:val="TableTextNoSpace"/>
            </w:pPr>
          </w:p>
        </w:tc>
        <w:tc>
          <w:tcPr>
            <w:tcW w:w="178" w:type="pct"/>
            <w:shd w:val="clear" w:color="auto" w:fill="EAF1DD" w:themeFill="accent3" w:themeFillTint="33"/>
            <w:vAlign w:val="bottom"/>
          </w:tcPr>
          <w:p w14:paraId="2DAA8F3F" w14:textId="77777777" w:rsidR="000005F4" w:rsidRDefault="000005F4" w:rsidP="000005F4">
            <w:pPr>
              <w:pStyle w:val="TableTextNoSpace"/>
            </w:pPr>
          </w:p>
        </w:tc>
        <w:tc>
          <w:tcPr>
            <w:tcW w:w="178" w:type="pct"/>
            <w:shd w:val="clear" w:color="auto" w:fill="EAF1DD" w:themeFill="accent3" w:themeFillTint="33"/>
            <w:vAlign w:val="bottom"/>
          </w:tcPr>
          <w:p w14:paraId="034624EE" w14:textId="77777777" w:rsidR="000005F4" w:rsidRDefault="000005F4" w:rsidP="000005F4">
            <w:pPr>
              <w:pStyle w:val="TableTextNoSpace"/>
            </w:pPr>
          </w:p>
        </w:tc>
        <w:tc>
          <w:tcPr>
            <w:tcW w:w="178" w:type="pct"/>
            <w:shd w:val="clear" w:color="auto" w:fill="EAF1DD" w:themeFill="accent3" w:themeFillTint="33"/>
            <w:vAlign w:val="bottom"/>
          </w:tcPr>
          <w:p w14:paraId="3503650D" w14:textId="77777777" w:rsidR="000005F4" w:rsidRDefault="000005F4" w:rsidP="000005F4">
            <w:pPr>
              <w:pStyle w:val="TableTextNoSpace"/>
            </w:pPr>
          </w:p>
        </w:tc>
        <w:tc>
          <w:tcPr>
            <w:tcW w:w="178" w:type="pct"/>
            <w:shd w:val="clear" w:color="auto" w:fill="EAF1DD" w:themeFill="accent3" w:themeFillTint="33"/>
            <w:vAlign w:val="bottom"/>
          </w:tcPr>
          <w:p w14:paraId="5E486C1B" w14:textId="77777777" w:rsidR="000005F4" w:rsidRDefault="000005F4" w:rsidP="000005F4">
            <w:pPr>
              <w:pStyle w:val="TableTextNoSpace"/>
            </w:pPr>
          </w:p>
        </w:tc>
        <w:tc>
          <w:tcPr>
            <w:tcW w:w="178" w:type="pct"/>
            <w:shd w:val="clear" w:color="auto" w:fill="EAF1DD" w:themeFill="accent3" w:themeFillTint="33"/>
            <w:vAlign w:val="bottom"/>
          </w:tcPr>
          <w:p w14:paraId="1B68241F" w14:textId="77777777" w:rsidR="000005F4" w:rsidRDefault="000005F4" w:rsidP="000005F4">
            <w:pPr>
              <w:pStyle w:val="TableTextNoSpace"/>
            </w:pPr>
          </w:p>
        </w:tc>
        <w:tc>
          <w:tcPr>
            <w:tcW w:w="178" w:type="pct"/>
            <w:shd w:val="clear" w:color="auto" w:fill="EAF1DD" w:themeFill="accent3" w:themeFillTint="33"/>
            <w:vAlign w:val="bottom"/>
          </w:tcPr>
          <w:p w14:paraId="053E8AB6" w14:textId="77777777" w:rsidR="000005F4" w:rsidRDefault="000005F4" w:rsidP="000005F4">
            <w:pPr>
              <w:pStyle w:val="TableTextNoSpace"/>
            </w:pPr>
          </w:p>
        </w:tc>
        <w:tc>
          <w:tcPr>
            <w:tcW w:w="178" w:type="pct"/>
            <w:shd w:val="clear" w:color="auto" w:fill="EAF1DD" w:themeFill="accent3" w:themeFillTint="33"/>
            <w:vAlign w:val="bottom"/>
          </w:tcPr>
          <w:p w14:paraId="4B5C2C9A" w14:textId="77777777" w:rsidR="000005F4" w:rsidRDefault="000005F4" w:rsidP="000005F4">
            <w:pPr>
              <w:pStyle w:val="TableTextNoSpace"/>
            </w:pPr>
          </w:p>
        </w:tc>
      </w:tr>
      <w:tr w:rsidR="000005F4" w14:paraId="2187B6E0" w14:textId="77777777" w:rsidTr="000005F4">
        <w:tc>
          <w:tcPr>
            <w:tcW w:w="553" w:type="pct"/>
            <w:shd w:val="clear" w:color="auto" w:fill="auto"/>
          </w:tcPr>
          <w:p w14:paraId="585D5466" w14:textId="77777777" w:rsidR="000005F4" w:rsidRPr="004419C4" w:rsidRDefault="000005F4" w:rsidP="000005F4">
            <w:pPr>
              <w:pStyle w:val="TableTextNoSpace"/>
              <w:rPr>
                <w:rFonts w:cs="Arial"/>
                <w:sz w:val="16"/>
                <w:szCs w:val="16"/>
              </w:rPr>
            </w:pPr>
            <w:r>
              <w:t>Article 20</w:t>
            </w:r>
            <w:r w:rsidRPr="003B3BB6">
              <w:t xml:space="preserve"> </w:t>
            </w:r>
            <w:r>
              <w:t>(1d)</w:t>
            </w:r>
          </w:p>
        </w:tc>
        <w:tc>
          <w:tcPr>
            <w:tcW w:w="178" w:type="pct"/>
            <w:shd w:val="clear" w:color="auto" w:fill="auto"/>
            <w:vAlign w:val="bottom"/>
          </w:tcPr>
          <w:p w14:paraId="0F7BA39A" w14:textId="77777777" w:rsidR="000005F4" w:rsidRDefault="000005F4" w:rsidP="000005F4">
            <w:pPr>
              <w:pStyle w:val="TableTextNoSpace"/>
            </w:pPr>
          </w:p>
        </w:tc>
        <w:tc>
          <w:tcPr>
            <w:tcW w:w="178" w:type="pct"/>
            <w:shd w:val="clear" w:color="auto" w:fill="auto"/>
            <w:vAlign w:val="bottom"/>
          </w:tcPr>
          <w:p w14:paraId="153FF68E" w14:textId="77777777" w:rsidR="000005F4" w:rsidRDefault="000005F4" w:rsidP="000005F4">
            <w:pPr>
              <w:pStyle w:val="TableTextNoSpace"/>
            </w:pPr>
          </w:p>
        </w:tc>
        <w:tc>
          <w:tcPr>
            <w:tcW w:w="178" w:type="pct"/>
            <w:shd w:val="clear" w:color="auto" w:fill="auto"/>
            <w:vAlign w:val="bottom"/>
          </w:tcPr>
          <w:p w14:paraId="51E2747C" w14:textId="77777777" w:rsidR="000005F4" w:rsidRDefault="000005F4" w:rsidP="000005F4">
            <w:pPr>
              <w:pStyle w:val="TableTextNoSpace"/>
            </w:pPr>
          </w:p>
        </w:tc>
        <w:tc>
          <w:tcPr>
            <w:tcW w:w="178" w:type="pct"/>
            <w:shd w:val="clear" w:color="auto" w:fill="auto"/>
            <w:vAlign w:val="bottom"/>
          </w:tcPr>
          <w:p w14:paraId="779B9D26" w14:textId="77777777" w:rsidR="000005F4" w:rsidRDefault="000005F4" w:rsidP="000005F4">
            <w:pPr>
              <w:pStyle w:val="TableTextNoSpace"/>
            </w:pPr>
          </w:p>
        </w:tc>
        <w:tc>
          <w:tcPr>
            <w:tcW w:w="178" w:type="pct"/>
            <w:shd w:val="clear" w:color="auto" w:fill="auto"/>
            <w:vAlign w:val="bottom"/>
          </w:tcPr>
          <w:p w14:paraId="27E8AE6C" w14:textId="77777777" w:rsidR="000005F4" w:rsidRDefault="000005F4" w:rsidP="000005F4">
            <w:pPr>
              <w:pStyle w:val="TableTextNoSpace"/>
            </w:pPr>
          </w:p>
        </w:tc>
        <w:tc>
          <w:tcPr>
            <w:tcW w:w="178" w:type="pct"/>
            <w:shd w:val="clear" w:color="auto" w:fill="auto"/>
            <w:vAlign w:val="bottom"/>
          </w:tcPr>
          <w:p w14:paraId="24782334" w14:textId="77777777" w:rsidR="000005F4" w:rsidRDefault="000005F4" w:rsidP="000005F4">
            <w:pPr>
              <w:pStyle w:val="TableTextNoSpace"/>
            </w:pPr>
          </w:p>
        </w:tc>
        <w:tc>
          <w:tcPr>
            <w:tcW w:w="178" w:type="pct"/>
            <w:shd w:val="clear" w:color="auto" w:fill="auto"/>
            <w:vAlign w:val="bottom"/>
          </w:tcPr>
          <w:p w14:paraId="2FEB3DAF" w14:textId="77777777" w:rsidR="000005F4" w:rsidRDefault="000005F4" w:rsidP="000005F4">
            <w:pPr>
              <w:pStyle w:val="TableTextNoSpace"/>
            </w:pPr>
          </w:p>
        </w:tc>
        <w:tc>
          <w:tcPr>
            <w:tcW w:w="178" w:type="pct"/>
            <w:shd w:val="clear" w:color="auto" w:fill="auto"/>
            <w:vAlign w:val="bottom"/>
          </w:tcPr>
          <w:p w14:paraId="6EAA3A76" w14:textId="77777777" w:rsidR="000005F4" w:rsidRDefault="000005F4" w:rsidP="000005F4">
            <w:pPr>
              <w:pStyle w:val="TableTextNoSpace"/>
            </w:pPr>
          </w:p>
        </w:tc>
        <w:tc>
          <w:tcPr>
            <w:tcW w:w="178" w:type="pct"/>
            <w:shd w:val="clear" w:color="auto" w:fill="auto"/>
            <w:vAlign w:val="bottom"/>
          </w:tcPr>
          <w:p w14:paraId="1391C38C" w14:textId="77777777" w:rsidR="000005F4" w:rsidRDefault="000005F4" w:rsidP="000005F4">
            <w:pPr>
              <w:pStyle w:val="TableTextNoSpace"/>
            </w:pPr>
          </w:p>
        </w:tc>
        <w:tc>
          <w:tcPr>
            <w:tcW w:w="178" w:type="pct"/>
            <w:shd w:val="clear" w:color="auto" w:fill="auto"/>
            <w:vAlign w:val="bottom"/>
          </w:tcPr>
          <w:p w14:paraId="5A077CF1" w14:textId="77777777" w:rsidR="000005F4" w:rsidRDefault="000005F4" w:rsidP="000005F4">
            <w:pPr>
              <w:pStyle w:val="TableTextNoSpace"/>
            </w:pPr>
            <w:r>
              <w:t>x</w:t>
            </w:r>
          </w:p>
        </w:tc>
        <w:tc>
          <w:tcPr>
            <w:tcW w:w="178" w:type="pct"/>
            <w:shd w:val="clear" w:color="auto" w:fill="auto"/>
            <w:vAlign w:val="bottom"/>
          </w:tcPr>
          <w:p w14:paraId="6C511465" w14:textId="77777777" w:rsidR="000005F4" w:rsidRDefault="000005F4" w:rsidP="000005F4">
            <w:pPr>
              <w:pStyle w:val="TableTextNoSpace"/>
            </w:pPr>
          </w:p>
        </w:tc>
        <w:tc>
          <w:tcPr>
            <w:tcW w:w="178" w:type="pct"/>
            <w:shd w:val="clear" w:color="auto" w:fill="auto"/>
            <w:vAlign w:val="bottom"/>
          </w:tcPr>
          <w:p w14:paraId="7D8867A4" w14:textId="77777777" w:rsidR="000005F4" w:rsidRDefault="000005F4" w:rsidP="000005F4">
            <w:pPr>
              <w:pStyle w:val="TableTextNoSpace"/>
            </w:pPr>
          </w:p>
        </w:tc>
        <w:tc>
          <w:tcPr>
            <w:tcW w:w="178" w:type="pct"/>
            <w:shd w:val="clear" w:color="auto" w:fill="auto"/>
            <w:vAlign w:val="bottom"/>
          </w:tcPr>
          <w:p w14:paraId="74FCEFA4" w14:textId="77777777" w:rsidR="000005F4" w:rsidRDefault="000005F4" w:rsidP="000005F4">
            <w:pPr>
              <w:pStyle w:val="TableTextNoSpace"/>
            </w:pPr>
          </w:p>
        </w:tc>
        <w:tc>
          <w:tcPr>
            <w:tcW w:w="178" w:type="pct"/>
            <w:shd w:val="clear" w:color="auto" w:fill="auto"/>
            <w:vAlign w:val="bottom"/>
          </w:tcPr>
          <w:p w14:paraId="26826A87" w14:textId="77777777" w:rsidR="000005F4" w:rsidRDefault="000005F4" w:rsidP="000005F4">
            <w:pPr>
              <w:pStyle w:val="TableTextNoSpace"/>
            </w:pPr>
          </w:p>
        </w:tc>
        <w:tc>
          <w:tcPr>
            <w:tcW w:w="178" w:type="pct"/>
            <w:shd w:val="clear" w:color="auto" w:fill="auto"/>
            <w:vAlign w:val="bottom"/>
          </w:tcPr>
          <w:p w14:paraId="743D91EF" w14:textId="77777777" w:rsidR="000005F4" w:rsidRDefault="000005F4" w:rsidP="000005F4">
            <w:pPr>
              <w:pStyle w:val="TableTextNoSpace"/>
            </w:pPr>
          </w:p>
        </w:tc>
        <w:tc>
          <w:tcPr>
            <w:tcW w:w="178" w:type="pct"/>
            <w:shd w:val="clear" w:color="auto" w:fill="auto"/>
            <w:vAlign w:val="bottom"/>
          </w:tcPr>
          <w:p w14:paraId="7914764E" w14:textId="77777777" w:rsidR="000005F4" w:rsidRDefault="000005F4" w:rsidP="000005F4">
            <w:pPr>
              <w:pStyle w:val="TableTextNoSpace"/>
            </w:pPr>
          </w:p>
        </w:tc>
        <w:tc>
          <w:tcPr>
            <w:tcW w:w="178" w:type="pct"/>
            <w:shd w:val="clear" w:color="auto" w:fill="auto"/>
            <w:vAlign w:val="bottom"/>
          </w:tcPr>
          <w:p w14:paraId="210B918A" w14:textId="77777777" w:rsidR="000005F4" w:rsidRDefault="000005F4" w:rsidP="000005F4">
            <w:pPr>
              <w:pStyle w:val="TableTextNoSpace"/>
            </w:pPr>
          </w:p>
        </w:tc>
        <w:tc>
          <w:tcPr>
            <w:tcW w:w="178" w:type="pct"/>
            <w:shd w:val="clear" w:color="auto" w:fill="auto"/>
            <w:vAlign w:val="bottom"/>
          </w:tcPr>
          <w:p w14:paraId="53DB10B5" w14:textId="77777777" w:rsidR="000005F4" w:rsidRDefault="000005F4" w:rsidP="000005F4">
            <w:pPr>
              <w:pStyle w:val="TableTextNoSpace"/>
            </w:pPr>
          </w:p>
        </w:tc>
        <w:tc>
          <w:tcPr>
            <w:tcW w:w="178" w:type="pct"/>
            <w:vAlign w:val="bottom"/>
          </w:tcPr>
          <w:p w14:paraId="161CC4BA" w14:textId="77777777" w:rsidR="000005F4" w:rsidRDefault="000005F4" w:rsidP="000005F4">
            <w:pPr>
              <w:pStyle w:val="TableTextNoSpace"/>
            </w:pPr>
          </w:p>
        </w:tc>
        <w:tc>
          <w:tcPr>
            <w:tcW w:w="178" w:type="pct"/>
            <w:vAlign w:val="bottom"/>
          </w:tcPr>
          <w:p w14:paraId="68B3C64B" w14:textId="77777777" w:rsidR="000005F4" w:rsidRDefault="000005F4" w:rsidP="000005F4">
            <w:pPr>
              <w:pStyle w:val="TableTextNoSpace"/>
            </w:pPr>
            <w:r>
              <w:t>x</w:t>
            </w:r>
          </w:p>
        </w:tc>
        <w:tc>
          <w:tcPr>
            <w:tcW w:w="178" w:type="pct"/>
            <w:vAlign w:val="bottom"/>
          </w:tcPr>
          <w:p w14:paraId="53CB2A53" w14:textId="77777777" w:rsidR="000005F4" w:rsidRDefault="000005F4" w:rsidP="000005F4">
            <w:pPr>
              <w:pStyle w:val="TableTextNoSpace"/>
            </w:pPr>
          </w:p>
        </w:tc>
        <w:tc>
          <w:tcPr>
            <w:tcW w:w="178" w:type="pct"/>
            <w:vAlign w:val="bottom"/>
          </w:tcPr>
          <w:p w14:paraId="34238E64" w14:textId="77777777" w:rsidR="000005F4" w:rsidRDefault="000005F4" w:rsidP="000005F4">
            <w:pPr>
              <w:pStyle w:val="TableTextNoSpace"/>
            </w:pPr>
          </w:p>
        </w:tc>
        <w:tc>
          <w:tcPr>
            <w:tcW w:w="178" w:type="pct"/>
            <w:vAlign w:val="bottom"/>
          </w:tcPr>
          <w:p w14:paraId="531A5CCE" w14:textId="77777777" w:rsidR="000005F4" w:rsidRDefault="000005F4" w:rsidP="000005F4">
            <w:pPr>
              <w:pStyle w:val="TableTextNoSpace"/>
            </w:pPr>
          </w:p>
        </w:tc>
        <w:tc>
          <w:tcPr>
            <w:tcW w:w="178" w:type="pct"/>
            <w:vAlign w:val="bottom"/>
          </w:tcPr>
          <w:p w14:paraId="356739CE" w14:textId="77777777" w:rsidR="000005F4" w:rsidRDefault="000005F4" w:rsidP="000005F4">
            <w:pPr>
              <w:pStyle w:val="TableTextNoSpace"/>
            </w:pPr>
          </w:p>
        </w:tc>
        <w:tc>
          <w:tcPr>
            <w:tcW w:w="178" w:type="pct"/>
            <w:shd w:val="clear" w:color="auto" w:fill="auto"/>
            <w:vAlign w:val="bottom"/>
          </w:tcPr>
          <w:p w14:paraId="54216E0C" w14:textId="77777777" w:rsidR="000005F4" w:rsidRDefault="000005F4" w:rsidP="000005F4">
            <w:pPr>
              <w:pStyle w:val="TableTextNoSpace"/>
            </w:pPr>
          </w:p>
        </w:tc>
      </w:tr>
      <w:tr w:rsidR="000005F4" w14:paraId="0AA8B901" w14:textId="77777777" w:rsidTr="000005F4">
        <w:tc>
          <w:tcPr>
            <w:tcW w:w="553" w:type="pct"/>
            <w:shd w:val="clear" w:color="auto" w:fill="auto"/>
          </w:tcPr>
          <w:p w14:paraId="6E7F7428" w14:textId="77777777" w:rsidR="000005F4" w:rsidRPr="004419C4" w:rsidRDefault="000005F4" w:rsidP="000005F4">
            <w:pPr>
              <w:pStyle w:val="TableTextNoSpace"/>
              <w:rPr>
                <w:rFonts w:cs="Arial"/>
                <w:sz w:val="16"/>
                <w:szCs w:val="16"/>
              </w:rPr>
            </w:pPr>
            <w:r>
              <w:t>Article 20</w:t>
            </w:r>
            <w:r w:rsidRPr="003B3BB6">
              <w:t xml:space="preserve"> </w:t>
            </w:r>
            <w:r>
              <w:t>(1e)</w:t>
            </w:r>
          </w:p>
        </w:tc>
        <w:tc>
          <w:tcPr>
            <w:tcW w:w="178" w:type="pct"/>
            <w:shd w:val="clear" w:color="auto" w:fill="auto"/>
            <w:vAlign w:val="bottom"/>
          </w:tcPr>
          <w:p w14:paraId="2A9818FF" w14:textId="77777777" w:rsidR="000005F4" w:rsidRDefault="000005F4" w:rsidP="000005F4">
            <w:pPr>
              <w:pStyle w:val="TableTextNoSpace"/>
            </w:pPr>
          </w:p>
        </w:tc>
        <w:tc>
          <w:tcPr>
            <w:tcW w:w="178" w:type="pct"/>
            <w:shd w:val="clear" w:color="auto" w:fill="auto"/>
            <w:vAlign w:val="bottom"/>
          </w:tcPr>
          <w:p w14:paraId="2803A8DC" w14:textId="77777777" w:rsidR="000005F4" w:rsidRDefault="000005F4" w:rsidP="000005F4">
            <w:pPr>
              <w:pStyle w:val="TableTextNoSpace"/>
            </w:pPr>
          </w:p>
        </w:tc>
        <w:tc>
          <w:tcPr>
            <w:tcW w:w="178" w:type="pct"/>
            <w:shd w:val="clear" w:color="auto" w:fill="auto"/>
            <w:vAlign w:val="bottom"/>
          </w:tcPr>
          <w:p w14:paraId="2F71B892" w14:textId="77777777" w:rsidR="000005F4" w:rsidRDefault="000005F4" w:rsidP="000005F4">
            <w:pPr>
              <w:pStyle w:val="TableTextNoSpace"/>
            </w:pPr>
          </w:p>
        </w:tc>
        <w:tc>
          <w:tcPr>
            <w:tcW w:w="178" w:type="pct"/>
            <w:shd w:val="clear" w:color="auto" w:fill="auto"/>
            <w:vAlign w:val="bottom"/>
          </w:tcPr>
          <w:p w14:paraId="38C278CE" w14:textId="77777777" w:rsidR="000005F4" w:rsidRDefault="000005F4" w:rsidP="000005F4">
            <w:pPr>
              <w:pStyle w:val="TableTextNoSpace"/>
            </w:pPr>
          </w:p>
        </w:tc>
        <w:tc>
          <w:tcPr>
            <w:tcW w:w="178" w:type="pct"/>
            <w:shd w:val="clear" w:color="auto" w:fill="auto"/>
            <w:vAlign w:val="bottom"/>
          </w:tcPr>
          <w:p w14:paraId="17A1406B" w14:textId="77777777" w:rsidR="000005F4" w:rsidRDefault="000005F4" w:rsidP="000005F4">
            <w:pPr>
              <w:pStyle w:val="TableTextNoSpace"/>
            </w:pPr>
          </w:p>
        </w:tc>
        <w:tc>
          <w:tcPr>
            <w:tcW w:w="178" w:type="pct"/>
            <w:shd w:val="clear" w:color="auto" w:fill="auto"/>
            <w:vAlign w:val="bottom"/>
          </w:tcPr>
          <w:p w14:paraId="20310A96" w14:textId="77777777" w:rsidR="000005F4" w:rsidRDefault="000005F4" w:rsidP="000005F4">
            <w:pPr>
              <w:pStyle w:val="TableTextNoSpace"/>
            </w:pPr>
          </w:p>
        </w:tc>
        <w:tc>
          <w:tcPr>
            <w:tcW w:w="178" w:type="pct"/>
            <w:shd w:val="clear" w:color="auto" w:fill="auto"/>
            <w:vAlign w:val="bottom"/>
          </w:tcPr>
          <w:p w14:paraId="146FDB6F" w14:textId="77777777" w:rsidR="000005F4" w:rsidRDefault="000005F4" w:rsidP="000005F4">
            <w:pPr>
              <w:pStyle w:val="TableTextNoSpace"/>
            </w:pPr>
          </w:p>
        </w:tc>
        <w:tc>
          <w:tcPr>
            <w:tcW w:w="178" w:type="pct"/>
            <w:shd w:val="clear" w:color="auto" w:fill="auto"/>
            <w:vAlign w:val="bottom"/>
          </w:tcPr>
          <w:p w14:paraId="2241FAFB" w14:textId="77777777" w:rsidR="000005F4" w:rsidRDefault="000005F4" w:rsidP="000005F4">
            <w:pPr>
              <w:pStyle w:val="TableTextNoSpace"/>
            </w:pPr>
          </w:p>
        </w:tc>
        <w:tc>
          <w:tcPr>
            <w:tcW w:w="178" w:type="pct"/>
            <w:shd w:val="clear" w:color="auto" w:fill="auto"/>
            <w:vAlign w:val="bottom"/>
          </w:tcPr>
          <w:p w14:paraId="584637DD" w14:textId="77777777" w:rsidR="000005F4" w:rsidRDefault="000005F4" w:rsidP="000005F4">
            <w:pPr>
              <w:pStyle w:val="TableTextNoSpace"/>
            </w:pPr>
          </w:p>
        </w:tc>
        <w:tc>
          <w:tcPr>
            <w:tcW w:w="178" w:type="pct"/>
            <w:shd w:val="clear" w:color="auto" w:fill="auto"/>
            <w:vAlign w:val="bottom"/>
          </w:tcPr>
          <w:p w14:paraId="18D9FA78" w14:textId="77777777" w:rsidR="000005F4" w:rsidRDefault="000005F4" w:rsidP="000005F4">
            <w:pPr>
              <w:pStyle w:val="TableTextNoSpace"/>
            </w:pPr>
          </w:p>
        </w:tc>
        <w:tc>
          <w:tcPr>
            <w:tcW w:w="178" w:type="pct"/>
            <w:shd w:val="clear" w:color="auto" w:fill="auto"/>
            <w:vAlign w:val="bottom"/>
          </w:tcPr>
          <w:p w14:paraId="7D6A979F" w14:textId="77777777" w:rsidR="000005F4" w:rsidRDefault="000005F4" w:rsidP="000005F4">
            <w:pPr>
              <w:pStyle w:val="TableTextNoSpace"/>
            </w:pPr>
          </w:p>
        </w:tc>
        <w:tc>
          <w:tcPr>
            <w:tcW w:w="178" w:type="pct"/>
            <w:shd w:val="clear" w:color="auto" w:fill="auto"/>
            <w:vAlign w:val="bottom"/>
          </w:tcPr>
          <w:p w14:paraId="7D479A48" w14:textId="77777777" w:rsidR="000005F4" w:rsidRDefault="000005F4" w:rsidP="000005F4">
            <w:pPr>
              <w:pStyle w:val="TableTextNoSpace"/>
            </w:pPr>
            <w:r>
              <w:t>x</w:t>
            </w:r>
          </w:p>
        </w:tc>
        <w:tc>
          <w:tcPr>
            <w:tcW w:w="178" w:type="pct"/>
            <w:shd w:val="clear" w:color="auto" w:fill="auto"/>
            <w:vAlign w:val="bottom"/>
          </w:tcPr>
          <w:p w14:paraId="3EF6AF2C" w14:textId="77777777" w:rsidR="000005F4" w:rsidRDefault="000005F4" w:rsidP="000005F4">
            <w:pPr>
              <w:pStyle w:val="TableTextNoSpace"/>
            </w:pPr>
          </w:p>
        </w:tc>
        <w:tc>
          <w:tcPr>
            <w:tcW w:w="178" w:type="pct"/>
            <w:shd w:val="clear" w:color="auto" w:fill="auto"/>
            <w:vAlign w:val="bottom"/>
          </w:tcPr>
          <w:p w14:paraId="18AAFDEF" w14:textId="77777777" w:rsidR="000005F4" w:rsidRDefault="000005F4" w:rsidP="000005F4">
            <w:pPr>
              <w:pStyle w:val="TableTextNoSpace"/>
            </w:pPr>
          </w:p>
        </w:tc>
        <w:tc>
          <w:tcPr>
            <w:tcW w:w="178" w:type="pct"/>
            <w:shd w:val="clear" w:color="auto" w:fill="auto"/>
            <w:vAlign w:val="bottom"/>
          </w:tcPr>
          <w:p w14:paraId="72DC7038" w14:textId="77777777" w:rsidR="000005F4" w:rsidRDefault="000005F4" w:rsidP="000005F4">
            <w:pPr>
              <w:pStyle w:val="TableTextNoSpace"/>
            </w:pPr>
          </w:p>
        </w:tc>
        <w:tc>
          <w:tcPr>
            <w:tcW w:w="178" w:type="pct"/>
            <w:shd w:val="clear" w:color="auto" w:fill="auto"/>
            <w:vAlign w:val="bottom"/>
          </w:tcPr>
          <w:p w14:paraId="0DCA0F9B" w14:textId="77777777" w:rsidR="000005F4" w:rsidRDefault="000005F4" w:rsidP="000005F4">
            <w:pPr>
              <w:pStyle w:val="TableTextNoSpace"/>
            </w:pPr>
          </w:p>
        </w:tc>
        <w:tc>
          <w:tcPr>
            <w:tcW w:w="178" w:type="pct"/>
            <w:shd w:val="clear" w:color="auto" w:fill="auto"/>
            <w:vAlign w:val="bottom"/>
          </w:tcPr>
          <w:p w14:paraId="1BC55925" w14:textId="77777777" w:rsidR="000005F4" w:rsidRDefault="000005F4" w:rsidP="000005F4">
            <w:pPr>
              <w:pStyle w:val="TableTextNoSpace"/>
            </w:pPr>
          </w:p>
        </w:tc>
        <w:tc>
          <w:tcPr>
            <w:tcW w:w="178" w:type="pct"/>
            <w:shd w:val="clear" w:color="auto" w:fill="auto"/>
            <w:vAlign w:val="bottom"/>
          </w:tcPr>
          <w:p w14:paraId="7CF99DE1" w14:textId="77777777" w:rsidR="000005F4" w:rsidRDefault="000005F4" w:rsidP="000005F4">
            <w:pPr>
              <w:pStyle w:val="TableTextNoSpace"/>
            </w:pPr>
          </w:p>
        </w:tc>
        <w:tc>
          <w:tcPr>
            <w:tcW w:w="178" w:type="pct"/>
            <w:vAlign w:val="bottom"/>
          </w:tcPr>
          <w:p w14:paraId="0F2ABED9" w14:textId="77777777" w:rsidR="000005F4" w:rsidRDefault="000005F4" w:rsidP="000005F4">
            <w:pPr>
              <w:pStyle w:val="TableTextNoSpace"/>
            </w:pPr>
          </w:p>
        </w:tc>
        <w:tc>
          <w:tcPr>
            <w:tcW w:w="178" w:type="pct"/>
            <w:vAlign w:val="bottom"/>
          </w:tcPr>
          <w:p w14:paraId="75E832EA" w14:textId="77777777" w:rsidR="000005F4" w:rsidRDefault="000005F4" w:rsidP="000005F4">
            <w:pPr>
              <w:pStyle w:val="TableTextNoSpace"/>
            </w:pPr>
            <w:r>
              <w:t>x</w:t>
            </w:r>
          </w:p>
        </w:tc>
        <w:tc>
          <w:tcPr>
            <w:tcW w:w="178" w:type="pct"/>
            <w:vAlign w:val="bottom"/>
          </w:tcPr>
          <w:p w14:paraId="67F64207" w14:textId="77777777" w:rsidR="000005F4" w:rsidRDefault="000005F4" w:rsidP="000005F4">
            <w:pPr>
              <w:pStyle w:val="TableTextNoSpace"/>
            </w:pPr>
            <w:r>
              <w:t>x</w:t>
            </w:r>
          </w:p>
        </w:tc>
        <w:tc>
          <w:tcPr>
            <w:tcW w:w="178" w:type="pct"/>
            <w:vAlign w:val="bottom"/>
          </w:tcPr>
          <w:p w14:paraId="6D4FECAB" w14:textId="77777777" w:rsidR="000005F4" w:rsidRDefault="000005F4" w:rsidP="000005F4">
            <w:pPr>
              <w:pStyle w:val="TableTextNoSpace"/>
            </w:pPr>
            <w:r>
              <w:t>x</w:t>
            </w:r>
          </w:p>
        </w:tc>
        <w:tc>
          <w:tcPr>
            <w:tcW w:w="178" w:type="pct"/>
            <w:vAlign w:val="bottom"/>
          </w:tcPr>
          <w:p w14:paraId="2E374C11" w14:textId="77777777" w:rsidR="000005F4" w:rsidRDefault="000005F4" w:rsidP="000005F4">
            <w:pPr>
              <w:pStyle w:val="TableTextNoSpace"/>
            </w:pPr>
          </w:p>
        </w:tc>
        <w:tc>
          <w:tcPr>
            <w:tcW w:w="178" w:type="pct"/>
            <w:vAlign w:val="bottom"/>
          </w:tcPr>
          <w:p w14:paraId="1A6DEA0A" w14:textId="77777777" w:rsidR="000005F4" w:rsidRDefault="000005F4" w:rsidP="000005F4">
            <w:pPr>
              <w:pStyle w:val="TableTextNoSpace"/>
            </w:pPr>
          </w:p>
        </w:tc>
        <w:tc>
          <w:tcPr>
            <w:tcW w:w="178" w:type="pct"/>
            <w:shd w:val="clear" w:color="auto" w:fill="auto"/>
            <w:vAlign w:val="bottom"/>
          </w:tcPr>
          <w:p w14:paraId="05B84E83" w14:textId="77777777" w:rsidR="000005F4" w:rsidRDefault="000005F4" w:rsidP="000005F4">
            <w:pPr>
              <w:pStyle w:val="TableTextNoSpace"/>
            </w:pPr>
            <w:r>
              <w:t>x</w:t>
            </w:r>
          </w:p>
        </w:tc>
      </w:tr>
      <w:tr w:rsidR="000005F4" w14:paraId="0E5F7414" w14:textId="77777777" w:rsidTr="000005F4">
        <w:tc>
          <w:tcPr>
            <w:tcW w:w="553" w:type="pct"/>
            <w:shd w:val="clear" w:color="auto" w:fill="EAF1DD" w:themeFill="accent3" w:themeFillTint="33"/>
          </w:tcPr>
          <w:p w14:paraId="05CE24CC" w14:textId="77777777" w:rsidR="000005F4" w:rsidRPr="004419C4" w:rsidRDefault="000005F4" w:rsidP="000005F4">
            <w:pPr>
              <w:pStyle w:val="TableTextNoSpace"/>
              <w:rPr>
                <w:rFonts w:cs="Arial"/>
                <w:sz w:val="16"/>
                <w:szCs w:val="16"/>
              </w:rPr>
            </w:pPr>
            <w:r w:rsidRPr="003B3BB6">
              <w:t>Article 2</w:t>
            </w:r>
            <w:r>
              <w:t>0</w:t>
            </w:r>
            <w:r w:rsidRPr="003B3BB6">
              <w:t xml:space="preserve"> </w:t>
            </w:r>
            <w:r>
              <w:t>(1f)</w:t>
            </w:r>
          </w:p>
        </w:tc>
        <w:tc>
          <w:tcPr>
            <w:tcW w:w="178" w:type="pct"/>
            <w:shd w:val="clear" w:color="auto" w:fill="EAF1DD" w:themeFill="accent3" w:themeFillTint="33"/>
            <w:vAlign w:val="bottom"/>
          </w:tcPr>
          <w:p w14:paraId="506659E2" w14:textId="77777777" w:rsidR="000005F4" w:rsidRDefault="000005F4" w:rsidP="000005F4">
            <w:pPr>
              <w:pStyle w:val="TableTextNoSpace"/>
            </w:pPr>
          </w:p>
        </w:tc>
        <w:tc>
          <w:tcPr>
            <w:tcW w:w="178" w:type="pct"/>
            <w:shd w:val="clear" w:color="auto" w:fill="EAF1DD" w:themeFill="accent3" w:themeFillTint="33"/>
          </w:tcPr>
          <w:p w14:paraId="019320A7" w14:textId="77777777" w:rsidR="000005F4" w:rsidRDefault="000005F4" w:rsidP="000005F4">
            <w:pPr>
              <w:pStyle w:val="TableTextNoSpace"/>
            </w:pPr>
            <w:r>
              <w:t>x</w:t>
            </w:r>
          </w:p>
        </w:tc>
        <w:tc>
          <w:tcPr>
            <w:tcW w:w="178" w:type="pct"/>
            <w:shd w:val="clear" w:color="auto" w:fill="EAF1DD" w:themeFill="accent3" w:themeFillTint="33"/>
          </w:tcPr>
          <w:p w14:paraId="04584937" w14:textId="77777777" w:rsidR="000005F4" w:rsidRDefault="000005F4" w:rsidP="000005F4">
            <w:pPr>
              <w:pStyle w:val="TableTextNoSpace"/>
            </w:pPr>
          </w:p>
        </w:tc>
        <w:tc>
          <w:tcPr>
            <w:tcW w:w="178" w:type="pct"/>
            <w:shd w:val="clear" w:color="auto" w:fill="EAF1DD" w:themeFill="accent3" w:themeFillTint="33"/>
          </w:tcPr>
          <w:p w14:paraId="49FD6C57" w14:textId="77777777" w:rsidR="000005F4" w:rsidRDefault="000005F4" w:rsidP="000005F4">
            <w:pPr>
              <w:pStyle w:val="TableTextNoSpace"/>
            </w:pPr>
          </w:p>
        </w:tc>
        <w:tc>
          <w:tcPr>
            <w:tcW w:w="178" w:type="pct"/>
            <w:shd w:val="clear" w:color="auto" w:fill="EAF1DD" w:themeFill="accent3" w:themeFillTint="33"/>
          </w:tcPr>
          <w:p w14:paraId="1A323522" w14:textId="77777777" w:rsidR="000005F4" w:rsidRDefault="000005F4" w:rsidP="000005F4">
            <w:pPr>
              <w:pStyle w:val="TableTextNoSpace"/>
            </w:pPr>
          </w:p>
        </w:tc>
        <w:tc>
          <w:tcPr>
            <w:tcW w:w="178" w:type="pct"/>
            <w:shd w:val="clear" w:color="auto" w:fill="EAF1DD" w:themeFill="accent3" w:themeFillTint="33"/>
          </w:tcPr>
          <w:p w14:paraId="132D26AE" w14:textId="77777777" w:rsidR="000005F4" w:rsidRDefault="000005F4" w:rsidP="000005F4">
            <w:pPr>
              <w:pStyle w:val="TableTextNoSpace"/>
            </w:pPr>
          </w:p>
        </w:tc>
        <w:tc>
          <w:tcPr>
            <w:tcW w:w="178" w:type="pct"/>
            <w:shd w:val="clear" w:color="auto" w:fill="EAF1DD" w:themeFill="accent3" w:themeFillTint="33"/>
          </w:tcPr>
          <w:p w14:paraId="4631A612" w14:textId="77777777" w:rsidR="000005F4" w:rsidRDefault="000005F4" w:rsidP="000005F4">
            <w:pPr>
              <w:pStyle w:val="TableTextNoSpace"/>
            </w:pPr>
          </w:p>
        </w:tc>
        <w:tc>
          <w:tcPr>
            <w:tcW w:w="178" w:type="pct"/>
            <w:shd w:val="clear" w:color="auto" w:fill="EAF1DD" w:themeFill="accent3" w:themeFillTint="33"/>
          </w:tcPr>
          <w:p w14:paraId="79BCD79A" w14:textId="77777777" w:rsidR="000005F4" w:rsidRDefault="000005F4" w:rsidP="000005F4">
            <w:pPr>
              <w:pStyle w:val="TableTextNoSpace"/>
            </w:pPr>
          </w:p>
        </w:tc>
        <w:tc>
          <w:tcPr>
            <w:tcW w:w="178" w:type="pct"/>
            <w:shd w:val="clear" w:color="auto" w:fill="EAF1DD" w:themeFill="accent3" w:themeFillTint="33"/>
          </w:tcPr>
          <w:p w14:paraId="5CA831B2" w14:textId="77777777" w:rsidR="000005F4" w:rsidRDefault="000005F4" w:rsidP="000005F4">
            <w:pPr>
              <w:pStyle w:val="TableTextNoSpace"/>
            </w:pPr>
          </w:p>
        </w:tc>
        <w:tc>
          <w:tcPr>
            <w:tcW w:w="178" w:type="pct"/>
            <w:shd w:val="clear" w:color="auto" w:fill="EAF1DD" w:themeFill="accent3" w:themeFillTint="33"/>
            <w:vAlign w:val="bottom"/>
          </w:tcPr>
          <w:p w14:paraId="3B875228" w14:textId="77777777" w:rsidR="000005F4" w:rsidRDefault="000005F4" w:rsidP="000005F4">
            <w:pPr>
              <w:pStyle w:val="TableTextNoSpace"/>
            </w:pPr>
          </w:p>
        </w:tc>
        <w:tc>
          <w:tcPr>
            <w:tcW w:w="178" w:type="pct"/>
            <w:shd w:val="clear" w:color="auto" w:fill="EAF1DD" w:themeFill="accent3" w:themeFillTint="33"/>
            <w:vAlign w:val="bottom"/>
          </w:tcPr>
          <w:p w14:paraId="51678FDD" w14:textId="77777777" w:rsidR="000005F4" w:rsidRDefault="000005F4" w:rsidP="000005F4">
            <w:pPr>
              <w:pStyle w:val="TableTextNoSpace"/>
            </w:pPr>
          </w:p>
        </w:tc>
        <w:tc>
          <w:tcPr>
            <w:tcW w:w="178" w:type="pct"/>
            <w:shd w:val="clear" w:color="auto" w:fill="EAF1DD" w:themeFill="accent3" w:themeFillTint="33"/>
            <w:vAlign w:val="bottom"/>
          </w:tcPr>
          <w:p w14:paraId="0D06E821" w14:textId="77777777" w:rsidR="000005F4" w:rsidRDefault="000005F4" w:rsidP="000005F4">
            <w:pPr>
              <w:pStyle w:val="TableTextNoSpace"/>
            </w:pPr>
            <w:r>
              <w:t>x</w:t>
            </w:r>
          </w:p>
        </w:tc>
        <w:tc>
          <w:tcPr>
            <w:tcW w:w="178" w:type="pct"/>
            <w:shd w:val="clear" w:color="auto" w:fill="EAF1DD" w:themeFill="accent3" w:themeFillTint="33"/>
            <w:vAlign w:val="bottom"/>
          </w:tcPr>
          <w:p w14:paraId="5D040178" w14:textId="77777777" w:rsidR="000005F4" w:rsidRDefault="000005F4" w:rsidP="000005F4">
            <w:pPr>
              <w:pStyle w:val="TableTextNoSpace"/>
            </w:pPr>
            <w:r>
              <w:t>x</w:t>
            </w:r>
          </w:p>
        </w:tc>
        <w:tc>
          <w:tcPr>
            <w:tcW w:w="178" w:type="pct"/>
            <w:shd w:val="clear" w:color="auto" w:fill="EAF1DD" w:themeFill="accent3" w:themeFillTint="33"/>
            <w:vAlign w:val="bottom"/>
          </w:tcPr>
          <w:p w14:paraId="7DB93D5E" w14:textId="77777777" w:rsidR="000005F4" w:rsidRDefault="000005F4" w:rsidP="000005F4">
            <w:pPr>
              <w:pStyle w:val="TableTextNoSpace"/>
            </w:pPr>
            <w:r>
              <w:t>x</w:t>
            </w:r>
          </w:p>
        </w:tc>
        <w:tc>
          <w:tcPr>
            <w:tcW w:w="178" w:type="pct"/>
            <w:shd w:val="clear" w:color="auto" w:fill="EAF1DD" w:themeFill="accent3" w:themeFillTint="33"/>
            <w:vAlign w:val="bottom"/>
          </w:tcPr>
          <w:p w14:paraId="46744B1D" w14:textId="77777777" w:rsidR="000005F4" w:rsidRDefault="000005F4" w:rsidP="000005F4">
            <w:pPr>
              <w:pStyle w:val="TableTextNoSpace"/>
            </w:pPr>
          </w:p>
        </w:tc>
        <w:tc>
          <w:tcPr>
            <w:tcW w:w="178" w:type="pct"/>
            <w:shd w:val="clear" w:color="auto" w:fill="EAF1DD" w:themeFill="accent3" w:themeFillTint="33"/>
            <w:vAlign w:val="bottom"/>
          </w:tcPr>
          <w:p w14:paraId="76727D0F" w14:textId="77777777" w:rsidR="000005F4" w:rsidRDefault="000005F4" w:rsidP="000005F4">
            <w:pPr>
              <w:pStyle w:val="TableTextNoSpace"/>
            </w:pPr>
          </w:p>
        </w:tc>
        <w:tc>
          <w:tcPr>
            <w:tcW w:w="178" w:type="pct"/>
            <w:shd w:val="clear" w:color="auto" w:fill="EAF1DD" w:themeFill="accent3" w:themeFillTint="33"/>
            <w:vAlign w:val="bottom"/>
          </w:tcPr>
          <w:p w14:paraId="2134AD60" w14:textId="77777777" w:rsidR="000005F4" w:rsidRDefault="000005F4" w:rsidP="000005F4">
            <w:pPr>
              <w:pStyle w:val="TableTextNoSpace"/>
            </w:pPr>
          </w:p>
        </w:tc>
        <w:tc>
          <w:tcPr>
            <w:tcW w:w="178" w:type="pct"/>
            <w:shd w:val="clear" w:color="auto" w:fill="EAF1DD" w:themeFill="accent3" w:themeFillTint="33"/>
            <w:vAlign w:val="bottom"/>
          </w:tcPr>
          <w:p w14:paraId="7CEBF857" w14:textId="77777777" w:rsidR="000005F4" w:rsidRDefault="000005F4" w:rsidP="000005F4">
            <w:pPr>
              <w:pStyle w:val="TableTextNoSpace"/>
            </w:pPr>
          </w:p>
        </w:tc>
        <w:tc>
          <w:tcPr>
            <w:tcW w:w="178" w:type="pct"/>
            <w:shd w:val="clear" w:color="auto" w:fill="EAF1DD" w:themeFill="accent3" w:themeFillTint="33"/>
            <w:vAlign w:val="bottom"/>
          </w:tcPr>
          <w:p w14:paraId="03A311DA" w14:textId="77777777" w:rsidR="000005F4" w:rsidRDefault="000005F4" w:rsidP="000005F4">
            <w:pPr>
              <w:pStyle w:val="TableTextNoSpace"/>
            </w:pPr>
          </w:p>
        </w:tc>
        <w:tc>
          <w:tcPr>
            <w:tcW w:w="178" w:type="pct"/>
            <w:shd w:val="clear" w:color="auto" w:fill="EAF1DD" w:themeFill="accent3" w:themeFillTint="33"/>
            <w:vAlign w:val="bottom"/>
          </w:tcPr>
          <w:p w14:paraId="21F08F92" w14:textId="77777777" w:rsidR="000005F4" w:rsidRDefault="000005F4" w:rsidP="000005F4">
            <w:pPr>
              <w:pStyle w:val="TableTextNoSpace"/>
            </w:pPr>
          </w:p>
        </w:tc>
        <w:tc>
          <w:tcPr>
            <w:tcW w:w="178" w:type="pct"/>
            <w:shd w:val="clear" w:color="auto" w:fill="EAF1DD" w:themeFill="accent3" w:themeFillTint="33"/>
            <w:vAlign w:val="bottom"/>
          </w:tcPr>
          <w:p w14:paraId="24C0906F" w14:textId="77777777" w:rsidR="000005F4" w:rsidRDefault="000005F4" w:rsidP="000005F4">
            <w:pPr>
              <w:pStyle w:val="TableTextNoSpace"/>
            </w:pPr>
            <w:r>
              <w:t>x</w:t>
            </w:r>
          </w:p>
        </w:tc>
        <w:tc>
          <w:tcPr>
            <w:tcW w:w="178" w:type="pct"/>
            <w:shd w:val="clear" w:color="auto" w:fill="EAF1DD" w:themeFill="accent3" w:themeFillTint="33"/>
            <w:vAlign w:val="bottom"/>
          </w:tcPr>
          <w:p w14:paraId="0A71B53D" w14:textId="77777777" w:rsidR="000005F4" w:rsidRDefault="000005F4" w:rsidP="000005F4">
            <w:pPr>
              <w:pStyle w:val="TableTextNoSpace"/>
            </w:pPr>
          </w:p>
        </w:tc>
        <w:tc>
          <w:tcPr>
            <w:tcW w:w="178" w:type="pct"/>
            <w:shd w:val="clear" w:color="auto" w:fill="EAF1DD" w:themeFill="accent3" w:themeFillTint="33"/>
            <w:vAlign w:val="bottom"/>
          </w:tcPr>
          <w:p w14:paraId="4742A081" w14:textId="77777777" w:rsidR="000005F4" w:rsidRDefault="000005F4" w:rsidP="000005F4">
            <w:pPr>
              <w:pStyle w:val="TableTextNoSpace"/>
            </w:pPr>
            <w:r>
              <w:t>x</w:t>
            </w:r>
          </w:p>
        </w:tc>
        <w:tc>
          <w:tcPr>
            <w:tcW w:w="178" w:type="pct"/>
            <w:shd w:val="clear" w:color="auto" w:fill="EAF1DD" w:themeFill="accent3" w:themeFillTint="33"/>
            <w:vAlign w:val="bottom"/>
          </w:tcPr>
          <w:p w14:paraId="6214494E" w14:textId="77777777" w:rsidR="000005F4" w:rsidRDefault="000005F4" w:rsidP="000005F4">
            <w:pPr>
              <w:pStyle w:val="TableTextNoSpace"/>
            </w:pPr>
          </w:p>
        </w:tc>
        <w:tc>
          <w:tcPr>
            <w:tcW w:w="178" w:type="pct"/>
            <w:shd w:val="clear" w:color="auto" w:fill="EAF1DD" w:themeFill="accent3" w:themeFillTint="33"/>
            <w:vAlign w:val="bottom"/>
          </w:tcPr>
          <w:p w14:paraId="3F4D2A60" w14:textId="77777777" w:rsidR="000005F4" w:rsidRDefault="000005F4" w:rsidP="000005F4">
            <w:pPr>
              <w:pStyle w:val="TableTextNoSpace"/>
            </w:pPr>
          </w:p>
        </w:tc>
      </w:tr>
      <w:tr w:rsidR="000005F4" w14:paraId="0310B2C2" w14:textId="77777777" w:rsidTr="000005F4">
        <w:tc>
          <w:tcPr>
            <w:tcW w:w="553" w:type="pct"/>
            <w:shd w:val="clear" w:color="auto" w:fill="auto"/>
          </w:tcPr>
          <w:p w14:paraId="7EF4D683" w14:textId="77777777" w:rsidR="000005F4" w:rsidRPr="004419C4" w:rsidRDefault="000005F4" w:rsidP="000005F4">
            <w:pPr>
              <w:pStyle w:val="TableTextNoSpace"/>
              <w:rPr>
                <w:rFonts w:cs="Arial"/>
                <w:sz w:val="16"/>
                <w:szCs w:val="16"/>
              </w:rPr>
            </w:pPr>
            <w:r>
              <w:t>Article 20 (1g)</w:t>
            </w:r>
          </w:p>
        </w:tc>
        <w:tc>
          <w:tcPr>
            <w:tcW w:w="178" w:type="pct"/>
            <w:shd w:val="clear" w:color="auto" w:fill="auto"/>
            <w:vAlign w:val="bottom"/>
          </w:tcPr>
          <w:p w14:paraId="11D66916" w14:textId="77777777" w:rsidR="000005F4" w:rsidRDefault="000005F4" w:rsidP="000005F4">
            <w:pPr>
              <w:pStyle w:val="TableTextNoSpace"/>
            </w:pPr>
          </w:p>
        </w:tc>
        <w:tc>
          <w:tcPr>
            <w:tcW w:w="178" w:type="pct"/>
            <w:shd w:val="clear" w:color="auto" w:fill="auto"/>
            <w:vAlign w:val="bottom"/>
          </w:tcPr>
          <w:p w14:paraId="698A3074" w14:textId="77777777" w:rsidR="000005F4" w:rsidRDefault="000005F4" w:rsidP="000005F4">
            <w:pPr>
              <w:pStyle w:val="TableTextNoSpace"/>
            </w:pPr>
          </w:p>
        </w:tc>
        <w:tc>
          <w:tcPr>
            <w:tcW w:w="178" w:type="pct"/>
            <w:shd w:val="clear" w:color="auto" w:fill="auto"/>
            <w:vAlign w:val="bottom"/>
          </w:tcPr>
          <w:p w14:paraId="7571CC92" w14:textId="77777777" w:rsidR="000005F4" w:rsidRDefault="000005F4" w:rsidP="000005F4">
            <w:pPr>
              <w:pStyle w:val="TableTextNoSpace"/>
            </w:pPr>
          </w:p>
        </w:tc>
        <w:tc>
          <w:tcPr>
            <w:tcW w:w="178" w:type="pct"/>
            <w:shd w:val="clear" w:color="auto" w:fill="auto"/>
            <w:vAlign w:val="bottom"/>
          </w:tcPr>
          <w:p w14:paraId="29C1F59A" w14:textId="77777777" w:rsidR="000005F4" w:rsidRDefault="000005F4" w:rsidP="000005F4">
            <w:pPr>
              <w:pStyle w:val="TableTextNoSpace"/>
            </w:pPr>
          </w:p>
        </w:tc>
        <w:tc>
          <w:tcPr>
            <w:tcW w:w="178" w:type="pct"/>
            <w:shd w:val="clear" w:color="auto" w:fill="auto"/>
            <w:vAlign w:val="bottom"/>
          </w:tcPr>
          <w:p w14:paraId="10F7D277" w14:textId="77777777" w:rsidR="000005F4" w:rsidRDefault="000005F4" w:rsidP="000005F4">
            <w:pPr>
              <w:pStyle w:val="TableTextNoSpace"/>
            </w:pPr>
          </w:p>
        </w:tc>
        <w:tc>
          <w:tcPr>
            <w:tcW w:w="178" w:type="pct"/>
            <w:shd w:val="clear" w:color="auto" w:fill="auto"/>
            <w:vAlign w:val="bottom"/>
          </w:tcPr>
          <w:p w14:paraId="0E51D794" w14:textId="77777777" w:rsidR="000005F4" w:rsidRDefault="000005F4" w:rsidP="000005F4">
            <w:pPr>
              <w:pStyle w:val="TableTextNoSpace"/>
            </w:pPr>
          </w:p>
        </w:tc>
        <w:tc>
          <w:tcPr>
            <w:tcW w:w="178" w:type="pct"/>
            <w:shd w:val="clear" w:color="auto" w:fill="auto"/>
            <w:vAlign w:val="bottom"/>
          </w:tcPr>
          <w:p w14:paraId="74C81304" w14:textId="77777777" w:rsidR="000005F4" w:rsidRDefault="000005F4" w:rsidP="000005F4">
            <w:pPr>
              <w:pStyle w:val="TableTextNoSpace"/>
            </w:pPr>
          </w:p>
        </w:tc>
        <w:tc>
          <w:tcPr>
            <w:tcW w:w="178" w:type="pct"/>
            <w:shd w:val="clear" w:color="auto" w:fill="auto"/>
            <w:vAlign w:val="bottom"/>
          </w:tcPr>
          <w:p w14:paraId="3A8E80E2" w14:textId="77777777" w:rsidR="000005F4" w:rsidRDefault="000005F4" w:rsidP="000005F4">
            <w:pPr>
              <w:pStyle w:val="TableTextNoSpace"/>
            </w:pPr>
          </w:p>
        </w:tc>
        <w:tc>
          <w:tcPr>
            <w:tcW w:w="178" w:type="pct"/>
            <w:shd w:val="clear" w:color="auto" w:fill="auto"/>
            <w:vAlign w:val="bottom"/>
          </w:tcPr>
          <w:p w14:paraId="07F31E78" w14:textId="77777777" w:rsidR="000005F4" w:rsidRDefault="000005F4" w:rsidP="000005F4">
            <w:pPr>
              <w:pStyle w:val="TableTextNoSpace"/>
            </w:pPr>
          </w:p>
        </w:tc>
        <w:tc>
          <w:tcPr>
            <w:tcW w:w="178" w:type="pct"/>
            <w:shd w:val="clear" w:color="auto" w:fill="auto"/>
            <w:vAlign w:val="bottom"/>
          </w:tcPr>
          <w:p w14:paraId="14E49632" w14:textId="77777777" w:rsidR="000005F4" w:rsidRDefault="000005F4" w:rsidP="000005F4">
            <w:pPr>
              <w:pStyle w:val="TableTextNoSpace"/>
            </w:pPr>
          </w:p>
        </w:tc>
        <w:tc>
          <w:tcPr>
            <w:tcW w:w="178" w:type="pct"/>
            <w:shd w:val="clear" w:color="auto" w:fill="auto"/>
            <w:vAlign w:val="bottom"/>
          </w:tcPr>
          <w:p w14:paraId="2062C346" w14:textId="77777777" w:rsidR="000005F4" w:rsidRDefault="000005F4" w:rsidP="000005F4">
            <w:pPr>
              <w:pStyle w:val="TableTextNoSpace"/>
            </w:pPr>
          </w:p>
        </w:tc>
        <w:tc>
          <w:tcPr>
            <w:tcW w:w="178" w:type="pct"/>
            <w:shd w:val="clear" w:color="auto" w:fill="auto"/>
            <w:vAlign w:val="bottom"/>
          </w:tcPr>
          <w:p w14:paraId="07EA165F" w14:textId="77777777" w:rsidR="000005F4" w:rsidRDefault="000005F4" w:rsidP="000005F4">
            <w:pPr>
              <w:pStyle w:val="TableTextNoSpace"/>
            </w:pPr>
          </w:p>
        </w:tc>
        <w:tc>
          <w:tcPr>
            <w:tcW w:w="178" w:type="pct"/>
            <w:shd w:val="clear" w:color="auto" w:fill="auto"/>
            <w:vAlign w:val="bottom"/>
          </w:tcPr>
          <w:p w14:paraId="3A68E7FE" w14:textId="77777777" w:rsidR="000005F4" w:rsidRDefault="000005F4" w:rsidP="000005F4">
            <w:pPr>
              <w:pStyle w:val="TableTextNoSpace"/>
            </w:pPr>
          </w:p>
        </w:tc>
        <w:tc>
          <w:tcPr>
            <w:tcW w:w="178" w:type="pct"/>
            <w:shd w:val="clear" w:color="auto" w:fill="auto"/>
            <w:vAlign w:val="bottom"/>
          </w:tcPr>
          <w:p w14:paraId="6598DEED" w14:textId="77777777" w:rsidR="000005F4" w:rsidRDefault="000005F4" w:rsidP="000005F4">
            <w:pPr>
              <w:pStyle w:val="TableTextNoSpace"/>
            </w:pPr>
          </w:p>
        </w:tc>
        <w:tc>
          <w:tcPr>
            <w:tcW w:w="178" w:type="pct"/>
            <w:shd w:val="clear" w:color="auto" w:fill="auto"/>
            <w:vAlign w:val="bottom"/>
          </w:tcPr>
          <w:p w14:paraId="34AD1A44" w14:textId="77777777" w:rsidR="000005F4" w:rsidRDefault="000005F4" w:rsidP="000005F4">
            <w:pPr>
              <w:pStyle w:val="TableTextNoSpace"/>
            </w:pPr>
          </w:p>
        </w:tc>
        <w:tc>
          <w:tcPr>
            <w:tcW w:w="178" w:type="pct"/>
            <w:shd w:val="clear" w:color="auto" w:fill="auto"/>
            <w:vAlign w:val="bottom"/>
          </w:tcPr>
          <w:p w14:paraId="6FD57951" w14:textId="77777777" w:rsidR="000005F4" w:rsidRDefault="000005F4" w:rsidP="000005F4">
            <w:pPr>
              <w:pStyle w:val="TableTextNoSpace"/>
            </w:pPr>
          </w:p>
        </w:tc>
        <w:tc>
          <w:tcPr>
            <w:tcW w:w="178" w:type="pct"/>
            <w:shd w:val="clear" w:color="auto" w:fill="auto"/>
            <w:vAlign w:val="bottom"/>
          </w:tcPr>
          <w:p w14:paraId="6B9C17BA" w14:textId="77777777" w:rsidR="000005F4" w:rsidRDefault="000005F4" w:rsidP="000005F4">
            <w:pPr>
              <w:pStyle w:val="TableTextNoSpace"/>
            </w:pPr>
          </w:p>
        </w:tc>
        <w:tc>
          <w:tcPr>
            <w:tcW w:w="178" w:type="pct"/>
            <w:shd w:val="clear" w:color="auto" w:fill="auto"/>
            <w:vAlign w:val="bottom"/>
          </w:tcPr>
          <w:p w14:paraId="5E472BC9" w14:textId="77777777" w:rsidR="000005F4" w:rsidRDefault="000005F4" w:rsidP="000005F4">
            <w:pPr>
              <w:pStyle w:val="TableTextNoSpace"/>
            </w:pPr>
          </w:p>
        </w:tc>
        <w:tc>
          <w:tcPr>
            <w:tcW w:w="178" w:type="pct"/>
            <w:vAlign w:val="bottom"/>
          </w:tcPr>
          <w:p w14:paraId="6B67A98A" w14:textId="77777777" w:rsidR="000005F4" w:rsidRDefault="000005F4" w:rsidP="000005F4">
            <w:pPr>
              <w:pStyle w:val="TableTextNoSpace"/>
            </w:pPr>
          </w:p>
        </w:tc>
        <w:tc>
          <w:tcPr>
            <w:tcW w:w="178" w:type="pct"/>
            <w:vAlign w:val="bottom"/>
          </w:tcPr>
          <w:p w14:paraId="02E00614" w14:textId="77777777" w:rsidR="000005F4" w:rsidRDefault="000005F4" w:rsidP="000005F4">
            <w:pPr>
              <w:pStyle w:val="TableTextNoSpace"/>
            </w:pPr>
          </w:p>
        </w:tc>
        <w:tc>
          <w:tcPr>
            <w:tcW w:w="178" w:type="pct"/>
            <w:vAlign w:val="bottom"/>
          </w:tcPr>
          <w:p w14:paraId="6755D2F4" w14:textId="77777777" w:rsidR="000005F4" w:rsidRDefault="000005F4" w:rsidP="000005F4">
            <w:pPr>
              <w:pStyle w:val="TableTextNoSpace"/>
            </w:pPr>
          </w:p>
        </w:tc>
        <w:tc>
          <w:tcPr>
            <w:tcW w:w="178" w:type="pct"/>
            <w:vAlign w:val="bottom"/>
          </w:tcPr>
          <w:p w14:paraId="628AC27E" w14:textId="77777777" w:rsidR="000005F4" w:rsidRDefault="000005F4" w:rsidP="000005F4">
            <w:pPr>
              <w:pStyle w:val="TableTextNoSpace"/>
            </w:pPr>
          </w:p>
        </w:tc>
        <w:tc>
          <w:tcPr>
            <w:tcW w:w="178" w:type="pct"/>
            <w:vAlign w:val="bottom"/>
          </w:tcPr>
          <w:p w14:paraId="0054432E" w14:textId="77777777" w:rsidR="000005F4" w:rsidRDefault="000005F4" w:rsidP="000005F4">
            <w:pPr>
              <w:pStyle w:val="TableTextNoSpace"/>
            </w:pPr>
          </w:p>
        </w:tc>
        <w:tc>
          <w:tcPr>
            <w:tcW w:w="178" w:type="pct"/>
            <w:vAlign w:val="bottom"/>
          </w:tcPr>
          <w:p w14:paraId="3BA1E24D" w14:textId="77777777" w:rsidR="000005F4" w:rsidRDefault="000005F4" w:rsidP="000005F4">
            <w:pPr>
              <w:pStyle w:val="TableTextNoSpace"/>
            </w:pPr>
          </w:p>
        </w:tc>
        <w:tc>
          <w:tcPr>
            <w:tcW w:w="178" w:type="pct"/>
            <w:shd w:val="clear" w:color="auto" w:fill="auto"/>
            <w:vAlign w:val="bottom"/>
          </w:tcPr>
          <w:p w14:paraId="4C736C5B" w14:textId="77777777" w:rsidR="000005F4" w:rsidRDefault="000005F4" w:rsidP="000005F4">
            <w:pPr>
              <w:pStyle w:val="TableTextNoSpace"/>
            </w:pPr>
            <w:r>
              <w:t>x</w:t>
            </w:r>
          </w:p>
        </w:tc>
      </w:tr>
      <w:tr w:rsidR="000005F4" w14:paraId="5EDC67EF" w14:textId="77777777" w:rsidTr="000005F4">
        <w:tc>
          <w:tcPr>
            <w:tcW w:w="553" w:type="pct"/>
            <w:shd w:val="clear" w:color="auto" w:fill="auto"/>
          </w:tcPr>
          <w:p w14:paraId="32A66BD5" w14:textId="77777777" w:rsidR="000005F4" w:rsidRPr="004419C4" w:rsidRDefault="000005F4" w:rsidP="000005F4">
            <w:pPr>
              <w:pStyle w:val="TableTextNoSpace"/>
              <w:rPr>
                <w:rFonts w:cs="Arial"/>
                <w:sz w:val="16"/>
                <w:szCs w:val="16"/>
              </w:rPr>
            </w:pPr>
            <w:r w:rsidRPr="003B3BB6">
              <w:t xml:space="preserve">Article 21 </w:t>
            </w:r>
            <w:r>
              <w:t>(1a)</w:t>
            </w:r>
          </w:p>
        </w:tc>
        <w:tc>
          <w:tcPr>
            <w:tcW w:w="178" w:type="pct"/>
            <w:shd w:val="clear" w:color="auto" w:fill="auto"/>
            <w:vAlign w:val="bottom"/>
          </w:tcPr>
          <w:p w14:paraId="35839C6E" w14:textId="77777777" w:rsidR="000005F4" w:rsidRDefault="000005F4" w:rsidP="000005F4">
            <w:pPr>
              <w:pStyle w:val="TableTextNoSpace"/>
            </w:pPr>
          </w:p>
        </w:tc>
        <w:tc>
          <w:tcPr>
            <w:tcW w:w="178" w:type="pct"/>
            <w:shd w:val="clear" w:color="auto" w:fill="auto"/>
            <w:vAlign w:val="bottom"/>
          </w:tcPr>
          <w:p w14:paraId="1514EE79" w14:textId="77777777" w:rsidR="000005F4" w:rsidRDefault="000005F4" w:rsidP="000005F4">
            <w:pPr>
              <w:pStyle w:val="TableTextNoSpace"/>
            </w:pPr>
          </w:p>
        </w:tc>
        <w:tc>
          <w:tcPr>
            <w:tcW w:w="178" w:type="pct"/>
            <w:shd w:val="clear" w:color="auto" w:fill="auto"/>
            <w:vAlign w:val="bottom"/>
          </w:tcPr>
          <w:p w14:paraId="5F0D4882" w14:textId="77777777" w:rsidR="000005F4" w:rsidRDefault="000005F4" w:rsidP="000005F4">
            <w:pPr>
              <w:pStyle w:val="TableTextNoSpace"/>
            </w:pPr>
          </w:p>
        </w:tc>
        <w:tc>
          <w:tcPr>
            <w:tcW w:w="178" w:type="pct"/>
            <w:shd w:val="clear" w:color="auto" w:fill="auto"/>
            <w:vAlign w:val="bottom"/>
          </w:tcPr>
          <w:p w14:paraId="1BA3980B" w14:textId="77777777" w:rsidR="000005F4" w:rsidRDefault="000005F4" w:rsidP="000005F4">
            <w:pPr>
              <w:pStyle w:val="TableTextNoSpace"/>
            </w:pPr>
          </w:p>
        </w:tc>
        <w:tc>
          <w:tcPr>
            <w:tcW w:w="178" w:type="pct"/>
            <w:shd w:val="clear" w:color="auto" w:fill="auto"/>
            <w:vAlign w:val="bottom"/>
          </w:tcPr>
          <w:p w14:paraId="6E0C984A" w14:textId="77777777" w:rsidR="000005F4" w:rsidRDefault="000005F4" w:rsidP="000005F4">
            <w:pPr>
              <w:pStyle w:val="TableTextNoSpace"/>
            </w:pPr>
          </w:p>
        </w:tc>
        <w:tc>
          <w:tcPr>
            <w:tcW w:w="178" w:type="pct"/>
            <w:shd w:val="clear" w:color="auto" w:fill="auto"/>
            <w:vAlign w:val="bottom"/>
          </w:tcPr>
          <w:p w14:paraId="743B34DB" w14:textId="77777777" w:rsidR="000005F4" w:rsidRDefault="000005F4" w:rsidP="000005F4">
            <w:pPr>
              <w:pStyle w:val="TableTextNoSpace"/>
            </w:pPr>
          </w:p>
        </w:tc>
        <w:tc>
          <w:tcPr>
            <w:tcW w:w="178" w:type="pct"/>
            <w:shd w:val="clear" w:color="auto" w:fill="auto"/>
            <w:vAlign w:val="bottom"/>
          </w:tcPr>
          <w:p w14:paraId="1E67BE01" w14:textId="77777777" w:rsidR="000005F4" w:rsidRDefault="000005F4" w:rsidP="000005F4">
            <w:pPr>
              <w:pStyle w:val="TableTextNoSpace"/>
            </w:pPr>
          </w:p>
        </w:tc>
        <w:tc>
          <w:tcPr>
            <w:tcW w:w="178" w:type="pct"/>
            <w:shd w:val="clear" w:color="auto" w:fill="auto"/>
            <w:vAlign w:val="bottom"/>
          </w:tcPr>
          <w:p w14:paraId="0CF0FD5D" w14:textId="77777777" w:rsidR="000005F4" w:rsidRDefault="000005F4" w:rsidP="000005F4">
            <w:pPr>
              <w:pStyle w:val="TableTextNoSpace"/>
            </w:pPr>
          </w:p>
        </w:tc>
        <w:tc>
          <w:tcPr>
            <w:tcW w:w="178" w:type="pct"/>
            <w:shd w:val="clear" w:color="auto" w:fill="auto"/>
            <w:vAlign w:val="bottom"/>
          </w:tcPr>
          <w:p w14:paraId="143499D3" w14:textId="77777777" w:rsidR="000005F4" w:rsidRDefault="000005F4" w:rsidP="000005F4">
            <w:pPr>
              <w:pStyle w:val="TableTextNoSpace"/>
            </w:pPr>
          </w:p>
        </w:tc>
        <w:tc>
          <w:tcPr>
            <w:tcW w:w="178" w:type="pct"/>
            <w:shd w:val="clear" w:color="auto" w:fill="auto"/>
            <w:vAlign w:val="bottom"/>
          </w:tcPr>
          <w:p w14:paraId="40FE009B" w14:textId="77777777" w:rsidR="000005F4" w:rsidRDefault="000005F4" w:rsidP="000005F4">
            <w:pPr>
              <w:pStyle w:val="TableTextNoSpace"/>
            </w:pPr>
          </w:p>
        </w:tc>
        <w:tc>
          <w:tcPr>
            <w:tcW w:w="178" w:type="pct"/>
            <w:shd w:val="clear" w:color="auto" w:fill="auto"/>
            <w:vAlign w:val="bottom"/>
          </w:tcPr>
          <w:p w14:paraId="6B6A02B0" w14:textId="77777777" w:rsidR="000005F4" w:rsidRDefault="000005F4" w:rsidP="000005F4">
            <w:pPr>
              <w:pStyle w:val="TableTextNoSpace"/>
            </w:pPr>
          </w:p>
        </w:tc>
        <w:tc>
          <w:tcPr>
            <w:tcW w:w="178" w:type="pct"/>
            <w:shd w:val="clear" w:color="auto" w:fill="auto"/>
            <w:vAlign w:val="bottom"/>
          </w:tcPr>
          <w:p w14:paraId="5CF6059C" w14:textId="77777777" w:rsidR="000005F4" w:rsidRDefault="000005F4" w:rsidP="000005F4">
            <w:pPr>
              <w:pStyle w:val="TableTextNoSpace"/>
            </w:pPr>
            <w:r>
              <w:t>x</w:t>
            </w:r>
          </w:p>
        </w:tc>
        <w:tc>
          <w:tcPr>
            <w:tcW w:w="178" w:type="pct"/>
            <w:shd w:val="clear" w:color="auto" w:fill="auto"/>
            <w:vAlign w:val="bottom"/>
          </w:tcPr>
          <w:p w14:paraId="65420C42" w14:textId="77777777" w:rsidR="000005F4" w:rsidRDefault="000005F4" w:rsidP="000005F4">
            <w:pPr>
              <w:pStyle w:val="TableTextNoSpace"/>
            </w:pPr>
            <w:r>
              <w:t>x</w:t>
            </w:r>
          </w:p>
        </w:tc>
        <w:tc>
          <w:tcPr>
            <w:tcW w:w="178" w:type="pct"/>
            <w:shd w:val="clear" w:color="auto" w:fill="auto"/>
            <w:vAlign w:val="bottom"/>
          </w:tcPr>
          <w:p w14:paraId="31DD30F8" w14:textId="77777777" w:rsidR="000005F4" w:rsidRDefault="000005F4" w:rsidP="000005F4">
            <w:pPr>
              <w:pStyle w:val="TableTextNoSpace"/>
            </w:pPr>
          </w:p>
        </w:tc>
        <w:tc>
          <w:tcPr>
            <w:tcW w:w="178" w:type="pct"/>
            <w:shd w:val="clear" w:color="auto" w:fill="auto"/>
            <w:vAlign w:val="bottom"/>
          </w:tcPr>
          <w:p w14:paraId="0DAC70A4" w14:textId="77777777" w:rsidR="000005F4" w:rsidRDefault="000005F4" w:rsidP="000005F4">
            <w:pPr>
              <w:pStyle w:val="TableTextNoSpace"/>
            </w:pPr>
          </w:p>
        </w:tc>
        <w:tc>
          <w:tcPr>
            <w:tcW w:w="178" w:type="pct"/>
            <w:shd w:val="clear" w:color="auto" w:fill="auto"/>
            <w:vAlign w:val="bottom"/>
          </w:tcPr>
          <w:p w14:paraId="2B69EF30" w14:textId="77777777" w:rsidR="000005F4" w:rsidRDefault="000005F4" w:rsidP="000005F4">
            <w:pPr>
              <w:pStyle w:val="TableTextNoSpace"/>
            </w:pPr>
          </w:p>
        </w:tc>
        <w:tc>
          <w:tcPr>
            <w:tcW w:w="178" w:type="pct"/>
            <w:shd w:val="clear" w:color="auto" w:fill="auto"/>
            <w:vAlign w:val="bottom"/>
          </w:tcPr>
          <w:p w14:paraId="1A09D357" w14:textId="77777777" w:rsidR="000005F4" w:rsidRDefault="000005F4" w:rsidP="000005F4">
            <w:pPr>
              <w:pStyle w:val="TableTextNoSpace"/>
            </w:pPr>
          </w:p>
        </w:tc>
        <w:tc>
          <w:tcPr>
            <w:tcW w:w="178" w:type="pct"/>
            <w:shd w:val="clear" w:color="auto" w:fill="auto"/>
            <w:vAlign w:val="bottom"/>
          </w:tcPr>
          <w:p w14:paraId="05FD6E5A" w14:textId="77777777" w:rsidR="000005F4" w:rsidRDefault="000005F4" w:rsidP="000005F4">
            <w:pPr>
              <w:pStyle w:val="TableTextNoSpace"/>
            </w:pPr>
          </w:p>
        </w:tc>
        <w:tc>
          <w:tcPr>
            <w:tcW w:w="178" w:type="pct"/>
            <w:vAlign w:val="bottom"/>
          </w:tcPr>
          <w:p w14:paraId="667F1995" w14:textId="77777777" w:rsidR="000005F4" w:rsidRDefault="000005F4" w:rsidP="000005F4">
            <w:pPr>
              <w:pStyle w:val="TableTextNoSpace"/>
            </w:pPr>
          </w:p>
        </w:tc>
        <w:tc>
          <w:tcPr>
            <w:tcW w:w="178" w:type="pct"/>
            <w:vAlign w:val="bottom"/>
          </w:tcPr>
          <w:p w14:paraId="35054D62" w14:textId="77777777" w:rsidR="000005F4" w:rsidRDefault="000005F4" w:rsidP="000005F4">
            <w:pPr>
              <w:pStyle w:val="TableTextNoSpace"/>
            </w:pPr>
          </w:p>
        </w:tc>
        <w:tc>
          <w:tcPr>
            <w:tcW w:w="178" w:type="pct"/>
            <w:vAlign w:val="bottom"/>
          </w:tcPr>
          <w:p w14:paraId="277683CB" w14:textId="77777777" w:rsidR="000005F4" w:rsidRDefault="000005F4" w:rsidP="000005F4">
            <w:pPr>
              <w:pStyle w:val="TableTextNoSpace"/>
            </w:pPr>
          </w:p>
        </w:tc>
        <w:tc>
          <w:tcPr>
            <w:tcW w:w="178" w:type="pct"/>
            <w:vAlign w:val="bottom"/>
          </w:tcPr>
          <w:p w14:paraId="08AAB866" w14:textId="77777777" w:rsidR="000005F4" w:rsidRDefault="000005F4" w:rsidP="000005F4">
            <w:pPr>
              <w:pStyle w:val="TableTextNoSpace"/>
            </w:pPr>
          </w:p>
        </w:tc>
        <w:tc>
          <w:tcPr>
            <w:tcW w:w="178" w:type="pct"/>
            <w:vAlign w:val="bottom"/>
          </w:tcPr>
          <w:p w14:paraId="1870D6A2" w14:textId="77777777" w:rsidR="000005F4" w:rsidRDefault="000005F4" w:rsidP="000005F4">
            <w:pPr>
              <w:pStyle w:val="TableTextNoSpace"/>
            </w:pPr>
          </w:p>
        </w:tc>
        <w:tc>
          <w:tcPr>
            <w:tcW w:w="178" w:type="pct"/>
            <w:vAlign w:val="bottom"/>
          </w:tcPr>
          <w:p w14:paraId="3BE6B375" w14:textId="77777777" w:rsidR="000005F4" w:rsidRDefault="000005F4" w:rsidP="000005F4">
            <w:pPr>
              <w:pStyle w:val="TableTextNoSpace"/>
            </w:pPr>
          </w:p>
        </w:tc>
        <w:tc>
          <w:tcPr>
            <w:tcW w:w="178" w:type="pct"/>
            <w:shd w:val="clear" w:color="auto" w:fill="auto"/>
            <w:vAlign w:val="bottom"/>
          </w:tcPr>
          <w:p w14:paraId="1C7F6899" w14:textId="77777777" w:rsidR="000005F4" w:rsidRDefault="000005F4" w:rsidP="000005F4">
            <w:pPr>
              <w:pStyle w:val="TableTextNoSpace"/>
            </w:pPr>
          </w:p>
        </w:tc>
      </w:tr>
      <w:tr w:rsidR="000005F4" w14:paraId="6B75179D" w14:textId="77777777" w:rsidTr="000005F4">
        <w:tc>
          <w:tcPr>
            <w:tcW w:w="553" w:type="pct"/>
            <w:shd w:val="clear" w:color="auto" w:fill="auto"/>
          </w:tcPr>
          <w:p w14:paraId="488C1810" w14:textId="77777777" w:rsidR="000005F4" w:rsidRPr="004419C4" w:rsidRDefault="000005F4" w:rsidP="000005F4">
            <w:pPr>
              <w:pStyle w:val="TableTextNoSpace"/>
              <w:rPr>
                <w:rFonts w:cs="Arial"/>
                <w:sz w:val="16"/>
                <w:szCs w:val="16"/>
              </w:rPr>
            </w:pPr>
            <w:r>
              <w:t>Article 21 (1b)</w:t>
            </w:r>
          </w:p>
        </w:tc>
        <w:tc>
          <w:tcPr>
            <w:tcW w:w="178" w:type="pct"/>
            <w:shd w:val="clear" w:color="auto" w:fill="auto"/>
            <w:vAlign w:val="bottom"/>
          </w:tcPr>
          <w:p w14:paraId="4183E84B" w14:textId="77777777" w:rsidR="000005F4" w:rsidRDefault="000005F4" w:rsidP="000005F4">
            <w:pPr>
              <w:pStyle w:val="TableTextNoSpace"/>
            </w:pPr>
          </w:p>
        </w:tc>
        <w:tc>
          <w:tcPr>
            <w:tcW w:w="178" w:type="pct"/>
            <w:shd w:val="clear" w:color="auto" w:fill="auto"/>
            <w:vAlign w:val="bottom"/>
          </w:tcPr>
          <w:p w14:paraId="7C734DD9" w14:textId="77777777" w:rsidR="000005F4" w:rsidRDefault="000005F4" w:rsidP="000005F4">
            <w:pPr>
              <w:pStyle w:val="TableTextNoSpace"/>
            </w:pPr>
          </w:p>
        </w:tc>
        <w:tc>
          <w:tcPr>
            <w:tcW w:w="178" w:type="pct"/>
            <w:shd w:val="clear" w:color="auto" w:fill="auto"/>
            <w:vAlign w:val="bottom"/>
          </w:tcPr>
          <w:p w14:paraId="6E7E7E68" w14:textId="77777777" w:rsidR="000005F4" w:rsidRDefault="000005F4" w:rsidP="000005F4">
            <w:pPr>
              <w:pStyle w:val="TableTextNoSpace"/>
            </w:pPr>
          </w:p>
        </w:tc>
        <w:tc>
          <w:tcPr>
            <w:tcW w:w="178" w:type="pct"/>
            <w:shd w:val="clear" w:color="auto" w:fill="auto"/>
            <w:vAlign w:val="bottom"/>
          </w:tcPr>
          <w:p w14:paraId="05C4504C" w14:textId="77777777" w:rsidR="000005F4" w:rsidRDefault="000005F4" w:rsidP="000005F4">
            <w:pPr>
              <w:pStyle w:val="TableTextNoSpace"/>
            </w:pPr>
          </w:p>
        </w:tc>
        <w:tc>
          <w:tcPr>
            <w:tcW w:w="178" w:type="pct"/>
            <w:shd w:val="clear" w:color="auto" w:fill="auto"/>
            <w:vAlign w:val="bottom"/>
          </w:tcPr>
          <w:p w14:paraId="57493878" w14:textId="77777777" w:rsidR="000005F4" w:rsidRDefault="000005F4" w:rsidP="000005F4">
            <w:pPr>
              <w:pStyle w:val="TableTextNoSpace"/>
            </w:pPr>
          </w:p>
        </w:tc>
        <w:tc>
          <w:tcPr>
            <w:tcW w:w="178" w:type="pct"/>
            <w:shd w:val="clear" w:color="auto" w:fill="auto"/>
            <w:vAlign w:val="bottom"/>
          </w:tcPr>
          <w:p w14:paraId="2F082AA9" w14:textId="77777777" w:rsidR="000005F4" w:rsidRDefault="000005F4" w:rsidP="000005F4">
            <w:pPr>
              <w:pStyle w:val="TableTextNoSpace"/>
            </w:pPr>
          </w:p>
        </w:tc>
        <w:tc>
          <w:tcPr>
            <w:tcW w:w="178" w:type="pct"/>
            <w:shd w:val="clear" w:color="auto" w:fill="auto"/>
            <w:vAlign w:val="bottom"/>
          </w:tcPr>
          <w:p w14:paraId="675971C7" w14:textId="77777777" w:rsidR="000005F4" w:rsidRDefault="000005F4" w:rsidP="000005F4">
            <w:pPr>
              <w:pStyle w:val="TableTextNoSpace"/>
            </w:pPr>
          </w:p>
        </w:tc>
        <w:tc>
          <w:tcPr>
            <w:tcW w:w="178" w:type="pct"/>
            <w:shd w:val="clear" w:color="auto" w:fill="auto"/>
            <w:vAlign w:val="bottom"/>
          </w:tcPr>
          <w:p w14:paraId="6D6EDE12" w14:textId="77777777" w:rsidR="000005F4" w:rsidRDefault="000005F4" w:rsidP="000005F4">
            <w:pPr>
              <w:pStyle w:val="TableTextNoSpace"/>
            </w:pPr>
          </w:p>
        </w:tc>
        <w:tc>
          <w:tcPr>
            <w:tcW w:w="178" w:type="pct"/>
            <w:shd w:val="clear" w:color="auto" w:fill="auto"/>
            <w:vAlign w:val="bottom"/>
          </w:tcPr>
          <w:p w14:paraId="514A3F44" w14:textId="77777777" w:rsidR="000005F4" w:rsidRDefault="000005F4" w:rsidP="000005F4">
            <w:pPr>
              <w:pStyle w:val="TableTextNoSpace"/>
            </w:pPr>
          </w:p>
        </w:tc>
        <w:tc>
          <w:tcPr>
            <w:tcW w:w="178" w:type="pct"/>
            <w:shd w:val="clear" w:color="auto" w:fill="auto"/>
            <w:vAlign w:val="bottom"/>
          </w:tcPr>
          <w:p w14:paraId="2869EEBE" w14:textId="77777777" w:rsidR="000005F4" w:rsidRDefault="000005F4" w:rsidP="000005F4">
            <w:pPr>
              <w:pStyle w:val="TableTextNoSpace"/>
            </w:pPr>
          </w:p>
        </w:tc>
        <w:tc>
          <w:tcPr>
            <w:tcW w:w="178" w:type="pct"/>
            <w:shd w:val="clear" w:color="auto" w:fill="auto"/>
            <w:vAlign w:val="bottom"/>
          </w:tcPr>
          <w:p w14:paraId="02F8BD1A" w14:textId="77777777" w:rsidR="000005F4" w:rsidRDefault="000005F4" w:rsidP="000005F4">
            <w:pPr>
              <w:pStyle w:val="TableTextNoSpace"/>
            </w:pPr>
          </w:p>
        </w:tc>
        <w:tc>
          <w:tcPr>
            <w:tcW w:w="178" w:type="pct"/>
            <w:shd w:val="clear" w:color="auto" w:fill="auto"/>
            <w:vAlign w:val="bottom"/>
          </w:tcPr>
          <w:p w14:paraId="1B7B4C44" w14:textId="77777777" w:rsidR="000005F4" w:rsidRDefault="000005F4" w:rsidP="000005F4">
            <w:pPr>
              <w:pStyle w:val="TableTextNoSpace"/>
            </w:pPr>
            <w:r>
              <w:t>x</w:t>
            </w:r>
          </w:p>
        </w:tc>
        <w:tc>
          <w:tcPr>
            <w:tcW w:w="178" w:type="pct"/>
            <w:shd w:val="clear" w:color="auto" w:fill="auto"/>
            <w:vAlign w:val="bottom"/>
          </w:tcPr>
          <w:p w14:paraId="64297A8F" w14:textId="77777777" w:rsidR="000005F4" w:rsidRDefault="000005F4" w:rsidP="000005F4">
            <w:pPr>
              <w:pStyle w:val="TableTextNoSpace"/>
            </w:pPr>
            <w:r>
              <w:t>x</w:t>
            </w:r>
          </w:p>
        </w:tc>
        <w:tc>
          <w:tcPr>
            <w:tcW w:w="178" w:type="pct"/>
            <w:shd w:val="clear" w:color="auto" w:fill="auto"/>
            <w:vAlign w:val="bottom"/>
          </w:tcPr>
          <w:p w14:paraId="264FB716" w14:textId="77777777" w:rsidR="000005F4" w:rsidRDefault="000005F4" w:rsidP="000005F4">
            <w:pPr>
              <w:pStyle w:val="TableTextNoSpace"/>
            </w:pPr>
          </w:p>
        </w:tc>
        <w:tc>
          <w:tcPr>
            <w:tcW w:w="178" w:type="pct"/>
            <w:shd w:val="clear" w:color="auto" w:fill="auto"/>
            <w:vAlign w:val="bottom"/>
          </w:tcPr>
          <w:p w14:paraId="5B2F997D" w14:textId="77777777" w:rsidR="000005F4" w:rsidRDefault="000005F4" w:rsidP="000005F4">
            <w:pPr>
              <w:pStyle w:val="TableTextNoSpace"/>
            </w:pPr>
          </w:p>
        </w:tc>
        <w:tc>
          <w:tcPr>
            <w:tcW w:w="178" w:type="pct"/>
            <w:shd w:val="clear" w:color="auto" w:fill="auto"/>
            <w:vAlign w:val="bottom"/>
          </w:tcPr>
          <w:p w14:paraId="4C2029B9" w14:textId="77777777" w:rsidR="000005F4" w:rsidRDefault="000005F4" w:rsidP="000005F4">
            <w:pPr>
              <w:pStyle w:val="TableTextNoSpace"/>
            </w:pPr>
          </w:p>
        </w:tc>
        <w:tc>
          <w:tcPr>
            <w:tcW w:w="178" w:type="pct"/>
            <w:shd w:val="clear" w:color="auto" w:fill="auto"/>
            <w:vAlign w:val="bottom"/>
          </w:tcPr>
          <w:p w14:paraId="08ED8BD5" w14:textId="77777777" w:rsidR="000005F4" w:rsidRDefault="000005F4" w:rsidP="000005F4">
            <w:pPr>
              <w:pStyle w:val="TableTextNoSpace"/>
            </w:pPr>
          </w:p>
        </w:tc>
        <w:tc>
          <w:tcPr>
            <w:tcW w:w="178" w:type="pct"/>
            <w:shd w:val="clear" w:color="auto" w:fill="auto"/>
            <w:vAlign w:val="bottom"/>
          </w:tcPr>
          <w:p w14:paraId="1C1A13E4" w14:textId="77777777" w:rsidR="000005F4" w:rsidRDefault="000005F4" w:rsidP="000005F4">
            <w:pPr>
              <w:pStyle w:val="TableTextNoSpace"/>
            </w:pPr>
          </w:p>
        </w:tc>
        <w:tc>
          <w:tcPr>
            <w:tcW w:w="178" w:type="pct"/>
            <w:vAlign w:val="bottom"/>
          </w:tcPr>
          <w:p w14:paraId="2F79DD6F" w14:textId="77777777" w:rsidR="000005F4" w:rsidRDefault="000005F4" w:rsidP="000005F4">
            <w:pPr>
              <w:pStyle w:val="TableTextNoSpace"/>
            </w:pPr>
          </w:p>
        </w:tc>
        <w:tc>
          <w:tcPr>
            <w:tcW w:w="178" w:type="pct"/>
            <w:vAlign w:val="bottom"/>
          </w:tcPr>
          <w:p w14:paraId="7130A95D" w14:textId="77777777" w:rsidR="000005F4" w:rsidRDefault="000005F4" w:rsidP="000005F4">
            <w:pPr>
              <w:pStyle w:val="TableTextNoSpace"/>
            </w:pPr>
          </w:p>
        </w:tc>
        <w:tc>
          <w:tcPr>
            <w:tcW w:w="178" w:type="pct"/>
            <w:vAlign w:val="bottom"/>
          </w:tcPr>
          <w:p w14:paraId="72DE3DE8" w14:textId="77777777" w:rsidR="000005F4" w:rsidRDefault="000005F4" w:rsidP="000005F4">
            <w:pPr>
              <w:pStyle w:val="TableTextNoSpace"/>
            </w:pPr>
          </w:p>
        </w:tc>
        <w:tc>
          <w:tcPr>
            <w:tcW w:w="178" w:type="pct"/>
            <w:vAlign w:val="bottom"/>
          </w:tcPr>
          <w:p w14:paraId="52F9E77D" w14:textId="77777777" w:rsidR="000005F4" w:rsidRDefault="000005F4" w:rsidP="000005F4">
            <w:pPr>
              <w:pStyle w:val="TableTextNoSpace"/>
            </w:pPr>
          </w:p>
        </w:tc>
        <w:tc>
          <w:tcPr>
            <w:tcW w:w="178" w:type="pct"/>
            <w:vAlign w:val="bottom"/>
          </w:tcPr>
          <w:p w14:paraId="58328A23" w14:textId="77777777" w:rsidR="000005F4" w:rsidRDefault="000005F4" w:rsidP="000005F4">
            <w:pPr>
              <w:pStyle w:val="TableTextNoSpace"/>
            </w:pPr>
          </w:p>
        </w:tc>
        <w:tc>
          <w:tcPr>
            <w:tcW w:w="178" w:type="pct"/>
            <w:vAlign w:val="bottom"/>
          </w:tcPr>
          <w:p w14:paraId="25EA57DA" w14:textId="77777777" w:rsidR="000005F4" w:rsidRDefault="000005F4" w:rsidP="000005F4">
            <w:pPr>
              <w:pStyle w:val="TableTextNoSpace"/>
            </w:pPr>
          </w:p>
        </w:tc>
        <w:tc>
          <w:tcPr>
            <w:tcW w:w="178" w:type="pct"/>
            <w:shd w:val="clear" w:color="auto" w:fill="auto"/>
            <w:vAlign w:val="bottom"/>
          </w:tcPr>
          <w:p w14:paraId="2A3918B1" w14:textId="77777777" w:rsidR="000005F4" w:rsidRDefault="000005F4" w:rsidP="000005F4">
            <w:pPr>
              <w:pStyle w:val="TableTextNoSpace"/>
            </w:pPr>
          </w:p>
        </w:tc>
      </w:tr>
      <w:tr w:rsidR="000005F4" w14:paraId="6F42808F" w14:textId="77777777" w:rsidTr="000005F4">
        <w:tc>
          <w:tcPr>
            <w:tcW w:w="553" w:type="pct"/>
            <w:shd w:val="clear" w:color="auto" w:fill="EAF1DD" w:themeFill="accent3" w:themeFillTint="33"/>
          </w:tcPr>
          <w:p w14:paraId="0617CFA9" w14:textId="77777777" w:rsidR="000005F4" w:rsidRPr="004419C4" w:rsidRDefault="000005F4" w:rsidP="000005F4">
            <w:pPr>
              <w:pStyle w:val="TableTextNoSpace"/>
              <w:rPr>
                <w:rFonts w:cs="Arial"/>
                <w:sz w:val="16"/>
                <w:szCs w:val="16"/>
              </w:rPr>
            </w:pPr>
            <w:r>
              <w:t>Article 21 (1c)</w:t>
            </w:r>
          </w:p>
        </w:tc>
        <w:tc>
          <w:tcPr>
            <w:tcW w:w="178" w:type="pct"/>
            <w:shd w:val="clear" w:color="auto" w:fill="EAF1DD" w:themeFill="accent3" w:themeFillTint="33"/>
            <w:vAlign w:val="bottom"/>
          </w:tcPr>
          <w:p w14:paraId="5A862FFA" w14:textId="77777777" w:rsidR="000005F4" w:rsidRDefault="000005F4" w:rsidP="000005F4">
            <w:pPr>
              <w:pStyle w:val="TableTextNoSpace"/>
            </w:pPr>
          </w:p>
        </w:tc>
        <w:tc>
          <w:tcPr>
            <w:tcW w:w="178" w:type="pct"/>
            <w:shd w:val="clear" w:color="auto" w:fill="EAF1DD" w:themeFill="accent3" w:themeFillTint="33"/>
            <w:vAlign w:val="bottom"/>
          </w:tcPr>
          <w:p w14:paraId="68EB82C1" w14:textId="77777777" w:rsidR="000005F4" w:rsidRDefault="000005F4" w:rsidP="000005F4">
            <w:pPr>
              <w:pStyle w:val="TableTextNoSpace"/>
            </w:pPr>
          </w:p>
        </w:tc>
        <w:tc>
          <w:tcPr>
            <w:tcW w:w="178" w:type="pct"/>
            <w:shd w:val="clear" w:color="auto" w:fill="EAF1DD" w:themeFill="accent3" w:themeFillTint="33"/>
            <w:vAlign w:val="bottom"/>
          </w:tcPr>
          <w:p w14:paraId="2E040666" w14:textId="77777777" w:rsidR="000005F4" w:rsidRDefault="000005F4" w:rsidP="000005F4">
            <w:pPr>
              <w:pStyle w:val="TableTextNoSpace"/>
            </w:pPr>
          </w:p>
        </w:tc>
        <w:tc>
          <w:tcPr>
            <w:tcW w:w="178" w:type="pct"/>
            <w:shd w:val="clear" w:color="auto" w:fill="EAF1DD" w:themeFill="accent3" w:themeFillTint="33"/>
            <w:vAlign w:val="bottom"/>
          </w:tcPr>
          <w:p w14:paraId="6B763A30" w14:textId="77777777" w:rsidR="000005F4" w:rsidRDefault="000005F4" w:rsidP="000005F4">
            <w:pPr>
              <w:pStyle w:val="TableTextNoSpace"/>
            </w:pPr>
          </w:p>
        </w:tc>
        <w:tc>
          <w:tcPr>
            <w:tcW w:w="178" w:type="pct"/>
            <w:shd w:val="clear" w:color="auto" w:fill="EAF1DD" w:themeFill="accent3" w:themeFillTint="33"/>
            <w:vAlign w:val="bottom"/>
          </w:tcPr>
          <w:p w14:paraId="31A33A0D" w14:textId="77777777" w:rsidR="000005F4" w:rsidRDefault="000005F4" w:rsidP="000005F4">
            <w:pPr>
              <w:pStyle w:val="TableTextNoSpace"/>
            </w:pPr>
          </w:p>
        </w:tc>
        <w:tc>
          <w:tcPr>
            <w:tcW w:w="178" w:type="pct"/>
            <w:shd w:val="clear" w:color="auto" w:fill="EAF1DD" w:themeFill="accent3" w:themeFillTint="33"/>
            <w:vAlign w:val="bottom"/>
          </w:tcPr>
          <w:p w14:paraId="5DF6CCE1" w14:textId="77777777" w:rsidR="000005F4" w:rsidRDefault="000005F4" w:rsidP="000005F4">
            <w:pPr>
              <w:pStyle w:val="TableTextNoSpace"/>
            </w:pPr>
          </w:p>
        </w:tc>
        <w:tc>
          <w:tcPr>
            <w:tcW w:w="178" w:type="pct"/>
            <w:shd w:val="clear" w:color="auto" w:fill="EAF1DD" w:themeFill="accent3" w:themeFillTint="33"/>
            <w:vAlign w:val="bottom"/>
          </w:tcPr>
          <w:p w14:paraId="601EAA81" w14:textId="77777777" w:rsidR="000005F4" w:rsidRDefault="000005F4" w:rsidP="000005F4">
            <w:pPr>
              <w:pStyle w:val="TableTextNoSpace"/>
            </w:pPr>
          </w:p>
        </w:tc>
        <w:tc>
          <w:tcPr>
            <w:tcW w:w="178" w:type="pct"/>
            <w:shd w:val="clear" w:color="auto" w:fill="EAF1DD" w:themeFill="accent3" w:themeFillTint="33"/>
            <w:vAlign w:val="bottom"/>
          </w:tcPr>
          <w:p w14:paraId="137FFDBE" w14:textId="77777777" w:rsidR="000005F4" w:rsidRDefault="000005F4" w:rsidP="000005F4">
            <w:pPr>
              <w:pStyle w:val="TableTextNoSpace"/>
            </w:pPr>
          </w:p>
        </w:tc>
        <w:tc>
          <w:tcPr>
            <w:tcW w:w="178" w:type="pct"/>
            <w:shd w:val="clear" w:color="auto" w:fill="EAF1DD" w:themeFill="accent3" w:themeFillTint="33"/>
            <w:vAlign w:val="bottom"/>
          </w:tcPr>
          <w:p w14:paraId="30362490" w14:textId="77777777" w:rsidR="000005F4" w:rsidRDefault="000005F4" w:rsidP="000005F4">
            <w:pPr>
              <w:pStyle w:val="TableTextNoSpace"/>
            </w:pPr>
          </w:p>
        </w:tc>
        <w:tc>
          <w:tcPr>
            <w:tcW w:w="178" w:type="pct"/>
            <w:shd w:val="clear" w:color="auto" w:fill="EAF1DD" w:themeFill="accent3" w:themeFillTint="33"/>
            <w:vAlign w:val="bottom"/>
          </w:tcPr>
          <w:p w14:paraId="2825672E" w14:textId="77777777" w:rsidR="000005F4" w:rsidRDefault="000005F4" w:rsidP="000005F4">
            <w:pPr>
              <w:pStyle w:val="TableTextNoSpace"/>
            </w:pPr>
          </w:p>
        </w:tc>
        <w:tc>
          <w:tcPr>
            <w:tcW w:w="178" w:type="pct"/>
            <w:shd w:val="clear" w:color="auto" w:fill="EAF1DD" w:themeFill="accent3" w:themeFillTint="33"/>
            <w:vAlign w:val="bottom"/>
          </w:tcPr>
          <w:p w14:paraId="3DF41266" w14:textId="77777777" w:rsidR="000005F4" w:rsidRDefault="000005F4" w:rsidP="000005F4">
            <w:pPr>
              <w:pStyle w:val="TableTextNoSpace"/>
            </w:pPr>
          </w:p>
        </w:tc>
        <w:tc>
          <w:tcPr>
            <w:tcW w:w="178" w:type="pct"/>
            <w:shd w:val="clear" w:color="auto" w:fill="EAF1DD" w:themeFill="accent3" w:themeFillTint="33"/>
            <w:vAlign w:val="bottom"/>
          </w:tcPr>
          <w:p w14:paraId="57729FDB" w14:textId="77777777" w:rsidR="000005F4" w:rsidRDefault="000005F4" w:rsidP="000005F4">
            <w:pPr>
              <w:pStyle w:val="TableTextNoSpace"/>
            </w:pPr>
            <w:r>
              <w:t>x</w:t>
            </w:r>
          </w:p>
        </w:tc>
        <w:tc>
          <w:tcPr>
            <w:tcW w:w="178" w:type="pct"/>
            <w:shd w:val="clear" w:color="auto" w:fill="EAF1DD" w:themeFill="accent3" w:themeFillTint="33"/>
            <w:vAlign w:val="bottom"/>
          </w:tcPr>
          <w:p w14:paraId="636B755D" w14:textId="77777777" w:rsidR="000005F4" w:rsidRDefault="000005F4" w:rsidP="000005F4">
            <w:pPr>
              <w:pStyle w:val="TableTextNoSpace"/>
            </w:pPr>
            <w:r>
              <w:t>x</w:t>
            </w:r>
          </w:p>
        </w:tc>
        <w:tc>
          <w:tcPr>
            <w:tcW w:w="178" w:type="pct"/>
            <w:shd w:val="clear" w:color="auto" w:fill="EAF1DD" w:themeFill="accent3" w:themeFillTint="33"/>
            <w:vAlign w:val="bottom"/>
          </w:tcPr>
          <w:p w14:paraId="2C8264B3" w14:textId="77777777" w:rsidR="000005F4" w:rsidRDefault="000005F4" w:rsidP="000005F4">
            <w:pPr>
              <w:pStyle w:val="TableTextNoSpace"/>
            </w:pPr>
          </w:p>
        </w:tc>
        <w:tc>
          <w:tcPr>
            <w:tcW w:w="178" w:type="pct"/>
            <w:shd w:val="clear" w:color="auto" w:fill="EAF1DD" w:themeFill="accent3" w:themeFillTint="33"/>
            <w:vAlign w:val="bottom"/>
          </w:tcPr>
          <w:p w14:paraId="215E00CB" w14:textId="77777777" w:rsidR="000005F4" w:rsidRDefault="000005F4" w:rsidP="000005F4">
            <w:pPr>
              <w:pStyle w:val="TableTextNoSpace"/>
            </w:pPr>
          </w:p>
        </w:tc>
        <w:tc>
          <w:tcPr>
            <w:tcW w:w="178" w:type="pct"/>
            <w:shd w:val="clear" w:color="auto" w:fill="EAF1DD" w:themeFill="accent3" w:themeFillTint="33"/>
            <w:vAlign w:val="bottom"/>
          </w:tcPr>
          <w:p w14:paraId="2E513673" w14:textId="77777777" w:rsidR="000005F4" w:rsidRDefault="000005F4" w:rsidP="000005F4">
            <w:pPr>
              <w:pStyle w:val="TableTextNoSpace"/>
            </w:pPr>
          </w:p>
        </w:tc>
        <w:tc>
          <w:tcPr>
            <w:tcW w:w="178" w:type="pct"/>
            <w:shd w:val="clear" w:color="auto" w:fill="EAF1DD" w:themeFill="accent3" w:themeFillTint="33"/>
            <w:vAlign w:val="bottom"/>
          </w:tcPr>
          <w:p w14:paraId="7CA2B749" w14:textId="77777777" w:rsidR="000005F4" w:rsidRDefault="000005F4" w:rsidP="000005F4">
            <w:pPr>
              <w:pStyle w:val="TableTextNoSpace"/>
            </w:pPr>
          </w:p>
        </w:tc>
        <w:tc>
          <w:tcPr>
            <w:tcW w:w="178" w:type="pct"/>
            <w:shd w:val="clear" w:color="auto" w:fill="EAF1DD" w:themeFill="accent3" w:themeFillTint="33"/>
            <w:vAlign w:val="bottom"/>
          </w:tcPr>
          <w:p w14:paraId="095E5FBD" w14:textId="77777777" w:rsidR="000005F4" w:rsidRDefault="000005F4" w:rsidP="000005F4">
            <w:pPr>
              <w:pStyle w:val="TableTextNoSpace"/>
            </w:pPr>
            <w:r>
              <w:t>x</w:t>
            </w:r>
          </w:p>
        </w:tc>
        <w:tc>
          <w:tcPr>
            <w:tcW w:w="178" w:type="pct"/>
            <w:shd w:val="clear" w:color="auto" w:fill="EAF1DD" w:themeFill="accent3" w:themeFillTint="33"/>
            <w:vAlign w:val="bottom"/>
          </w:tcPr>
          <w:p w14:paraId="048B7EA6" w14:textId="77777777" w:rsidR="000005F4" w:rsidRDefault="000005F4" w:rsidP="000005F4">
            <w:pPr>
              <w:pStyle w:val="TableTextNoSpace"/>
            </w:pPr>
          </w:p>
        </w:tc>
        <w:tc>
          <w:tcPr>
            <w:tcW w:w="178" w:type="pct"/>
            <w:shd w:val="clear" w:color="auto" w:fill="EAF1DD" w:themeFill="accent3" w:themeFillTint="33"/>
            <w:vAlign w:val="bottom"/>
          </w:tcPr>
          <w:p w14:paraId="7686677D" w14:textId="77777777" w:rsidR="000005F4" w:rsidRDefault="000005F4" w:rsidP="000005F4">
            <w:pPr>
              <w:pStyle w:val="TableTextNoSpace"/>
            </w:pPr>
          </w:p>
        </w:tc>
        <w:tc>
          <w:tcPr>
            <w:tcW w:w="178" w:type="pct"/>
            <w:shd w:val="clear" w:color="auto" w:fill="EAF1DD" w:themeFill="accent3" w:themeFillTint="33"/>
            <w:vAlign w:val="bottom"/>
          </w:tcPr>
          <w:p w14:paraId="1D3D27AA" w14:textId="77777777" w:rsidR="000005F4" w:rsidRDefault="000005F4" w:rsidP="000005F4">
            <w:pPr>
              <w:pStyle w:val="TableTextNoSpace"/>
            </w:pPr>
          </w:p>
        </w:tc>
        <w:tc>
          <w:tcPr>
            <w:tcW w:w="178" w:type="pct"/>
            <w:shd w:val="clear" w:color="auto" w:fill="EAF1DD" w:themeFill="accent3" w:themeFillTint="33"/>
            <w:vAlign w:val="bottom"/>
          </w:tcPr>
          <w:p w14:paraId="4E2764F9" w14:textId="77777777" w:rsidR="000005F4" w:rsidRDefault="000005F4" w:rsidP="000005F4">
            <w:pPr>
              <w:pStyle w:val="TableTextNoSpace"/>
            </w:pPr>
          </w:p>
        </w:tc>
        <w:tc>
          <w:tcPr>
            <w:tcW w:w="178" w:type="pct"/>
            <w:shd w:val="clear" w:color="auto" w:fill="EAF1DD" w:themeFill="accent3" w:themeFillTint="33"/>
            <w:vAlign w:val="bottom"/>
          </w:tcPr>
          <w:p w14:paraId="5859717B" w14:textId="77777777" w:rsidR="000005F4" w:rsidRDefault="000005F4" w:rsidP="000005F4">
            <w:pPr>
              <w:pStyle w:val="TableTextNoSpace"/>
            </w:pPr>
          </w:p>
        </w:tc>
        <w:tc>
          <w:tcPr>
            <w:tcW w:w="178" w:type="pct"/>
            <w:shd w:val="clear" w:color="auto" w:fill="EAF1DD" w:themeFill="accent3" w:themeFillTint="33"/>
            <w:vAlign w:val="bottom"/>
          </w:tcPr>
          <w:p w14:paraId="7A637165" w14:textId="77777777" w:rsidR="000005F4" w:rsidRDefault="000005F4" w:rsidP="000005F4">
            <w:pPr>
              <w:pStyle w:val="TableTextNoSpace"/>
            </w:pPr>
          </w:p>
        </w:tc>
        <w:tc>
          <w:tcPr>
            <w:tcW w:w="178" w:type="pct"/>
            <w:shd w:val="clear" w:color="auto" w:fill="EAF1DD" w:themeFill="accent3" w:themeFillTint="33"/>
            <w:vAlign w:val="bottom"/>
          </w:tcPr>
          <w:p w14:paraId="5402173E" w14:textId="77777777" w:rsidR="000005F4" w:rsidRDefault="000005F4" w:rsidP="000005F4">
            <w:pPr>
              <w:pStyle w:val="TableTextNoSpace"/>
            </w:pPr>
          </w:p>
        </w:tc>
      </w:tr>
      <w:tr w:rsidR="000005F4" w14:paraId="00D6C7EA" w14:textId="77777777" w:rsidTr="000005F4">
        <w:tc>
          <w:tcPr>
            <w:tcW w:w="553" w:type="pct"/>
            <w:shd w:val="clear" w:color="auto" w:fill="EAF1DD" w:themeFill="accent3" w:themeFillTint="33"/>
          </w:tcPr>
          <w:p w14:paraId="654AE263" w14:textId="77777777" w:rsidR="000005F4" w:rsidRPr="004419C4" w:rsidRDefault="000005F4" w:rsidP="000005F4">
            <w:pPr>
              <w:pStyle w:val="TableTextNoSpace"/>
              <w:rPr>
                <w:rFonts w:cs="Arial"/>
                <w:sz w:val="16"/>
                <w:szCs w:val="16"/>
              </w:rPr>
            </w:pPr>
            <w:r>
              <w:t>Article 21 (1d)</w:t>
            </w:r>
          </w:p>
        </w:tc>
        <w:tc>
          <w:tcPr>
            <w:tcW w:w="178" w:type="pct"/>
            <w:shd w:val="clear" w:color="auto" w:fill="EAF1DD" w:themeFill="accent3" w:themeFillTint="33"/>
            <w:vAlign w:val="bottom"/>
          </w:tcPr>
          <w:p w14:paraId="04DBD44C" w14:textId="77777777" w:rsidR="000005F4" w:rsidRDefault="000005F4" w:rsidP="000005F4">
            <w:pPr>
              <w:pStyle w:val="TableTextNoSpace"/>
            </w:pPr>
          </w:p>
        </w:tc>
        <w:tc>
          <w:tcPr>
            <w:tcW w:w="178" w:type="pct"/>
            <w:shd w:val="clear" w:color="auto" w:fill="EAF1DD" w:themeFill="accent3" w:themeFillTint="33"/>
            <w:vAlign w:val="bottom"/>
          </w:tcPr>
          <w:p w14:paraId="006C2368" w14:textId="77777777" w:rsidR="000005F4" w:rsidRDefault="000005F4" w:rsidP="000005F4">
            <w:pPr>
              <w:pStyle w:val="TableTextNoSpace"/>
            </w:pPr>
          </w:p>
        </w:tc>
        <w:tc>
          <w:tcPr>
            <w:tcW w:w="178" w:type="pct"/>
            <w:shd w:val="clear" w:color="auto" w:fill="EAF1DD" w:themeFill="accent3" w:themeFillTint="33"/>
            <w:vAlign w:val="bottom"/>
          </w:tcPr>
          <w:p w14:paraId="4F96FE4F" w14:textId="77777777" w:rsidR="000005F4" w:rsidRDefault="000005F4" w:rsidP="000005F4">
            <w:pPr>
              <w:pStyle w:val="TableTextNoSpace"/>
            </w:pPr>
          </w:p>
        </w:tc>
        <w:tc>
          <w:tcPr>
            <w:tcW w:w="178" w:type="pct"/>
            <w:shd w:val="clear" w:color="auto" w:fill="EAF1DD" w:themeFill="accent3" w:themeFillTint="33"/>
            <w:vAlign w:val="bottom"/>
          </w:tcPr>
          <w:p w14:paraId="6EA6F902" w14:textId="77777777" w:rsidR="000005F4" w:rsidRDefault="000005F4" w:rsidP="000005F4">
            <w:pPr>
              <w:pStyle w:val="TableTextNoSpace"/>
            </w:pPr>
          </w:p>
        </w:tc>
        <w:tc>
          <w:tcPr>
            <w:tcW w:w="178" w:type="pct"/>
            <w:shd w:val="clear" w:color="auto" w:fill="EAF1DD" w:themeFill="accent3" w:themeFillTint="33"/>
            <w:vAlign w:val="bottom"/>
          </w:tcPr>
          <w:p w14:paraId="16ABC501" w14:textId="77777777" w:rsidR="000005F4" w:rsidRDefault="000005F4" w:rsidP="000005F4">
            <w:pPr>
              <w:pStyle w:val="TableTextNoSpace"/>
            </w:pPr>
          </w:p>
        </w:tc>
        <w:tc>
          <w:tcPr>
            <w:tcW w:w="178" w:type="pct"/>
            <w:shd w:val="clear" w:color="auto" w:fill="EAF1DD" w:themeFill="accent3" w:themeFillTint="33"/>
            <w:vAlign w:val="bottom"/>
          </w:tcPr>
          <w:p w14:paraId="56B173D4" w14:textId="77777777" w:rsidR="000005F4" w:rsidRDefault="000005F4" w:rsidP="000005F4">
            <w:pPr>
              <w:pStyle w:val="TableTextNoSpace"/>
            </w:pPr>
          </w:p>
        </w:tc>
        <w:tc>
          <w:tcPr>
            <w:tcW w:w="178" w:type="pct"/>
            <w:shd w:val="clear" w:color="auto" w:fill="EAF1DD" w:themeFill="accent3" w:themeFillTint="33"/>
            <w:vAlign w:val="bottom"/>
          </w:tcPr>
          <w:p w14:paraId="70B57C41" w14:textId="77777777" w:rsidR="000005F4" w:rsidRDefault="000005F4" w:rsidP="000005F4">
            <w:pPr>
              <w:pStyle w:val="TableTextNoSpace"/>
            </w:pPr>
          </w:p>
        </w:tc>
        <w:tc>
          <w:tcPr>
            <w:tcW w:w="178" w:type="pct"/>
            <w:shd w:val="clear" w:color="auto" w:fill="EAF1DD" w:themeFill="accent3" w:themeFillTint="33"/>
            <w:vAlign w:val="bottom"/>
          </w:tcPr>
          <w:p w14:paraId="7D6CCD8F" w14:textId="77777777" w:rsidR="000005F4" w:rsidRDefault="000005F4" w:rsidP="000005F4">
            <w:pPr>
              <w:pStyle w:val="TableTextNoSpace"/>
            </w:pPr>
          </w:p>
        </w:tc>
        <w:tc>
          <w:tcPr>
            <w:tcW w:w="178" w:type="pct"/>
            <w:shd w:val="clear" w:color="auto" w:fill="EAF1DD" w:themeFill="accent3" w:themeFillTint="33"/>
            <w:vAlign w:val="bottom"/>
          </w:tcPr>
          <w:p w14:paraId="5216E235" w14:textId="77777777" w:rsidR="000005F4" w:rsidRDefault="000005F4" w:rsidP="000005F4">
            <w:pPr>
              <w:pStyle w:val="TableTextNoSpace"/>
            </w:pPr>
          </w:p>
        </w:tc>
        <w:tc>
          <w:tcPr>
            <w:tcW w:w="178" w:type="pct"/>
            <w:shd w:val="clear" w:color="auto" w:fill="EAF1DD" w:themeFill="accent3" w:themeFillTint="33"/>
            <w:vAlign w:val="bottom"/>
          </w:tcPr>
          <w:p w14:paraId="52F0DD73" w14:textId="77777777" w:rsidR="000005F4" w:rsidRDefault="000005F4" w:rsidP="000005F4">
            <w:pPr>
              <w:pStyle w:val="TableTextNoSpace"/>
            </w:pPr>
          </w:p>
        </w:tc>
        <w:tc>
          <w:tcPr>
            <w:tcW w:w="178" w:type="pct"/>
            <w:shd w:val="clear" w:color="auto" w:fill="EAF1DD" w:themeFill="accent3" w:themeFillTint="33"/>
            <w:vAlign w:val="bottom"/>
          </w:tcPr>
          <w:p w14:paraId="7D6C6894" w14:textId="77777777" w:rsidR="000005F4" w:rsidRDefault="000005F4" w:rsidP="000005F4">
            <w:pPr>
              <w:pStyle w:val="TableTextNoSpace"/>
            </w:pPr>
          </w:p>
        </w:tc>
        <w:tc>
          <w:tcPr>
            <w:tcW w:w="178" w:type="pct"/>
            <w:shd w:val="clear" w:color="auto" w:fill="EAF1DD" w:themeFill="accent3" w:themeFillTint="33"/>
            <w:vAlign w:val="bottom"/>
          </w:tcPr>
          <w:p w14:paraId="42F4F3DF" w14:textId="77777777" w:rsidR="000005F4" w:rsidRDefault="000005F4" w:rsidP="000005F4">
            <w:pPr>
              <w:pStyle w:val="TableTextNoSpace"/>
            </w:pPr>
            <w:r>
              <w:t>x</w:t>
            </w:r>
          </w:p>
        </w:tc>
        <w:tc>
          <w:tcPr>
            <w:tcW w:w="178" w:type="pct"/>
            <w:shd w:val="clear" w:color="auto" w:fill="EAF1DD" w:themeFill="accent3" w:themeFillTint="33"/>
            <w:vAlign w:val="bottom"/>
          </w:tcPr>
          <w:p w14:paraId="4A3C8076" w14:textId="77777777" w:rsidR="000005F4" w:rsidRDefault="000005F4" w:rsidP="000005F4">
            <w:pPr>
              <w:pStyle w:val="TableTextNoSpace"/>
            </w:pPr>
            <w:r>
              <w:t>x</w:t>
            </w:r>
          </w:p>
        </w:tc>
        <w:tc>
          <w:tcPr>
            <w:tcW w:w="178" w:type="pct"/>
            <w:shd w:val="clear" w:color="auto" w:fill="EAF1DD" w:themeFill="accent3" w:themeFillTint="33"/>
            <w:vAlign w:val="bottom"/>
          </w:tcPr>
          <w:p w14:paraId="0E190F87" w14:textId="77777777" w:rsidR="000005F4" w:rsidRDefault="000005F4" w:rsidP="000005F4">
            <w:pPr>
              <w:pStyle w:val="TableTextNoSpace"/>
            </w:pPr>
            <w:r>
              <w:t>x</w:t>
            </w:r>
          </w:p>
        </w:tc>
        <w:tc>
          <w:tcPr>
            <w:tcW w:w="178" w:type="pct"/>
            <w:shd w:val="clear" w:color="auto" w:fill="EAF1DD" w:themeFill="accent3" w:themeFillTint="33"/>
            <w:vAlign w:val="bottom"/>
          </w:tcPr>
          <w:p w14:paraId="72756DA8" w14:textId="77777777" w:rsidR="000005F4" w:rsidRDefault="000005F4" w:rsidP="000005F4">
            <w:pPr>
              <w:pStyle w:val="TableTextNoSpace"/>
            </w:pPr>
          </w:p>
        </w:tc>
        <w:tc>
          <w:tcPr>
            <w:tcW w:w="178" w:type="pct"/>
            <w:shd w:val="clear" w:color="auto" w:fill="EAF1DD" w:themeFill="accent3" w:themeFillTint="33"/>
            <w:vAlign w:val="bottom"/>
          </w:tcPr>
          <w:p w14:paraId="1DFCA80A" w14:textId="77777777" w:rsidR="000005F4" w:rsidRDefault="000005F4" w:rsidP="000005F4">
            <w:pPr>
              <w:pStyle w:val="TableTextNoSpace"/>
            </w:pPr>
          </w:p>
        </w:tc>
        <w:tc>
          <w:tcPr>
            <w:tcW w:w="178" w:type="pct"/>
            <w:shd w:val="clear" w:color="auto" w:fill="EAF1DD" w:themeFill="accent3" w:themeFillTint="33"/>
            <w:vAlign w:val="bottom"/>
          </w:tcPr>
          <w:p w14:paraId="00C75197" w14:textId="77777777" w:rsidR="000005F4" w:rsidRDefault="000005F4" w:rsidP="000005F4">
            <w:pPr>
              <w:pStyle w:val="TableTextNoSpace"/>
            </w:pPr>
          </w:p>
        </w:tc>
        <w:tc>
          <w:tcPr>
            <w:tcW w:w="178" w:type="pct"/>
            <w:shd w:val="clear" w:color="auto" w:fill="EAF1DD" w:themeFill="accent3" w:themeFillTint="33"/>
            <w:vAlign w:val="bottom"/>
          </w:tcPr>
          <w:p w14:paraId="7991CC0B" w14:textId="77777777" w:rsidR="000005F4" w:rsidRDefault="000005F4" w:rsidP="000005F4">
            <w:pPr>
              <w:pStyle w:val="TableTextNoSpace"/>
            </w:pPr>
          </w:p>
        </w:tc>
        <w:tc>
          <w:tcPr>
            <w:tcW w:w="178" w:type="pct"/>
            <w:shd w:val="clear" w:color="auto" w:fill="EAF1DD" w:themeFill="accent3" w:themeFillTint="33"/>
            <w:vAlign w:val="bottom"/>
          </w:tcPr>
          <w:p w14:paraId="694DB90E" w14:textId="77777777" w:rsidR="000005F4" w:rsidRDefault="000005F4" w:rsidP="000005F4">
            <w:pPr>
              <w:pStyle w:val="TableTextNoSpace"/>
            </w:pPr>
          </w:p>
        </w:tc>
        <w:tc>
          <w:tcPr>
            <w:tcW w:w="178" w:type="pct"/>
            <w:shd w:val="clear" w:color="auto" w:fill="EAF1DD" w:themeFill="accent3" w:themeFillTint="33"/>
            <w:vAlign w:val="bottom"/>
          </w:tcPr>
          <w:p w14:paraId="65C14B97" w14:textId="77777777" w:rsidR="000005F4" w:rsidRDefault="000005F4" w:rsidP="000005F4">
            <w:pPr>
              <w:pStyle w:val="TableTextNoSpace"/>
            </w:pPr>
          </w:p>
        </w:tc>
        <w:tc>
          <w:tcPr>
            <w:tcW w:w="178" w:type="pct"/>
            <w:shd w:val="clear" w:color="auto" w:fill="EAF1DD" w:themeFill="accent3" w:themeFillTint="33"/>
            <w:vAlign w:val="bottom"/>
          </w:tcPr>
          <w:p w14:paraId="437DC336" w14:textId="77777777" w:rsidR="000005F4" w:rsidRDefault="000005F4" w:rsidP="000005F4">
            <w:pPr>
              <w:pStyle w:val="TableTextNoSpace"/>
            </w:pPr>
          </w:p>
        </w:tc>
        <w:tc>
          <w:tcPr>
            <w:tcW w:w="178" w:type="pct"/>
            <w:shd w:val="clear" w:color="auto" w:fill="EAF1DD" w:themeFill="accent3" w:themeFillTint="33"/>
            <w:vAlign w:val="bottom"/>
          </w:tcPr>
          <w:p w14:paraId="4AB6C2E9" w14:textId="77777777" w:rsidR="000005F4" w:rsidRDefault="000005F4" w:rsidP="000005F4">
            <w:pPr>
              <w:pStyle w:val="TableTextNoSpace"/>
            </w:pPr>
          </w:p>
        </w:tc>
        <w:tc>
          <w:tcPr>
            <w:tcW w:w="178" w:type="pct"/>
            <w:shd w:val="clear" w:color="auto" w:fill="EAF1DD" w:themeFill="accent3" w:themeFillTint="33"/>
            <w:vAlign w:val="bottom"/>
          </w:tcPr>
          <w:p w14:paraId="60604BBF" w14:textId="77777777" w:rsidR="000005F4" w:rsidRDefault="000005F4" w:rsidP="000005F4">
            <w:pPr>
              <w:pStyle w:val="TableTextNoSpace"/>
            </w:pPr>
          </w:p>
        </w:tc>
        <w:tc>
          <w:tcPr>
            <w:tcW w:w="178" w:type="pct"/>
            <w:shd w:val="clear" w:color="auto" w:fill="EAF1DD" w:themeFill="accent3" w:themeFillTint="33"/>
            <w:vAlign w:val="bottom"/>
          </w:tcPr>
          <w:p w14:paraId="6946B5D3" w14:textId="77777777" w:rsidR="000005F4" w:rsidRDefault="000005F4" w:rsidP="000005F4">
            <w:pPr>
              <w:pStyle w:val="TableTextNoSpace"/>
            </w:pPr>
          </w:p>
        </w:tc>
        <w:tc>
          <w:tcPr>
            <w:tcW w:w="178" w:type="pct"/>
            <w:shd w:val="clear" w:color="auto" w:fill="EAF1DD" w:themeFill="accent3" w:themeFillTint="33"/>
            <w:vAlign w:val="bottom"/>
          </w:tcPr>
          <w:p w14:paraId="58BA5EE1" w14:textId="77777777" w:rsidR="000005F4" w:rsidRDefault="000005F4" w:rsidP="000005F4">
            <w:pPr>
              <w:pStyle w:val="TableTextNoSpace"/>
            </w:pPr>
          </w:p>
        </w:tc>
      </w:tr>
      <w:tr w:rsidR="000005F4" w14:paraId="7EA59D89" w14:textId="77777777" w:rsidTr="000005F4">
        <w:tc>
          <w:tcPr>
            <w:tcW w:w="553" w:type="pct"/>
            <w:shd w:val="clear" w:color="auto" w:fill="auto"/>
          </w:tcPr>
          <w:p w14:paraId="4AC01E3E" w14:textId="77777777" w:rsidR="000005F4" w:rsidRPr="004419C4" w:rsidRDefault="000005F4" w:rsidP="000005F4">
            <w:pPr>
              <w:pStyle w:val="TableTextNoSpace"/>
              <w:rPr>
                <w:sz w:val="16"/>
                <w:szCs w:val="16"/>
              </w:rPr>
            </w:pPr>
            <w:r w:rsidRPr="006D06B0">
              <w:rPr>
                <w:rFonts w:ascii="Calibri" w:hAnsi="Calibri"/>
                <w:bCs/>
                <w:sz w:val="22"/>
                <w:szCs w:val="22"/>
              </w:rPr>
              <w:t xml:space="preserve">Article </w:t>
            </w:r>
            <w:r>
              <w:rPr>
                <w:rFonts w:ascii="Calibri" w:hAnsi="Calibri"/>
                <w:bCs/>
                <w:sz w:val="22"/>
                <w:szCs w:val="22"/>
              </w:rPr>
              <w:t>27</w:t>
            </w:r>
            <w:r w:rsidRPr="006D06B0">
              <w:rPr>
                <w:rFonts w:ascii="Calibri" w:hAnsi="Calibri"/>
                <w:bCs/>
                <w:sz w:val="22"/>
                <w:szCs w:val="22"/>
              </w:rPr>
              <w:t xml:space="preserve"> </w:t>
            </w:r>
          </w:p>
        </w:tc>
        <w:tc>
          <w:tcPr>
            <w:tcW w:w="178" w:type="pct"/>
            <w:shd w:val="clear" w:color="auto" w:fill="auto"/>
          </w:tcPr>
          <w:p w14:paraId="4755203E" w14:textId="77777777" w:rsidR="000005F4" w:rsidRDefault="000005F4" w:rsidP="000005F4">
            <w:pPr>
              <w:pStyle w:val="TableTextNoSpace"/>
            </w:pPr>
          </w:p>
        </w:tc>
        <w:tc>
          <w:tcPr>
            <w:tcW w:w="178" w:type="pct"/>
            <w:shd w:val="clear" w:color="auto" w:fill="auto"/>
          </w:tcPr>
          <w:p w14:paraId="27C2C929" w14:textId="77777777" w:rsidR="000005F4" w:rsidRDefault="000005F4" w:rsidP="000005F4">
            <w:pPr>
              <w:pStyle w:val="TableTextNoSpace"/>
            </w:pPr>
          </w:p>
        </w:tc>
        <w:tc>
          <w:tcPr>
            <w:tcW w:w="178" w:type="pct"/>
            <w:shd w:val="clear" w:color="auto" w:fill="auto"/>
          </w:tcPr>
          <w:p w14:paraId="76ABED2D" w14:textId="77777777" w:rsidR="000005F4" w:rsidRDefault="000005F4" w:rsidP="000005F4">
            <w:pPr>
              <w:pStyle w:val="TableTextNoSpace"/>
            </w:pPr>
          </w:p>
        </w:tc>
        <w:tc>
          <w:tcPr>
            <w:tcW w:w="178" w:type="pct"/>
            <w:shd w:val="clear" w:color="auto" w:fill="auto"/>
          </w:tcPr>
          <w:p w14:paraId="3CB6DBE5" w14:textId="77777777" w:rsidR="000005F4" w:rsidRDefault="000005F4" w:rsidP="000005F4">
            <w:pPr>
              <w:pStyle w:val="TableTextNoSpace"/>
            </w:pPr>
            <w:r>
              <w:t>x</w:t>
            </w:r>
          </w:p>
        </w:tc>
        <w:tc>
          <w:tcPr>
            <w:tcW w:w="178" w:type="pct"/>
            <w:shd w:val="clear" w:color="auto" w:fill="auto"/>
          </w:tcPr>
          <w:p w14:paraId="4E1EC678" w14:textId="77777777" w:rsidR="000005F4" w:rsidRDefault="000005F4" w:rsidP="000005F4">
            <w:pPr>
              <w:pStyle w:val="TableTextNoSpace"/>
            </w:pPr>
          </w:p>
        </w:tc>
        <w:tc>
          <w:tcPr>
            <w:tcW w:w="178" w:type="pct"/>
            <w:shd w:val="clear" w:color="auto" w:fill="auto"/>
          </w:tcPr>
          <w:p w14:paraId="0DB0C11D" w14:textId="77777777" w:rsidR="000005F4" w:rsidRDefault="000005F4" w:rsidP="000005F4">
            <w:pPr>
              <w:pStyle w:val="TableTextNoSpace"/>
            </w:pPr>
          </w:p>
        </w:tc>
        <w:tc>
          <w:tcPr>
            <w:tcW w:w="178" w:type="pct"/>
            <w:shd w:val="clear" w:color="auto" w:fill="auto"/>
          </w:tcPr>
          <w:p w14:paraId="50ED2F01" w14:textId="77777777" w:rsidR="000005F4" w:rsidRDefault="000005F4" w:rsidP="000005F4">
            <w:pPr>
              <w:pStyle w:val="TableTextNoSpace"/>
            </w:pPr>
          </w:p>
        </w:tc>
        <w:tc>
          <w:tcPr>
            <w:tcW w:w="178" w:type="pct"/>
            <w:shd w:val="clear" w:color="auto" w:fill="auto"/>
          </w:tcPr>
          <w:p w14:paraId="36311F6B" w14:textId="77777777" w:rsidR="000005F4" w:rsidRDefault="000005F4" w:rsidP="000005F4">
            <w:pPr>
              <w:pStyle w:val="TableTextNoSpace"/>
            </w:pPr>
          </w:p>
        </w:tc>
        <w:tc>
          <w:tcPr>
            <w:tcW w:w="178" w:type="pct"/>
            <w:shd w:val="clear" w:color="auto" w:fill="auto"/>
          </w:tcPr>
          <w:p w14:paraId="158F0E7C" w14:textId="77777777" w:rsidR="000005F4" w:rsidRDefault="000005F4" w:rsidP="000005F4">
            <w:pPr>
              <w:pStyle w:val="TableTextNoSpace"/>
            </w:pPr>
          </w:p>
        </w:tc>
        <w:tc>
          <w:tcPr>
            <w:tcW w:w="178" w:type="pct"/>
            <w:shd w:val="clear" w:color="auto" w:fill="auto"/>
          </w:tcPr>
          <w:p w14:paraId="2C2B70E2" w14:textId="77777777" w:rsidR="000005F4" w:rsidRDefault="000005F4" w:rsidP="000005F4">
            <w:pPr>
              <w:pStyle w:val="TableTextNoSpace"/>
            </w:pPr>
          </w:p>
        </w:tc>
        <w:tc>
          <w:tcPr>
            <w:tcW w:w="178" w:type="pct"/>
            <w:shd w:val="clear" w:color="auto" w:fill="auto"/>
          </w:tcPr>
          <w:p w14:paraId="19964CAB" w14:textId="77777777" w:rsidR="000005F4" w:rsidRDefault="000005F4" w:rsidP="000005F4">
            <w:pPr>
              <w:pStyle w:val="TableTextNoSpace"/>
            </w:pPr>
          </w:p>
        </w:tc>
        <w:tc>
          <w:tcPr>
            <w:tcW w:w="178" w:type="pct"/>
            <w:shd w:val="clear" w:color="auto" w:fill="auto"/>
          </w:tcPr>
          <w:p w14:paraId="3608094C" w14:textId="77777777" w:rsidR="000005F4" w:rsidRDefault="000005F4" w:rsidP="000005F4">
            <w:pPr>
              <w:pStyle w:val="TableTextNoSpace"/>
            </w:pPr>
            <w:r>
              <w:t>x</w:t>
            </w:r>
          </w:p>
        </w:tc>
        <w:tc>
          <w:tcPr>
            <w:tcW w:w="178" w:type="pct"/>
            <w:shd w:val="clear" w:color="auto" w:fill="auto"/>
          </w:tcPr>
          <w:p w14:paraId="6D5985E5" w14:textId="77777777" w:rsidR="000005F4" w:rsidRDefault="000005F4" w:rsidP="000005F4">
            <w:pPr>
              <w:pStyle w:val="TableTextNoSpace"/>
            </w:pPr>
          </w:p>
        </w:tc>
        <w:tc>
          <w:tcPr>
            <w:tcW w:w="178" w:type="pct"/>
            <w:shd w:val="clear" w:color="auto" w:fill="auto"/>
          </w:tcPr>
          <w:p w14:paraId="1E728181" w14:textId="77777777" w:rsidR="000005F4" w:rsidRDefault="000005F4" w:rsidP="000005F4">
            <w:pPr>
              <w:pStyle w:val="TableTextNoSpace"/>
            </w:pPr>
          </w:p>
        </w:tc>
        <w:tc>
          <w:tcPr>
            <w:tcW w:w="178" w:type="pct"/>
            <w:shd w:val="clear" w:color="auto" w:fill="auto"/>
          </w:tcPr>
          <w:p w14:paraId="29DEE724" w14:textId="77777777" w:rsidR="000005F4" w:rsidRDefault="000005F4" w:rsidP="000005F4">
            <w:pPr>
              <w:pStyle w:val="TableTextNoSpace"/>
            </w:pPr>
          </w:p>
        </w:tc>
        <w:tc>
          <w:tcPr>
            <w:tcW w:w="178" w:type="pct"/>
            <w:shd w:val="clear" w:color="auto" w:fill="auto"/>
          </w:tcPr>
          <w:p w14:paraId="6756092C" w14:textId="77777777" w:rsidR="000005F4" w:rsidRDefault="000005F4" w:rsidP="000005F4">
            <w:pPr>
              <w:pStyle w:val="TableTextNoSpace"/>
            </w:pPr>
          </w:p>
        </w:tc>
        <w:tc>
          <w:tcPr>
            <w:tcW w:w="178" w:type="pct"/>
            <w:shd w:val="clear" w:color="auto" w:fill="auto"/>
          </w:tcPr>
          <w:p w14:paraId="6AAAC68E" w14:textId="77777777" w:rsidR="000005F4" w:rsidRDefault="000005F4" w:rsidP="000005F4">
            <w:pPr>
              <w:pStyle w:val="TableTextNoSpace"/>
            </w:pPr>
          </w:p>
        </w:tc>
        <w:tc>
          <w:tcPr>
            <w:tcW w:w="178" w:type="pct"/>
            <w:shd w:val="clear" w:color="auto" w:fill="auto"/>
          </w:tcPr>
          <w:p w14:paraId="3490332B" w14:textId="77777777" w:rsidR="000005F4" w:rsidRDefault="000005F4" w:rsidP="000005F4">
            <w:pPr>
              <w:pStyle w:val="TableTextNoSpace"/>
            </w:pPr>
          </w:p>
        </w:tc>
        <w:tc>
          <w:tcPr>
            <w:tcW w:w="178" w:type="pct"/>
          </w:tcPr>
          <w:p w14:paraId="1B07BC95" w14:textId="77777777" w:rsidR="000005F4" w:rsidRDefault="000005F4" w:rsidP="000005F4">
            <w:pPr>
              <w:pStyle w:val="TableTextNoSpace"/>
            </w:pPr>
          </w:p>
        </w:tc>
        <w:tc>
          <w:tcPr>
            <w:tcW w:w="178" w:type="pct"/>
          </w:tcPr>
          <w:p w14:paraId="12DA704E" w14:textId="77777777" w:rsidR="000005F4" w:rsidRDefault="000005F4" w:rsidP="000005F4">
            <w:pPr>
              <w:pStyle w:val="TableTextNoSpace"/>
            </w:pPr>
          </w:p>
        </w:tc>
        <w:tc>
          <w:tcPr>
            <w:tcW w:w="178" w:type="pct"/>
          </w:tcPr>
          <w:p w14:paraId="61132172" w14:textId="77777777" w:rsidR="000005F4" w:rsidRDefault="000005F4" w:rsidP="000005F4">
            <w:pPr>
              <w:pStyle w:val="TableTextNoSpace"/>
            </w:pPr>
          </w:p>
        </w:tc>
        <w:tc>
          <w:tcPr>
            <w:tcW w:w="178" w:type="pct"/>
          </w:tcPr>
          <w:p w14:paraId="35F70CB3" w14:textId="77777777" w:rsidR="000005F4" w:rsidRDefault="000005F4" w:rsidP="000005F4">
            <w:pPr>
              <w:pStyle w:val="TableTextNoSpace"/>
            </w:pPr>
          </w:p>
        </w:tc>
        <w:tc>
          <w:tcPr>
            <w:tcW w:w="178" w:type="pct"/>
          </w:tcPr>
          <w:p w14:paraId="61AEF349" w14:textId="77777777" w:rsidR="000005F4" w:rsidRDefault="000005F4" w:rsidP="000005F4">
            <w:pPr>
              <w:pStyle w:val="TableTextNoSpace"/>
            </w:pPr>
          </w:p>
        </w:tc>
        <w:tc>
          <w:tcPr>
            <w:tcW w:w="178" w:type="pct"/>
          </w:tcPr>
          <w:p w14:paraId="0FB82392" w14:textId="77777777" w:rsidR="000005F4" w:rsidRDefault="000005F4" w:rsidP="000005F4">
            <w:pPr>
              <w:pStyle w:val="TableTextNoSpace"/>
            </w:pPr>
          </w:p>
        </w:tc>
        <w:tc>
          <w:tcPr>
            <w:tcW w:w="178" w:type="pct"/>
            <w:shd w:val="clear" w:color="auto" w:fill="auto"/>
          </w:tcPr>
          <w:p w14:paraId="263948AB" w14:textId="77777777" w:rsidR="000005F4" w:rsidRDefault="000005F4" w:rsidP="000005F4">
            <w:pPr>
              <w:pStyle w:val="TableTextNoSpace"/>
            </w:pPr>
          </w:p>
        </w:tc>
      </w:tr>
      <w:tr w:rsidR="000005F4" w14:paraId="1F03B5D3" w14:textId="77777777" w:rsidTr="000005F4">
        <w:tc>
          <w:tcPr>
            <w:tcW w:w="553" w:type="pct"/>
            <w:shd w:val="clear" w:color="auto" w:fill="EAF1DD" w:themeFill="accent3" w:themeFillTint="33"/>
          </w:tcPr>
          <w:p w14:paraId="329993AC" w14:textId="77777777" w:rsidR="000005F4" w:rsidRPr="004419C4" w:rsidRDefault="000005F4" w:rsidP="000005F4">
            <w:pPr>
              <w:pStyle w:val="TableTextNoSpace"/>
              <w:rPr>
                <w:sz w:val="16"/>
                <w:szCs w:val="16"/>
              </w:rPr>
            </w:pPr>
            <w:r>
              <w:t>Article 28</w:t>
            </w:r>
          </w:p>
        </w:tc>
        <w:tc>
          <w:tcPr>
            <w:tcW w:w="178" w:type="pct"/>
            <w:shd w:val="clear" w:color="auto" w:fill="EAF1DD" w:themeFill="accent3" w:themeFillTint="33"/>
          </w:tcPr>
          <w:p w14:paraId="48C2ED8C" w14:textId="77777777" w:rsidR="000005F4" w:rsidRDefault="000005F4" w:rsidP="000005F4">
            <w:pPr>
              <w:pStyle w:val="TableTextNoSpace"/>
            </w:pPr>
          </w:p>
        </w:tc>
        <w:tc>
          <w:tcPr>
            <w:tcW w:w="178" w:type="pct"/>
            <w:shd w:val="clear" w:color="auto" w:fill="EAF1DD" w:themeFill="accent3" w:themeFillTint="33"/>
          </w:tcPr>
          <w:p w14:paraId="791FF94F" w14:textId="77777777" w:rsidR="000005F4" w:rsidRDefault="000005F4" w:rsidP="000005F4">
            <w:pPr>
              <w:pStyle w:val="TableTextNoSpace"/>
            </w:pPr>
          </w:p>
        </w:tc>
        <w:tc>
          <w:tcPr>
            <w:tcW w:w="178" w:type="pct"/>
            <w:shd w:val="clear" w:color="auto" w:fill="EAF1DD" w:themeFill="accent3" w:themeFillTint="33"/>
          </w:tcPr>
          <w:p w14:paraId="5AAC49A7" w14:textId="77777777" w:rsidR="000005F4" w:rsidRDefault="000005F4" w:rsidP="000005F4">
            <w:pPr>
              <w:pStyle w:val="TableTextNoSpace"/>
            </w:pPr>
          </w:p>
        </w:tc>
        <w:tc>
          <w:tcPr>
            <w:tcW w:w="178" w:type="pct"/>
            <w:shd w:val="clear" w:color="auto" w:fill="EAF1DD" w:themeFill="accent3" w:themeFillTint="33"/>
          </w:tcPr>
          <w:p w14:paraId="1E92728C" w14:textId="77777777" w:rsidR="000005F4" w:rsidRDefault="000005F4" w:rsidP="000005F4">
            <w:pPr>
              <w:pStyle w:val="TableTextNoSpace"/>
            </w:pPr>
          </w:p>
        </w:tc>
        <w:tc>
          <w:tcPr>
            <w:tcW w:w="178" w:type="pct"/>
            <w:shd w:val="clear" w:color="auto" w:fill="EAF1DD" w:themeFill="accent3" w:themeFillTint="33"/>
          </w:tcPr>
          <w:p w14:paraId="73412765" w14:textId="77777777" w:rsidR="000005F4" w:rsidRDefault="000005F4" w:rsidP="000005F4">
            <w:pPr>
              <w:pStyle w:val="TableTextNoSpace"/>
            </w:pPr>
          </w:p>
        </w:tc>
        <w:tc>
          <w:tcPr>
            <w:tcW w:w="178" w:type="pct"/>
            <w:shd w:val="clear" w:color="auto" w:fill="EAF1DD" w:themeFill="accent3" w:themeFillTint="33"/>
          </w:tcPr>
          <w:p w14:paraId="259132EC" w14:textId="77777777" w:rsidR="000005F4" w:rsidRDefault="000005F4" w:rsidP="000005F4">
            <w:pPr>
              <w:pStyle w:val="TableTextNoSpace"/>
            </w:pPr>
          </w:p>
        </w:tc>
        <w:tc>
          <w:tcPr>
            <w:tcW w:w="178" w:type="pct"/>
            <w:shd w:val="clear" w:color="auto" w:fill="EAF1DD" w:themeFill="accent3" w:themeFillTint="33"/>
          </w:tcPr>
          <w:p w14:paraId="4E5B4A7F" w14:textId="77777777" w:rsidR="000005F4" w:rsidRDefault="000005F4" w:rsidP="000005F4">
            <w:pPr>
              <w:pStyle w:val="TableTextNoSpace"/>
            </w:pPr>
          </w:p>
        </w:tc>
        <w:tc>
          <w:tcPr>
            <w:tcW w:w="178" w:type="pct"/>
            <w:shd w:val="clear" w:color="auto" w:fill="EAF1DD" w:themeFill="accent3" w:themeFillTint="33"/>
          </w:tcPr>
          <w:p w14:paraId="1F45BDE9" w14:textId="77777777" w:rsidR="000005F4" w:rsidRDefault="000005F4" w:rsidP="000005F4">
            <w:pPr>
              <w:pStyle w:val="TableTextNoSpace"/>
            </w:pPr>
          </w:p>
        </w:tc>
        <w:tc>
          <w:tcPr>
            <w:tcW w:w="178" w:type="pct"/>
            <w:shd w:val="clear" w:color="auto" w:fill="EAF1DD" w:themeFill="accent3" w:themeFillTint="33"/>
          </w:tcPr>
          <w:p w14:paraId="519349F8" w14:textId="77777777" w:rsidR="000005F4" w:rsidRDefault="000005F4" w:rsidP="000005F4">
            <w:pPr>
              <w:pStyle w:val="TableTextNoSpace"/>
            </w:pPr>
          </w:p>
        </w:tc>
        <w:tc>
          <w:tcPr>
            <w:tcW w:w="178" w:type="pct"/>
            <w:shd w:val="clear" w:color="auto" w:fill="EAF1DD" w:themeFill="accent3" w:themeFillTint="33"/>
          </w:tcPr>
          <w:p w14:paraId="1A897D06" w14:textId="77777777" w:rsidR="000005F4" w:rsidRDefault="000005F4" w:rsidP="000005F4">
            <w:pPr>
              <w:pStyle w:val="TableTextNoSpace"/>
            </w:pPr>
          </w:p>
        </w:tc>
        <w:tc>
          <w:tcPr>
            <w:tcW w:w="178" w:type="pct"/>
            <w:shd w:val="clear" w:color="auto" w:fill="EAF1DD" w:themeFill="accent3" w:themeFillTint="33"/>
          </w:tcPr>
          <w:p w14:paraId="278DFF10" w14:textId="77777777" w:rsidR="000005F4" w:rsidRDefault="000005F4" w:rsidP="000005F4">
            <w:pPr>
              <w:pStyle w:val="TableTextNoSpace"/>
            </w:pPr>
          </w:p>
        </w:tc>
        <w:tc>
          <w:tcPr>
            <w:tcW w:w="178" w:type="pct"/>
            <w:shd w:val="clear" w:color="auto" w:fill="EAF1DD" w:themeFill="accent3" w:themeFillTint="33"/>
          </w:tcPr>
          <w:p w14:paraId="0D7EBEEA" w14:textId="77777777" w:rsidR="000005F4" w:rsidRDefault="000005F4" w:rsidP="000005F4">
            <w:pPr>
              <w:pStyle w:val="TableTextNoSpace"/>
            </w:pPr>
            <w:r>
              <w:t>x</w:t>
            </w:r>
          </w:p>
        </w:tc>
        <w:tc>
          <w:tcPr>
            <w:tcW w:w="178" w:type="pct"/>
            <w:shd w:val="clear" w:color="auto" w:fill="EAF1DD" w:themeFill="accent3" w:themeFillTint="33"/>
          </w:tcPr>
          <w:p w14:paraId="526ED007" w14:textId="77777777" w:rsidR="000005F4" w:rsidRDefault="000005F4" w:rsidP="000005F4">
            <w:pPr>
              <w:pStyle w:val="TableTextNoSpace"/>
            </w:pPr>
            <w:r>
              <w:t>x</w:t>
            </w:r>
          </w:p>
        </w:tc>
        <w:tc>
          <w:tcPr>
            <w:tcW w:w="178" w:type="pct"/>
            <w:shd w:val="clear" w:color="auto" w:fill="EAF1DD" w:themeFill="accent3" w:themeFillTint="33"/>
          </w:tcPr>
          <w:p w14:paraId="002F7F27" w14:textId="77777777" w:rsidR="000005F4" w:rsidRDefault="000005F4" w:rsidP="000005F4">
            <w:pPr>
              <w:pStyle w:val="TableTextNoSpace"/>
            </w:pPr>
            <w:r>
              <w:t>x</w:t>
            </w:r>
          </w:p>
        </w:tc>
        <w:tc>
          <w:tcPr>
            <w:tcW w:w="178" w:type="pct"/>
            <w:shd w:val="clear" w:color="auto" w:fill="EAF1DD" w:themeFill="accent3" w:themeFillTint="33"/>
          </w:tcPr>
          <w:p w14:paraId="392DB025" w14:textId="77777777" w:rsidR="000005F4" w:rsidRDefault="000005F4" w:rsidP="000005F4">
            <w:pPr>
              <w:pStyle w:val="TableTextNoSpace"/>
            </w:pPr>
            <w:r>
              <w:t>x</w:t>
            </w:r>
          </w:p>
        </w:tc>
        <w:tc>
          <w:tcPr>
            <w:tcW w:w="178" w:type="pct"/>
            <w:shd w:val="clear" w:color="auto" w:fill="EAF1DD" w:themeFill="accent3" w:themeFillTint="33"/>
          </w:tcPr>
          <w:p w14:paraId="28CB3F08" w14:textId="77777777" w:rsidR="000005F4" w:rsidRDefault="000005F4" w:rsidP="000005F4">
            <w:pPr>
              <w:pStyle w:val="TableTextNoSpace"/>
            </w:pPr>
            <w:r>
              <w:t>x</w:t>
            </w:r>
          </w:p>
        </w:tc>
        <w:tc>
          <w:tcPr>
            <w:tcW w:w="178" w:type="pct"/>
            <w:shd w:val="clear" w:color="auto" w:fill="EAF1DD" w:themeFill="accent3" w:themeFillTint="33"/>
          </w:tcPr>
          <w:p w14:paraId="183DD1A0" w14:textId="77777777" w:rsidR="000005F4" w:rsidRDefault="000005F4" w:rsidP="000005F4">
            <w:pPr>
              <w:pStyle w:val="TableTextNoSpace"/>
            </w:pPr>
          </w:p>
        </w:tc>
        <w:tc>
          <w:tcPr>
            <w:tcW w:w="178" w:type="pct"/>
            <w:shd w:val="clear" w:color="auto" w:fill="EAF1DD" w:themeFill="accent3" w:themeFillTint="33"/>
          </w:tcPr>
          <w:p w14:paraId="169FB80D" w14:textId="77777777" w:rsidR="000005F4" w:rsidRDefault="000005F4" w:rsidP="000005F4">
            <w:pPr>
              <w:pStyle w:val="TableTextNoSpace"/>
            </w:pPr>
            <w:r>
              <w:t>x</w:t>
            </w:r>
          </w:p>
        </w:tc>
        <w:tc>
          <w:tcPr>
            <w:tcW w:w="178" w:type="pct"/>
            <w:shd w:val="clear" w:color="auto" w:fill="EAF1DD" w:themeFill="accent3" w:themeFillTint="33"/>
          </w:tcPr>
          <w:p w14:paraId="086484CC" w14:textId="77777777" w:rsidR="000005F4" w:rsidRDefault="000005F4" w:rsidP="000005F4">
            <w:pPr>
              <w:pStyle w:val="TableTextNoSpace"/>
            </w:pPr>
          </w:p>
        </w:tc>
        <w:tc>
          <w:tcPr>
            <w:tcW w:w="178" w:type="pct"/>
            <w:shd w:val="clear" w:color="auto" w:fill="EAF1DD" w:themeFill="accent3" w:themeFillTint="33"/>
          </w:tcPr>
          <w:p w14:paraId="134730D2" w14:textId="77777777" w:rsidR="000005F4" w:rsidRDefault="000005F4" w:rsidP="000005F4">
            <w:pPr>
              <w:pStyle w:val="TableTextNoSpace"/>
            </w:pPr>
          </w:p>
        </w:tc>
        <w:tc>
          <w:tcPr>
            <w:tcW w:w="178" w:type="pct"/>
            <w:shd w:val="clear" w:color="auto" w:fill="EAF1DD" w:themeFill="accent3" w:themeFillTint="33"/>
          </w:tcPr>
          <w:p w14:paraId="2D28B04C" w14:textId="77777777" w:rsidR="000005F4" w:rsidRDefault="000005F4" w:rsidP="000005F4">
            <w:pPr>
              <w:pStyle w:val="TableTextNoSpace"/>
            </w:pPr>
          </w:p>
        </w:tc>
        <w:tc>
          <w:tcPr>
            <w:tcW w:w="178" w:type="pct"/>
            <w:shd w:val="clear" w:color="auto" w:fill="EAF1DD" w:themeFill="accent3" w:themeFillTint="33"/>
          </w:tcPr>
          <w:p w14:paraId="0D001C71" w14:textId="77777777" w:rsidR="000005F4" w:rsidRDefault="000005F4" w:rsidP="000005F4">
            <w:pPr>
              <w:pStyle w:val="TableTextNoSpace"/>
            </w:pPr>
          </w:p>
        </w:tc>
        <w:tc>
          <w:tcPr>
            <w:tcW w:w="178" w:type="pct"/>
            <w:shd w:val="clear" w:color="auto" w:fill="EAF1DD" w:themeFill="accent3" w:themeFillTint="33"/>
          </w:tcPr>
          <w:p w14:paraId="584FE3CE" w14:textId="77777777" w:rsidR="000005F4" w:rsidRDefault="000005F4" w:rsidP="000005F4">
            <w:pPr>
              <w:pStyle w:val="TableTextNoSpace"/>
            </w:pPr>
          </w:p>
        </w:tc>
        <w:tc>
          <w:tcPr>
            <w:tcW w:w="178" w:type="pct"/>
            <w:shd w:val="clear" w:color="auto" w:fill="EAF1DD" w:themeFill="accent3" w:themeFillTint="33"/>
          </w:tcPr>
          <w:p w14:paraId="0BE33DFD" w14:textId="77777777" w:rsidR="000005F4" w:rsidRDefault="000005F4" w:rsidP="000005F4">
            <w:pPr>
              <w:pStyle w:val="TableTextNoSpace"/>
            </w:pPr>
          </w:p>
        </w:tc>
        <w:tc>
          <w:tcPr>
            <w:tcW w:w="178" w:type="pct"/>
            <w:shd w:val="clear" w:color="auto" w:fill="EAF1DD" w:themeFill="accent3" w:themeFillTint="33"/>
          </w:tcPr>
          <w:p w14:paraId="27CDD8D2" w14:textId="77777777" w:rsidR="000005F4" w:rsidRDefault="000005F4" w:rsidP="000005F4">
            <w:pPr>
              <w:pStyle w:val="TableTextNoSpace"/>
            </w:pPr>
          </w:p>
        </w:tc>
      </w:tr>
      <w:tr w:rsidR="000005F4" w14:paraId="6FF040EE" w14:textId="77777777" w:rsidTr="000005F4">
        <w:tc>
          <w:tcPr>
            <w:tcW w:w="553" w:type="pct"/>
            <w:shd w:val="clear" w:color="auto" w:fill="EAF1DD" w:themeFill="accent3" w:themeFillTint="33"/>
          </w:tcPr>
          <w:p w14:paraId="6C6328B4" w14:textId="77777777" w:rsidR="000005F4" w:rsidRPr="004419C4" w:rsidRDefault="000005F4" w:rsidP="000005F4">
            <w:pPr>
              <w:pStyle w:val="TableTextNoSpace"/>
              <w:rPr>
                <w:sz w:val="16"/>
                <w:szCs w:val="16"/>
              </w:rPr>
            </w:pPr>
            <w:r>
              <w:t>Article 29</w:t>
            </w:r>
          </w:p>
        </w:tc>
        <w:tc>
          <w:tcPr>
            <w:tcW w:w="178" w:type="pct"/>
            <w:shd w:val="clear" w:color="auto" w:fill="EAF1DD" w:themeFill="accent3" w:themeFillTint="33"/>
          </w:tcPr>
          <w:p w14:paraId="331D856A" w14:textId="77777777" w:rsidR="000005F4" w:rsidRDefault="000005F4" w:rsidP="000005F4">
            <w:pPr>
              <w:pStyle w:val="TableTextNoSpace"/>
            </w:pPr>
          </w:p>
        </w:tc>
        <w:tc>
          <w:tcPr>
            <w:tcW w:w="178" w:type="pct"/>
            <w:shd w:val="clear" w:color="auto" w:fill="EAF1DD" w:themeFill="accent3" w:themeFillTint="33"/>
          </w:tcPr>
          <w:p w14:paraId="0E940F73" w14:textId="77777777" w:rsidR="000005F4" w:rsidRDefault="000005F4" w:rsidP="000005F4">
            <w:pPr>
              <w:pStyle w:val="TableTextNoSpace"/>
            </w:pPr>
          </w:p>
        </w:tc>
        <w:tc>
          <w:tcPr>
            <w:tcW w:w="178" w:type="pct"/>
            <w:shd w:val="clear" w:color="auto" w:fill="EAF1DD" w:themeFill="accent3" w:themeFillTint="33"/>
          </w:tcPr>
          <w:p w14:paraId="61215D62" w14:textId="77777777" w:rsidR="000005F4" w:rsidRDefault="000005F4" w:rsidP="000005F4">
            <w:pPr>
              <w:pStyle w:val="TableTextNoSpace"/>
            </w:pPr>
          </w:p>
        </w:tc>
        <w:tc>
          <w:tcPr>
            <w:tcW w:w="178" w:type="pct"/>
            <w:shd w:val="clear" w:color="auto" w:fill="EAF1DD" w:themeFill="accent3" w:themeFillTint="33"/>
          </w:tcPr>
          <w:p w14:paraId="580851B1" w14:textId="77777777" w:rsidR="000005F4" w:rsidRDefault="000005F4" w:rsidP="000005F4">
            <w:pPr>
              <w:pStyle w:val="TableTextNoSpace"/>
            </w:pPr>
          </w:p>
        </w:tc>
        <w:tc>
          <w:tcPr>
            <w:tcW w:w="178" w:type="pct"/>
            <w:shd w:val="clear" w:color="auto" w:fill="EAF1DD" w:themeFill="accent3" w:themeFillTint="33"/>
          </w:tcPr>
          <w:p w14:paraId="5232CC04" w14:textId="77777777" w:rsidR="000005F4" w:rsidRDefault="000005F4" w:rsidP="000005F4">
            <w:pPr>
              <w:pStyle w:val="TableTextNoSpace"/>
            </w:pPr>
          </w:p>
        </w:tc>
        <w:tc>
          <w:tcPr>
            <w:tcW w:w="178" w:type="pct"/>
            <w:shd w:val="clear" w:color="auto" w:fill="EAF1DD" w:themeFill="accent3" w:themeFillTint="33"/>
          </w:tcPr>
          <w:p w14:paraId="01C991B2" w14:textId="77777777" w:rsidR="000005F4" w:rsidRDefault="000005F4" w:rsidP="000005F4">
            <w:pPr>
              <w:pStyle w:val="TableTextNoSpace"/>
            </w:pPr>
          </w:p>
        </w:tc>
        <w:tc>
          <w:tcPr>
            <w:tcW w:w="178" w:type="pct"/>
            <w:shd w:val="clear" w:color="auto" w:fill="EAF1DD" w:themeFill="accent3" w:themeFillTint="33"/>
          </w:tcPr>
          <w:p w14:paraId="2CE6FDC8" w14:textId="77777777" w:rsidR="000005F4" w:rsidRDefault="000005F4" w:rsidP="000005F4">
            <w:pPr>
              <w:pStyle w:val="TableTextNoSpace"/>
            </w:pPr>
          </w:p>
        </w:tc>
        <w:tc>
          <w:tcPr>
            <w:tcW w:w="178" w:type="pct"/>
            <w:shd w:val="clear" w:color="auto" w:fill="EAF1DD" w:themeFill="accent3" w:themeFillTint="33"/>
          </w:tcPr>
          <w:p w14:paraId="34A2AA44" w14:textId="77777777" w:rsidR="000005F4" w:rsidRDefault="000005F4" w:rsidP="000005F4">
            <w:pPr>
              <w:pStyle w:val="TableTextNoSpace"/>
            </w:pPr>
          </w:p>
        </w:tc>
        <w:tc>
          <w:tcPr>
            <w:tcW w:w="178" w:type="pct"/>
            <w:shd w:val="clear" w:color="auto" w:fill="EAF1DD" w:themeFill="accent3" w:themeFillTint="33"/>
          </w:tcPr>
          <w:p w14:paraId="5F6ABD8E" w14:textId="77777777" w:rsidR="000005F4" w:rsidRDefault="000005F4" w:rsidP="000005F4">
            <w:pPr>
              <w:pStyle w:val="TableTextNoSpace"/>
            </w:pPr>
          </w:p>
        </w:tc>
        <w:tc>
          <w:tcPr>
            <w:tcW w:w="178" w:type="pct"/>
            <w:shd w:val="clear" w:color="auto" w:fill="EAF1DD" w:themeFill="accent3" w:themeFillTint="33"/>
          </w:tcPr>
          <w:p w14:paraId="1CF6DC09" w14:textId="77777777" w:rsidR="000005F4" w:rsidRDefault="000005F4" w:rsidP="000005F4">
            <w:pPr>
              <w:pStyle w:val="TableTextNoSpace"/>
            </w:pPr>
          </w:p>
        </w:tc>
        <w:tc>
          <w:tcPr>
            <w:tcW w:w="178" w:type="pct"/>
            <w:shd w:val="clear" w:color="auto" w:fill="EAF1DD" w:themeFill="accent3" w:themeFillTint="33"/>
          </w:tcPr>
          <w:p w14:paraId="45640AE1" w14:textId="77777777" w:rsidR="000005F4" w:rsidRDefault="000005F4" w:rsidP="000005F4">
            <w:pPr>
              <w:pStyle w:val="TableTextNoSpace"/>
            </w:pPr>
          </w:p>
        </w:tc>
        <w:tc>
          <w:tcPr>
            <w:tcW w:w="178" w:type="pct"/>
            <w:shd w:val="clear" w:color="auto" w:fill="EAF1DD" w:themeFill="accent3" w:themeFillTint="33"/>
          </w:tcPr>
          <w:p w14:paraId="2A0229C3" w14:textId="77777777" w:rsidR="000005F4" w:rsidRDefault="000005F4" w:rsidP="000005F4">
            <w:pPr>
              <w:pStyle w:val="TableTextNoSpace"/>
            </w:pPr>
            <w:r>
              <w:t>x</w:t>
            </w:r>
          </w:p>
        </w:tc>
        <w:tc>
          <w:tcPr>
            <w:tcW w:w="178" w:type="pct"/>
            <w:shd w:val="clear" w:color="auto" w:fill="EAF1DD" w:themeFill="accent3" w:themeFillTint="33"/>
          </w:tcPr>
          <w:p w14:paraId="3008F761" w14:textId="77777777" w:rsidR="000005F4" w:rsidRDefault="000005F4" w:rsidP="000005F4">
            <w:pPr>
              <w:pStyle w:val="TableTextNoSpace"/>
            </w:pPr>
            <w:r>
              <w:t>x</w:t>
            </w:r>
          </w:p>
        </w:tc>
        <w:tc>
          <w:tcPr>
            <w:tcW w:w="178" w:type="pct"/>
            <w:shd w:val="clear" w:color="auto" w:fill="EAF1DD" w:themeFill="accent3" w:themeFillTint="33"/>
          </w:tcPr>
          <w:p w14:paraId="63072066" w14:textId="77777777" w:rsidR="000005F4" w:rsidRDefault="000005F4" w:rsidP="000005F4">
            <w:pPr>
              <w:pStyle w:val="TableTextNoSpace"/>
            </w:pPr>
          </w:p>
        </w:tc>
        <w:tc>
          <w:tcPr>
            <w:tcW w:w="178" w:type="pct"/>
            <w:shd w:val="clear" w:color="auto" w:fill="EAF1DD" w:themeFill="accent3" w:themeFillTint="33"/>
          </w:tcPr>
          <w:p w14:paraId="2372D2EE" w14:textId="77777777" w:rsidR="000005F4" w:rsidRDefault="000005F4" w:rsidP="000005F4">
            <w:pPr>
              <w:pStyle w:val="TableTextNoSpace"/>
            </w:pPr>
            <w:r>
              <w:t>x</w:t>
            </w:r>
          </w:p>
        </w:tc>
        <w:tc>
          <w:tcPr>
            <w:tcW w:w="178" w:type="pct"/>
            <w:shd w:val="clear" w:color="auto" w:fill="EAF1DD" w:themeFill="accent3" w:themeFillTint="33"/>
          </w:tcPr>
          <w:p w14:paraId="0712C131" w14:textId="77777777" w:rsidR="000005F4" w:rsidRDefault="000005F4" w:rsidP="000005F4">
            <w:pPr>
              <w:pStyle w:val="TableTextNoSpace"/>
            </w:pPr>
          </w:p>
        </w:tc>
        <w:tc>
          <w:tcPr>
            <w:tcW w:w="178" w:type="pct"/>
            <w:shd w:val="clear" w:color="auto" w:fill="EAF1DD" w:themeFill="accent3" w:themeFillTint="33"/>
          </w:tcPr>
          <w:p w14:paraId="758A2846" w14:textId="77777777" w:rsidR="000005F4" w:rsidRDefault="000005F4" w:rsidP="000005F4">
            <w:pPr>
              <w:pStyle w:val="TableTextNoSpace"/>
            </w:pPr>
          </w:p>
        </w:tc>
        <w:tc>
          <w:tcPr>
            <w:tcW w:w="178" w:type="pct"/>
            <w:shd w:val="clear" w:color="auto" w:fill="EAF1DD" w:themeFill="accent3" w:themeFillTint="33"/>
          </w:tcPr>
          <w:p w14:paraId="5037FD77" w14:textId="77777777" w:rsidR="000005F4" w:rsidRDefault="000005F4" w:rsidP="000005F4">
            <w:pPr>
              <w:pStyle w:val="TableTextNoSpace"/>
            </w:pPr>
          </w:p>
        </w:tc>
        <w:tc>
          <w:tcPr>
            <w:tcW w:w="178" w:type="pct"/>
            <w:shd w:val="clear" w:color="auto" w:fill="EAF1DD" w:themeFill="accent3" w:themeFillTint="33"/>
          </w:tcPr>
          <w:p w14:paraId="0F0397C6" w14:textId="77777777" w:rsidR="000005F4" w:rsidRDefault="000005F4" w:rsidP="000005F4">
            <w:pPr>
              <w:pStyle w:val="TableTextNoSpace"/>
            </w:pPr>
          </w:p>
        </w:tc>
        <w:tc>
          <w:tcPr>
            <w:tcW w:w="178" w:type="pct"/>
            <w:shd w:val="clear" w:color="auto" w:fill="EAF1DD" w:themeFill="accent3" w:themeFillTint="33"/>
          </w:tcPr>
          <w:p w14:paraId="17E23CBB" w14:textId="77777777" w:rsidR="000005F4" w:rsidRDefault="000005F4" w:rsidP="000005F4">
            <w:pPr>
              <w:pStyle w:val="TableTextNoSpace"/>
            </w:pPr>
          </w:p>
        </w:tc>
        <w:tc>
          <w:tcPr>
            <w:tcW w:w="178" w:type="pct"/>
            <w:shd w:val="clear" w:color="auto" w:fill="EAF1DD" w:themeFill="accent3" w:themeFillTint="33"/>
          </w:tcPr>
          <w:p w14:paraId="5D409571" w14:textId="77777777" w:rsidR="000005F4" w:rsidRDefault="000005F4" w:rsidP="000005F4">
            <w:pPr>
              <w:pStyle w:val="TableTextNoSpace"/>
            </w:pPr>
          </w:p>
        </w:tc>
        <w:tc>
          <w:tcPr>
            <w:tcW w:w="178" w:type="pct"/>
            <w:shd w:val="clear" w:color="auto" w:fill="EAF1DD" w:themeFill="accent3" w:themeFillTint="33"/>
          </w:tcPr>
          <w:p w14:paraId="11B20325" w14:textId="77777777" w:rsidR="000005F4" w:rsidRDefault="000005F4" w:rsidP="000005F4">
            <w:pPr>
              <w:pStyle w:val="TableTextNoSpace"/>
            </w:pPr>
          </w:p>
        </w:tc>
        <w:tc>
          <w:tcPr>
            <w:tcW w:w="178" w:type="pct"/>
            <w:shd w:val="clear" w:color="auto" w:fill="EAF1DD" w:themeFill="accent3" w:themeFillTint="33"/>
          </w:tcPr>
          <w:p w14:paraId="752F55EA" w14:textId="77777777" w:rsidR="000005F4" w:rsidRDefault="000005F4" w:rsidP="000005F4">
            <w:pPr>
              <w:pStyle w:val="TableTextNoSpace"/>
            </w:pPr>
          </w:p>
        </w:tc>
        <w:tc>
          <w:tcPr>
            <w:tcW w:w="178" w:type="pct"/>
            <w:shd w:val="clear" w:color="auto" w:fill="EAF1DD" w:themeFill="accent3" w:themeFillTint="33"/>
          </w:tcPr>
          <w:p w14:paraId="33FFEA0B" w14:textId="77777777" w:rsidR="000005F4" w:rsidRDefault="000005F4" w:rsidP="000005F4">
            <w:pPr>
              <w:pStyle w:val="TableTextNoSpace"/>
            </w:pPr>
          </w:p>
        </w:tc>
        <w:tc>
          <w:tcPr>
            <w:tcW w:w="178" w:type="pct"/>
            <w:shd w:val="clear" w:color="auto" w:fill="EAF1DD" w:themeFill="accent3" w:themeFillTint="33"/>
          </w:tcPr>
          <w:p w14:paraId="7BC28188" w14:textId="77777777" w:rsidR="000005F4" w:rsidRDefault="000005F4" w:rsidP="000005F4">
            <w:pPr>
              <w:pStyle w:val="TableTextNoSpace"/>
            </w:pPr>
          </w:p>
        </w:tc>
      </w:tr>
      <w:tr w:rsidR="000005F4" w14:paraId="51AC17D7" w14:textId="77777777" w:rsidTr="000005F4">
        <w:tc>
          <w:tcPr>
            <w:tcW w:w="553" w:type="pct"/>
            <w:shd w:val="clear" w:color="auto" w:fill="EAF1DD" w:themeFill="accent3" w:themeFillTint="33"/>
          </w:tcPr>
          <w:p w14:paraId="6EF7D47B" w14:textId="77777777" w:rsidR="000005F4" w:rsidRPr="004419C4" w:rsidRDefault="000005F4" w:rsidP="000005F4">
            <w:pPr>
              <w:pStyle w:val="TableTextNoSpace"/>
              <w:rPr>
                <w:sz w:val="16"/>
                <w:szCs w:val="16"/>
              </w:rPr>
            </w:pPr>
            <w:r>
              <w:t>Article 30</w:t>
            </w:r>
          </w:p>
        </w:tc>
        <w:tc>
          <w:tcPr>
            <w:tcW w:w="178" w:type="pct"/>
            <w:shd w:val="clear" w:color="auto" w:fill="EAF1DD" w:themeFill="accent3" w:themeFillTint="33"/>
          </w:tcPr>
          <w:p w14:paraId="349F73C9" w14:textId="77777777" w:rsidR="000005F4" w:rsidRDefault="000005F4" w:rsidP="000005F4">
            <w:pPr>
              <w:pStyle w:val="TableTextNoSpace"/>
            </w:pPr>
          </w:p>
        </w:tc>
        <w:tc>
          <w:tcPr>
            <w:tcW w:w="178" w:type="pct"/>
            <w:shd w:val="clear" w:color="auto" w:fill="EAF1DD" w:themeFill="accent3" w:themeFillTint="33"/>
          </w:tcPr>
          <w:p w14:paraId="6429BEA8" w14:textId="77777777" w:rsidR="000005F4" w:rsidRDefault="000005F4" w:rsidP="000005F4">
            <w:pPr>
              <w:pStyle w:val="TableTextNoSpace"/>
            </w:pPr>
          </w:p>
        </w:tc>
        <w:tc>
          <w:tcPr>
            <w:tcW w:w="178" w:type="pct"/>
            <w:shd w:val="clear" w:color="auto" w:fill="EAF1DD" w:themeFill="accent3" w:themeFillTint="33"/>
          </w:tcPr>
          <w:p w14:paraId="30842EAA" w14:textId="77777777" w:rsidR="000005F4" w:rsidRDefault="000005F4" w:rsidP="000005F4">
            <w:pPr>
              <w:pStyle w:val="TableTextNoSpace"/>
            </w:pPr>
          </w:p>
        </w:tc>
        <w:tc>
          <w:tcPr>
            <w:tcW w:w="178" w:type="pct"/>
            <w:shd w:val="clear" w:color="auto" w:fill="EAF1DD" w:themeFill="accent3" w:themeFillTint="33"/>
          </w:tcPr>
          <w:p w14:paraId="59FEFE5B" w14:textId="77777777" w:rsidR="000005F4" w:rsidRDefault="000005F4" w:rsidP="000005F4">
            <w:pPr>
              <w:pStyle w:val="TableTextNoSpace"/>
            </w:pPr>
          </w:p>
        </w:tc>
        <w:tc>
          <w:tcPr>
            <w:tcW w:w="178" w:type="pct"/>
            <w:shd w:val="clear" w:color="auto" w:fill="EAF1DD" w:themeFill="accent3" w:themeFillTint="33"/>
          </w:tcPr>
          <w:p w14:paraId="2670D7A8" w14:textId="77777777" w:rsidR="000005F4" w:rsidRDefault="000005F4" w:rsidP="000005F4">
            <w:pPr>
              <w:pStyle w:val="TableTextNoSpace"/>
            </w:pPr>
          </w:p>
        </w:tc>
        <w:tc>
          <w:tcPr>
            <w:tcW w:w="178" w:type="pct"/>
            <w:shd w:val="clear" w:color="auto" w:fill="EAF1DD" w:themeFill="accent3" w:themeFillTint="33"/>
          </w:tcPr>
          <w:p w14:paraId="520DFF67" w14:textId="77777777" w:rsidR="000005F4" w:rsidRDefault="000005F4" w:rsidP="000005F4">
            <w:pPr>
              <w:pStyle w:val="TableTextNoSpace"/>
            </w:pPr>
          </w:p>
        </w:tc>
        <w:tc>
          <w:tcPr>
            <w:tcW w:w="178" w:type="pct"/>
            <w:shd w:val="clear" w:color="auto" w:fill="EAF1DD" w:themeFill="accent3" w:themeFillTint="33"/>
          </w:tcPr>
          <w:p w14:paraId="7E0BF52C" w14:textId="77777777" w:rsidR="000005F4" w:rsidRDefault="000005F4" w:rsidP="000005F4">
            <w:pPr>
              <w:pStyle w:val="TableTextNoSpace"/>
            </w:pPr>
          </w:p>
        </w:tc>
        <w:tc>
          <w:tcPr>
            <w:tcW w:w="178" w:type="pct"/>
            <w:shd w:val="clear" w:color="auto" w:fill="EAF1DD" w:themeFill="accent3" w:themeFillTint="33"/>
          </w:tcPr>
          <w:p w14:paraId="2BC98243" w14:textId="77777777" w:rsidR="000005F4" w:rsidRDefault="000005F4" w:rsidP="000005F4">
            <w:pPr>
              <w:pStyle w:val="TableTextNoSpace"/>
            </w:pPr>
          </w:p>
        </w:tc>
        <w:tc>
          <w:tcPr>
            <w:tcW w:w="178" w:type="pct"/>
            <w:shd w:val="clear" w:color="auto" w:fill="EAF1DD" w:themeFill="accent3" w:themeFillTint="33"/>
          </w:tcPr>
          <w:p w14:paraId="6C96FFC1" w14:textId="77777777" w:rsidR="000005F4" w:rsidRDefault="000005F4" w:rsidP="000005F4">
            <w:pPr>
              <w:pStyle w:val="TableTextNoSpace"/>
            </w:pPr>
          </w:p>
        </w:tc>
        <w:tc>
          <w:tcPr>
            <w:tcW w:w="178" w:type="pct"/>
            <w:shd w:val="clear" w:color="auto" w:fill="EAF1DD" w:themeFill="accent3" w:themeFillTint="33"/>
          </w:tcPr>
          <w:p w14:paraId="77DE90E3" w14:textId="77777777" w:rsidR="000005F4" w:rsidRDefault="000005F4" w:rsidP="000005F4">
            <w:pPr>
              <w:pStyle w:val="TableTextNoSpace"/>
            </w:pPr>
          </w:p>
        </w:tc>
        <w:tc>
          <w:tcPr>
            <w:tcW w:w="178" w:type="pct"/>
            <w:shd w:val="clear" w:color="auto" w:fill="EAF1DD" w:themeFill="accent3" w:themeFillTint="33"/>
          </w:tcPr>
          <w:p w14:paraId="30694562" w14:textId="77777777" w:rsidR="000005F4" w:rsidRDefault="000005F4" w:rsidP="000005F4">
            <w:pPr>
              <w:pStyle w:val="TableTextNoSpace"/>
            </w:pPr>
          </w:p>
        </w:tc>
        <w:tc>
          <w:tcPr>
            <w:tcW w:w="178" w:type="pct"/>
            <w:shd w:val="clear" w:color="auto" w:fill="EAF1DD" w:themeFill="accent3" w:themeFillTint="33"/>
          </w:tcPr>
          <w:p w14:paraId="51979040" w14:textId="77777777" w:rsidR="000005F4" w:rsidRDefault="000005F4" w:rsidP="000005F4">
            <w:pPr>
              <w:pStyle w:val="TableTextNoSpace"/>
            </w:pPr>
            <w:r>
              <w:t>x</w:t>
            </w:r>
          </w:p>
        </w:tc>
        <w:tc>
          <w:tcPr>
            <w:tcW w:w="178" w:type="pct"/>
            <w:shd w:val="clear" w:color="auto" w:fill="EAF1DD" w:themeFill="accent3" w:themeFillTint="33"/>
          </w:tcPr>
          <w:p w14:paraId="3E85C450" w14:textId="77777777" w:rsidR="000005F4" w:rsidRDefault="000005F4" w:rsidP="000005F4">
            <w:pPr>
              <w:pStyle w:val="TableTextNoSpace"/>
            </w:pPr>
            <w:r>
              <w:t>x</w:t>
            </w:r>
          </w:p>
        </w:tc>
        <w:tc>
          <w:tcPr>
            <w:tcW w:w="178" w:type="pct"/>
            <w:shd w:val="clear" w:color="auto" w:fill="EAF1DD" w:themeFill="accent3" w:themeFillTint="33"/>
          </w:tcPr>
          <w:p w14:paraId="2CC8FB78" w14:textId="77777777" w:rsidR="000005F4" w:rsidRDefault="000005F4" w:rsidP="000005F4">
            <w:pPr>
              <w:pStyle w:val="TableTextNoSpace"/>
            </w:pPr>
          </w:p>
        </w:tc>
        <w:tc>
          <w:tcPr>
            <w:tcW w:w="178" w:type="pct"/>
            <w:shd w:val="clear" w:color="auto" w:fill="EAF1DD" w:themeFill="accent3" w:themeFillTint="33"/>
          </w:tcPr>
          <w:p w14:paraId="3563EC3B" w14:textId="77777777" w:rsidR="000005F4" w:rsidRDefault="000005F4" w:rsidP="000005F4">
            <w:pPr>
              <w:pStyle w:val="TableTextNoSpace"/>
            </w:pPr>
            <w:r>
              <w:t>x</w:t>
            </w:r>
          </w:p>
        </w:tc>
        <w:tc>
          <w:tcPr>
            <w:tcW w:w="178" w:type="pct"/>
            <w:shd w:val="clear" w:color="auto" w:fill="EAF1DD" w:themeFill="accent3" w:themeFillTint="33"/>
          </w:tcPr>
          <w:p w14:paraId="556A71C4" w14:textId="77777777" w:rsidR="000005F4" w:rsidRDefault="000005F4" w:rsidP="000005F4">
            <w:pPr>
              <w:pStyle w:val="TableTextNoSpace"/>
            </w:pPr>
            <w:r>
              <w:t>x</w:t>
            </w:r>
          </w:p>
        </w:tc>
        <w:tc>
          <w:tcPr>
            <w:tcW w:w="178" w:type="pct"/>
            <w:shd w:val="clear" w:color="auto" w:fill="EAF1DD" w:themeFill="accent3" w:themeFillTint="33"/>
          </w:tcPr>
          <w:p w14:paraId="6F9B6057" w14:textId="77777777" w:rsidR="000005F4" w:rsidRDefault="000005F4" w:rsidP="000005F4">
            <w:pPr>
              <w:pStyle w:val="TableTextNoSpace"/>
            </w:pPr>
          </w:p>
        </w:tc>
        <w:tc>
          <w:tcPr>
            <w:tcW w:w="178" w:type="pct"/>
            <w:shd w:val="clear" w:color="auto" w:fill="EAF1DD" w:themeFill="accent3" w:themeFillTint="33"/>
          </w:tcPr>
          <w:p w14:paraId="36CBD847" w14:textId="77777777" w:rsidR="000005F4" w:rsidRDefault="000005F4" w:rsidP="000005F4">
            <w:pPr>
              <w:pStyle w:val="TableTextNoSpace"/>
            </w:pPr>
            <w:r>
              <w:t>x</w:t>
            </w:r>
          </w:p>
        </w:tc>
        <w:tc>
          <w:tcPr>
            <w:tcW w:w="178" w:type="pct"/>
            <w:shd w:val="clear" w:color="auto" w:fill="EAF1DD" w:themeFill="accent3" w:themeFillTint="33"/>
          </w:tcPr>
          <w:p w14:paraId="4534DA35" w14:textId="77777777" w:rsidR="000005F4" w:rsidRDefault="000005F4" w:rsidP="000005F4">
            <w:pPr>
              <w:pStyle w:val="TableTextNoSpace"/>
            </w:pPr>
          </w:p>
        </w:tc>
        <w:tc>
          <w:tcPr>
            <w:tcW w:w="178" w:type="pct"/>
            <w:shd w:val="clear" w:color="auto" w:fill="EAF1DD" w:themeFill="accent3" w:themeFillTint="33"/>
          </w:tcPr>
          <w:p w14:paraId="17A408DC" w14:textId="77777777" w:rsidR="000005F4" w:rsidRDefault="000005F4" w:rsidP="000005F4">
            <w:pPr>
              <w:pStyle w:val="TableTextNoSpace"/>
            </w:pPr>
          </w:p>
        </w:tc>
        <w:tc>
          <w:tcPr>
            <w:tcW w:w="178" w:type="pct"/>
            <w:shd w:val="clear" w:color="auto" w:fill="EAF1DD" w:themeFill="accent3" w:themeFillTint="33"/>
          </w:tcPr>
          <w:p w14:paraId="0AF49F17" w14:textId="77777777" w:rsidR="000005F4" w:rsidRDefault="000005F4" w:rsidP="000005F4">
            <w:pPr>
              <w:pStyle w:val="TableTextNoSpace"/>
            </w:pPr>
          </w:p>
        </w:tc>
        <w:tc>
          <w:tcPr>
            <w:tcW w:w="178" w:type="pct"/>
            <w:shd w:val="clear" w:color="auto" w:fill="EAF1DD" w:themeFill="accent3" w:themeFillTint="33"/>
          </w:tcPr>
          <w:p w14:paraId="6587ED8D" w14:textId="77777777" w:rsidR="000005F4" w:rsidRDefault="000005F4" w:rsidP="000005F4">
            <w:pPr>
              <w:pStyle w:val="TableTextNoSpace"/>
            </w:pPr>
          </w:p>
        </w:tc>
        <w:tc>
          <w:tcPr>
            <w:tcW w:w="178" w:type="pct"/>
            <w:shd w:val="clear" w:color="auto" w:fill="EAF1DD" w:themeFill="accent3" w:themeFillTint="33"/>
          </w:tcPr>
          <w:p w14:paraId="2AB11CE8" w14:textId="77777777" w:rsidR="000005F4" w:rsidRDefault="000005F4" w:rsidP="000005F4">
            <w:pPr>
              <w:pStyle w:val="TableTextNoSpace"/>
            </w:pPr>
          </w:p>
        </w:tc>
        <w:tc>
          <w:tcPr>
            <w:tcW w:w="178" w:type="pct"/>
            <w:shd w:val="clear" w:color="auto" w:fill="EAF1DD" w:themeFill="accent3" w:themeFillTint="33"/>
          </w:tcPr>
          <w:p w14:paraId="67AEAC39" w14:textId="77777777" w:rsidR="000005F4" w:rsidRDefault="000005F4" w:rsidP="000005F4">
            <w:pPr>
              <w:pStyle w:val="TableTextNoSpace"/>
            </w:pPr>
          </w:p>
        </w:tc>
        <w:tc>
          <w:tcPr>
            <w:tcW w:w="178" w:type="pct"/>
            <w:shd w:val="clear" w:color="auto" w:fill="EAF1DD" w:themeFill="accent3" w:themeFillTint="33"/>
          </w:tcPr>
          <w:p w14:paraId="3311EC89" w14:textId="77777777" w:rsidR="000005F4" w:rsidRDefault="000005F4" w:rsidP="000005F4">
            <w:pPr>
              <w:pStyle w:val="TableTextNoSpace"/>
            </w:pPr>
          </w:p>
        </w:tc>
      </w:tr>
      <w:tr w:rsidR="000005F4" w14:paraId="4C851FBD" w14:textId="77777777" w:rsidTr="000005F4">
        <w:tc>
          <w:tcPr>
            <w:tcW w:w="553" w:type="pct"/>
            <w:shd w:val="clear" w:color="auto" w:fill="EAF1DD" w:themeFill="accent3" w:themeFillTint="33"/>
          </w:tcPr>
          <w:p w14:paraId="521B654D" w14:textId="77777777" w:rsidR="000005F4" w:rsidRPr="004419C4" w:rsidRDefault="000005F4" w:rsidP="000005F4">
            <w:pPr>
              <w:pStyle w:val="TableTextNoSpace"/>
              <w:rPr>
                <w:sz w:val="16"/>
                <w:szCs w:val="16"/>
              </w:rPr>
            </w:pPr>
            <w:r>
              <w:t>Article 31</w:t>
            </w:r>
          </w:p>
        </w:tc>
        <w:tc>
          <w:tcPr>
            <w:tcW w:w="178" w:type="pct"/>
            <w:shd w:val="clear" w:color="auto" w:fill="EAF1DD" w:themeFill="accent3" w:themeFillTint="33"/>
          </w:tcPr>
          <w:p w14:paraId="000A1EC8" w14:textId="77777777" w:rsidR="000005F4" w:rsidRDefault="000005F4" w:rsidP="000005F4">
            <w:pPr>
              <w:pStyle w:val="TableTextNoSpace"/>
            </w:pPr>
          </w:p>
        </w:tc>
        <w:tc>
          <w:tcPr>
            <w:tcW w:w="178" w:type="pct"/>
            <w:shd w:val="clear" w:color="auto" w:fill="EAF1DD" w:themeFill="accent3" w:themeFillTint="33"/>
          </w:tcPr>
          <w:p w14:paraId="1F4B9009" w14:textId="77777777" w:rsidR="000005F4" w:rsidRDefault="000005F4" w:rsidP="000005F4">
            <w:pPr>
              <w:pStyle w:val="TableTextNoSpace"/>
            </w:pPr>
          </w:p>
        </w:tc>
        <w:tc>
          <w:tcPr>
            <w:tcW w:w="178" w:type="pct"/>
            <w:shd w:val="clear" w:color="auto" w:fill="EAF1DD" w:themeFill="accent3" w:themeFillTint="33"/>
          </w:tcPr>
          <w:p w14:paraId="30E177A6" w14:textId="77777777" w:rsidR="000005F4" w:rsidRDefault="000005F4" w:rsidP="000005F4">
            <w:pPr>
              <w:pStyle w:val="TableTextNoSpace"/>
            </w:pPr>
          </w:p>
        </w:tc>
        <w:tc>
          <w:tcPr>
            <w:tcW w:w="178" w:type="pct"/>
            <w:shd w:val="clear" w:color="auto" w:fill="EAF1DD" w:themeFill="accent3" w:themeFillTint="33"/>
          </w:tcPr>
          <w:p w14:paraId="54B7DC44" w14:textId="77777777" w:rsidR="000005F4" w:rsidRDefault="000005F4" w:rsidP="000005F4">
            <w:pPr>
              <w:pStyle w:val="TableTextNoSpace"/>
            </w:pPr>
          </w:p>
        </w:tc>
        <w:tc>
          <w:tcPr>
            <w:tcW w:w="178" w:type="pct"/>
            <w:shd w:val="clear" w:color="auto" w:fill="EAF1DD" w:themeFill="accent3" w:themeFillTint="33"/>
          </w:tcPr>
          <w:p w14:paraId="2C8A090D" w14:textId="77777777" w:rsidR="000005F4" w:rsidRDefault="000005F4" w:rsidP="000005F4">
            <w:pPr>
              <w:pStyle w:val="TableTextNoSpace"/>
            </w:pPr>
          </w:p>
        </w:tc>
        <w:tc>
          <w:tcPr>
            <w:tcW w:w="178" w:type="pct"/>
            <w:shd w:val="clear" w:color="auto" w:fill="EAF1DD" w:themeFill="accent3" w:themeFillTint="33"/>
          </w:tcPr>
          <w:p w14:paraId="468A0439" w14:textId="77777777" w:rsidR="000005F4" w:rsidRDefault="000005F4" w:rsidP="000005F4">
            <w:pPr>
              <w:pStyle w:val="TableTextNoSpace"/>
            </w:pPr>
          </w:p>
        </w:tc>
        <w:tc>
          <w:tcPr>
            <w:tcW w:w="178" w:type="pct"/>
            <w:shd w:val="clear" w:color="auto" w:fill="EAF1DD" w:themeFill="accent3" w:themeFillTint="33"/>
          </w:tcPr>
          <w:p w14:paraId="37D0EA01" w14:textId="77777777" w:rsidR="000005F4" w:rsidRDefault="000005F4" w:rsidP="000005F4">
            <w:pPr>
              <w:pStyle w:val="TableTextNoSpace"/>
            </w:pPr>
          </w:p>
        </w:tc>
        <w:tc>
          <w:tcPr>
            <w:tcW w:w="178" w:type="pct"/>
            <w:shd w:val="clear" w:color="auto" w:fill="EAF1DD" w:themeFill="accent3" w:themeFillTint="33"/>
          </w:tcPr>
          <w:p w14:paraId="64AE0665" w14:textId="77777777" w:rsidR="000005F4" w:rsidRDefault="000005F4" w:rsidP="000005F4">
            <w:pPr>
              <w:pStyle w:val="TableTextNoSpace"/>
            </w:pPr>
          </w:p>
        </w:tc>
        <w:tc>
          <w:tcPr>
            <w:tcW w:w="178" w:type="pct"/>
            <w:shd w:val="clear" w:color="auto" w:fill="EAF1DD" w:themeFill="accent3" w:themeFillTint="33"/>
          </w:tcPr>
          <w:p w14:paraId="03384F53" w14:textId="77777777" w:rsidR="000005F4" w:rsidRDefault="000005F4" w:rsidP="000005F4">
            <w:pPr>
              <w:pStyle w:val="TableTextNoSpace"/>
            </w:pPr>
          </w:p>
        </w:tc>
        <w:tc>
          <w:tcPr>
            <w:tcW w:w="178" w:type="pct"/>
            <w:shd w:val="clear" w:color="auto" w:fill="EAF1DD" w:themeFill="accent3" w:themeFillTint="33"/>
          </w:tcPr>
          <w:p w14:paraId="2247D595" w14:textId="77777777" w:rsidR="000005F4" w:rsidRDefault="000005F4" w:rsidP="000005F4">
            <w:pPr>
              <w:pStyle w:val="TableTextNoSpace"/>
            </w:pPr>
          </w:p>
        </w:tc>
        <w:tc>
          <w:tcPr>
            <w:tcW w:w="178" w:type="pct"/>
            <w:shd w:val="clear" w:color="auto" w:fill="EAF1DD" w:themeFill="accent3" w:themeFillTint="33"/>
          </w:tcPr>
          <w:p w14:paraId="38D971F9" w14:textId="77777777" w:rsidR="000005F4" w:rsidRDefault="000005F4" w:rsidP="000005F4">
            <w:pPr>
              <w:pStyle w:val="TableTextNoSpace"/>
            </w:pPr>
          </w:p>
        </w:tc>
        <w:tc>
          <w:tcPr>
            <w:tcW w:w="178" w:type="pct"/>
            <w:shd w:val="clear" w:color="auto" w:fill="EAF1DD" w:themeFill="accent3" w:themeFillTint="33"/>
          </w:tcPr>
          <w:p w14:paraId="08F63AD2" w14:textId="77777777" w:rsidR="000005F4" w:rsidRDefault="000005F4" w:rsidP="000005F4">
            <w:pPr>
              <w:pStyle w:val="TableTextNoSpace"/>
            </w:pPr>
            <w:r>
              <w:t>x</w:t>
            </w:r>
          </w:p>
        </w:tc>
        <w:tc>
          <w:tcPr>
            <w:tcW w:w="178" w:type="pct"/>
            <w:shd w:val="clear" w:color="auto" w:fill="EAF1DD" w:themeFill="accent3" w:themeFillTint="33"/>
          </w:tcPr>
          <w:p w14:paraId="693B4A33" w14:textId="77777777" w:rsidR="000005F4" w:rsidRDefault="000005F4" w:rsidP="000005F4">
            <w:pPr>
              <w:pStyle w:val="TableTextNoSpace"/>
            </w:pPr>
            <w:r>
              <w:t>x</w:t>
            </w:r>
          </w:p>
        </w:tc>
        <w:tc>
          <w:tcPr>
            <w:tcW w:w="178" w:type="pct"/>
            <w:shd w:val="clear" w:color="auto" w:fill="EAF1DD" w:themeFill="accent3" w:themeFillTint="33"/>
          </w:tcPr>
          <w:p w14:paraId="229A8469" w14:textId="77777777" w:rsidR="000005F4" w:rsidRDefault="000005F4" w:rsidP="000005F4">
            <w:pPr>
              <w:pStyle w:val="TableTextNoSpace"/>
            </w:pPr>
          </w:p>
        </w:tc>
        <w:tc>
          <w:tcPr>
            <w:tcW w:w="178" w:type="pct"/>
            <w:shd w:val="clear" w:color="auto" w:fill="EAF1DD" w:themeFill="accent3" w:themeFillTint="33"/>
          </w:tcPr>
          <w:p w14:paraId="1CD6699E" w14:textId="77777777" w:rsidR="000005F4" w:rsidRDefault="000005F4" w:rsidP="000005F4">
            <w:pPr>
              <w:pStyle w:val="TableTextNoSpace"/>
            </w:pPr>
            <w:r>
              <w:t>x</w:t>
            </w:r>
          </w:p>
        </w:tc>
        <w:tc>
          <w:tcPr>
            <w:tcW w:w="178" w:type="pct"/>
            <w:shd w:val="clear" w:color="auto" w:fill="EAF1DD" w:themeFill="accent3" w:themeFillTint="33"/>
          </w:tcPr>
          <w:p w14:paraId="689E9216" w14:textId="77777777" w:rsidR="000005F4" w:rsidRDefault="000005F4" w:rsidP="000005F4">
            <w:pPr>
              <w:pStyle w:val="TableTextNoSpace"/>
            </w:pPr>
          </w:p>
        </w:tc>
        <w:tc>
          <w:tcPr>
            <w:tcW w:w="178" w:type="pct"/>
            <w:shd w:val="clear" w:color="auto" w:fill="EAF1DD" w:themeFill="accent3" w:themeFillTint="33"/>
          </w:tcPr>
          <w:p w14:paraId="26573EF8" w14:textId="77777777" w:rsidR="000005F4" w:rsidRDefault="000005F4" w:rsidP="000005F4">
            <w:pPr>
              <w:pStyle w:val="TableTextNoSpace"/>
            </w:pPr>
            <w:r>
              <w:t>x</w:t>
            </w:r>
          </w:p>
        </w:tc>
        <w:tc>
          <w:tcPr>
            <w:tcW w:w="178" w:type="pct"/>
            <w:shd w:val="clear" w:color="auto" w:fill="EAF1DD" w:themeFill="accent3" w:themeFillTint="33"/>
          </w:tcPr>
          <w:p w14:paraId="7C1775EC" w14:textId="77777777" w:rsidR="000005F4" w:rsidRDefault="000005F4" w:rsidP="000005F4">
            <w:pPr>
              <w:pStyle w:val="TableTextNoSpace"/>
            </w:pPr>
            <w:r>
              <w:t>x</w:t>
            </w:r>
          </w:p>
        </w:tc>
        <w:tc>
          <w:tcPr>
            <w:tcW w:w="178" w:type="pct"/>
            <w:shd w:val="clear" w:color="auto" w:fill="EAF1DD" w:themeFill="accent3" w:themeFillTint="33"/>
          </w:tcPr>
          <w:p w14:paraId="2B13EA07" w14:textId="77777777" w:rsidR="000005F4" w:rsidRDefault="000005F4" w:rsidP="000005F4">
            <w:pPr>
              <w:pStyle w:val="TableTextNoSpace"/>
            </w:pPr>
          </w:p>
        </w:tc>
        <w:tc>
          <w:tcPr>
            <w:tcW w:w="178" w:type="pct"/>
            <w:shd w:val="clear" w:color="auto" w:fill="EAF1DD" w:themeFill="accent3" w:themeFillTint="33"/>
          </w:tcPr>
          <w:p w14:paraId="3605DBCC" w14:textId="77777777" w:rsidR="000005F4" w:rsidRDefault="000005F4" w:rsidP="000005F4">
            <w:pPr>
              <w:pStyle w:val="TableTextNoSpace"/>
            </w:pPr>
          </w:p>
        </w:tc>
        <w:tc>
          <w:tcPr>
            <w:tcW w:w="178" w:type="pct"/>
            <w:shd w:val="clear" w:color="auto" w:fill="EAF1DD" w:themeFill="accent3" w:themeFillTint="33"/>
          </w:tcPr>
          <w:p w14:paraId="19CDDF01" w14:textId="77777777" w:rsidR="000005F4" w:rsidRDefault="000005F4" w:rsidP="000005F4">
            <w:pPr>
              <w:pStyle w:val="TableTextNoSpace"/>
            </w:pPr>
          </w:p>
        </w:tc>
        <w:tc>
          <w:tcPr>
            <w:tcW w:w="178" w:type="pct"/>
            <w:shd w:val="clear" w:color="auto" w:fill="EAF1DD" w:themeFill="accent3" w:themeFillTint="33"/>
          </w:tcPr>
          <w:p w14:paraId="09F0DE31" w14:textId="77777777" w:rsidR="000005F4" w:rsidRDefault="000005F4" w:rsidP="000005F4">
            <w:pPr>
              <w:pStyle w:val="TableTextNoSpace"/>
            </w:pPr>
          </w:p>
        </w:tc>
        <w:tc>
          <w:tcPr>
            <w:tcW w:w="178" w:type="pct"/>
            <w:shd w:val="clear" w:color="auto" w:fill="EAF1DD" w:themeFill="accent3" w:themeFillTint="33"/>
          </w:tcPr>
          <w:p w14:paraId="7888B372" w14:textId="77777777" w:rsidR="000005F4" w:rsidRDefault="000005F4" w:rsidP="000005F4">
            <w:pPr>
              <w:pStyle w:val="TableTextNoSpace"/>
            </w:pPr>
          </w:p>
        </w:tc>
        <w:tc>
          <w:tcPr>
            <w:tcW w:w="178" w:type="pct"/>
            <w:shd w:val="clear" w:color="auto" w:fill="EAF1DD" w:themeFill="accent3" w:themeFillTint="33"/>
          </w:tcPr>
          <w:p w14:paraId="2F591EB7" w14:textId="77777777" w:rsidR="000005F4" w:rsidRDefault="000005F4" w:rsidP="000005F4">
            <w:pPr>
              <w:pStyle w:val="TableTextNoSpace"/>
            </w:pPr>
          </w:p>
        </w:tc>
        <w:tc>
          <w:tcPr>
            <w:tcW w:w="178" w:type="pct"/>
            <w:shd w:val="clear" w:color="auto" w:fill="EAF1DD" w:themeFill="accent3" w:themeFillTint="33"/>
          </w:tcPr>
          <w:p w14:paraId="08FC2787" w14:textId="77777777" w:rsidR="000005F4" w:rsidRDefault="000005F4" w:rsidP="000005F4">
            <w:pPr>
              <w:pStyle w:val="TableTextNoSpace"/>
            </w:pPr>
          </w:p>
        </w:tc>
      </w:tr>
      <w:tr w:rsidR="000005F4" w14:paraId="17ABDD85" w14:textId="77777777" w:rsidTr="000005F4">
        <w:tc>
          <w:tcPr>
            <w:tcW w:w="553" w:type="pct"/>
            <w:shd w:val="clear" w:color="auto" w:fill="EAF1DD" w:themeFill="accent3" w:themeFillTint="33"/>
          </w:tcPr>
          <w:p w14:paraId="2A1F6A42" w14:textId="77777777" w:rsidR="000005F4" w:rsidRPr="004419C4" w:rsidRDefault="000005F4" w:rsidP="000005F4">
            <w:pPr>
              <w:pStyle w:val="TableTextNoSpace"/>
              <w:rPr>
                <w:sz w:val="16"/>
                <w:szCs w:val="16"/>
              </w:rPr>
            </w:pPr>
            <w:r>
              <w:t>Article 34</w:t>
            </w:r>
          </w:p>
        </w:tc>
        <w:tc>
          <w:tcPr>
            <w:tcW w:w="178" w:type="pct"/>
            <w:shd w:val="clear" w:color="auto" w:fill="EAF1DD" w:themeFill="accent3" w:themeFillTint="33"/>
          </w:tcPr>
          <w:p w14:paraId="123C1C3A" w14:textId="77777777" w:rsidR="000005F4" w:rsidRDefault="000005F4" w:rsidP="000005F4">
            <w:pPr>
              <w:pStyle w:val="TableTextNoSpace"/>
            </w:pPr>
          </w:p>
        </w:tc>
        <w:tc>
          <w:tcPr>
            <w:tcW w:w="178" w:type="pct"/>
            <w:shd w:val="clear" w:color="auto" w:fill="EAF1DD" w:themeFill="accent3" w:themeFillTint="33"/>
          </w:tcPr>
          <w:p w14:paraId="2713A407" w14:textId="77777777" w:rsidR="000005F4" w:rsidRDefault="000005F4" w:rsidP="000005F4">
            <w:pPr>
              <w:pStyle w:val="TableTextNoSpace"/>
            </w:pPr>
          </w:p>
        </w:tc>
        <w:tc>
          <w:tcPr>
            <w:tcW w:w="178" w:type="pct"/>
            <w:shd w:val="clear" w:color="auto" w:fill="EAF1DD" w:themeFill="accent3" w:themeFillTint="33"/>
          </w:tcPr>
          <w:p w14:paraId="37887AE8" w14:textId="77777777" w:rsidR="000005F4" w:rsidRDefault="000005F4" w:rsidP="000005F4">
            <w:pPr>
              <w:pStyle w:val="TableTextNoSpace"/>
            </w:pPr>
          </w:p>
        </w:tc>
        <w:tc>
          <w:tcPr>
            <w:tcW w:w="178" w:type="pct"/>
            <w:shd w:val="clear" w:color="auto" w:fill="EAF1DD" w:themeFill="accent3" w:themeFillTint="33"/>
          </w:tcPr>
          <w:p w14:paraId="09DFF25F" w14:textId="77777777" w:rsidR="000005F4" w:rsidRDefault="000005F4" w:rsidP="000005F4">
            <w:pPr>
              <w:pStyle w:val="TableTextNoSpace"/>
            </w:pPr>
          </w:p>
        </w:tc>
        <w:tc>
          <w:tcPr>
            <w:tcW w:w="178" w:type="pct"/>
            <w:shd w:val="clear" w:color="auto" w:fill="EAF1DD" w:themeFill="accent3" w:themeFillTint="33"/>
          </w:tcPr>
          <w:p w14:paraId="6F61E30D" w14:textId="77777777" w:rsidR="000005F4" w:rsidRDefault="000005F4" w:rsidP="000005F4">
            <w:pPr>
              <w:pStyle w:val="TableTextNoSpace"/>
            </w:pPr>
          </w:p>
        </w:tc>
        <w:tc>
          <w:tcPr>
            <w:tcW w:w="178" w:type="pct"/>
            <w:shd w:val="clear" w:color="auto" w:fill="EAF1DD" w:themeFill="accent3" w:themeFillTint="33"/>
          </w:tcPr>
          <w:p w14:paraId="195060F0" w14:textId="77777777" w:rsidR="000005F4" w:rsidRDefault="000005F4" w:rsidP="000005F4">
            <w:pPr>
              <w:pStyle w:val="TableTextNoSpace"/>
            </w:pPr>
          </w:p>
        </w:tc>
        <w:tc>
          <w:tcPr>
            <w:tcW w:w="178" w:type="pct"/>
            <w:shd w:val="clear" w:color="auto" w:fill="EAF1DD" w:themeFill="accent3" w:themeFillTint="33"/>
          </w:tcPr>
          <w:p w14:paraId="3BA38A5D" w14:textId="77777777" w:rsidR="000005F4" w:rsidRDefault="000005F4" w:rsidP="000005F4">
            <w:pPr>
              <w:pStyle w:val="TableTextNoSpace"/>
            </w:pPr>
          </w:p>
        </w:tc>
        <w:tc>
          <w:tcPr>
            <w:tcW w:w="178" w:type="pct"/>
            <w:shd w:val="clear" w:color="auto" w:fill="EAF1DD" w:themeFill="accent3" w:themeFillTint="33"/>
          </w:tcPr>
          <w:p w14:paraId="0BFFEDF3" w14:textId="77777777" w:rsidR="000005F4" w:rsidRDefault="000005F4" w:rsidP="000005F4">
            <w:pPr>
              <w:pStyle w:val="TableTextNoSpace"/>
            </w:pPr>
          </w:p>
        </w:tc>
        <w:tc>
          <w:tcPr>
            <w:tcW w:w="178" w:type="pct"/>
            <w:shd w:val="clear" w:color="auto" w:fill="EAF1DD" w:themeFill="accent3" w:themeFillTint="33"/>
          </w:tcPr>
          <w:p w14:paraId="745846C9" w14:textId="77777777" w:rsidR="000005F4" w:rsidRDefault="000005F4" w:rsidP="000005F4">
            <w:pPr>
              <w:pStyle w:val="TableTextNoSpace"/>
            </w:pPr>
          </w:p>
        </w:tc>
        <w:tc>
          <w:tcPr>
            <w:tcW w:w="178" w:type="pct"/>
            <w:shd w:val="clear" w:color="auto" w:fill="EAF1DD" w:themeFill="accent3" w:themeFillTint="33"/>
          </w:tcPr>
          <w:p w14:paraId="79A0801B" w14:textId="77777777" w:rsidR="000005F4" w:rsidRDefault="000005F4" w:rsidP="000005F4">
            <w:pPr>
              <w:pStyle w:val="TableTextNoSpace"/>
            </w:pPr>
          </w:p>
        </w:tc>
        <w:tc>
          <w:tcPr>
            <w:tcW w:w="178" w:type="pct"/>
            <w:shd w:val="clear" w:color="auto" w:fill="EAF1DD" w:themeFill="accent3" w:themeFillTint="33"/>
          </w:tcPr>
          <w:p w14:paraId="1D5F8C03" w14:textId="77777777" w:rsidR="000005F4" w:rsidRDefault="000005F4" w:rsidP="000005F4">
            <w:pPr>
              <w:pStyle w:val="TableTextNoSpace"/>
            </w:pPr>
          </w:p>
        </w:tc>
        <w:tc>
          <w:tcPr>
            <w:tcW w:w="178" w:type="pct"/>
            <w:shd w:val="clear" w:color="auto" w:fill="EAF1DD" w:themeFill="accent3" w:themeFillTint="33"/>
          </w:tcPr>
          <w:p w14:paraId="758B20D5" w14:textId="77777777" w:rsidR="000005F4" w:rsidRDefault="000005F4" w:rsidP="000005F4">
            <w:pPr>
              <w:pStyle w:val="TableTextNoSpace"/>
            </w:pPr>
            <w:r>
              <w:t>x</w:t>
            </w:r>
          </w:p>
        </w:tc>
        <w:tc>
          <w:tcPr>
            <w:tcW w:w="178" w:type="pct"/>
            <w:shd w:val="clear" w:color="auto" w:fill="EAF1DD" w:themeFill="accent3" w:themeFillTint="33"/>
          </w:tcPr>
          <w:p w14:paraId="75779219" w14:textId="77777777" w:rsidR="000005F4" w:rsidRDefault="000005F4" w:rsidP="000005F4">
            <w:pPr>
              <w:pStyle w:val="TableTextNoSpace"/>
            </w:pPr>
            <w:r>
              <w:t>x</w:t>
            </w:r>
          </w:p>
        </w:tc>
        <w:tc>
          <w:tcPr>
            <w:tcW w:w="178" w:type="pct"/>
            <w:shd w:val="clear" w:color="auto" w:fill="EAF1DD" w:themeFill="accent3" w:themeFillTint="33"/>
          </w:tcPr>
          <w:p w14:paraId="072CB9B4" w14:textId="77777777" w:rsidR="000005F4" w:rsidRDefault="000005F4" w:rsidP="000005F4">
            <w:pPr>
              <w:pStyle w:val="TableTextNoSpace"/>
            </w:pPr>
            <w:r>
              <w:t>x</w:t>
            </w:r>
          </w:p>
        </w:tc>
        <w:tc>
          <w:tcPr>
            <w:tcW w:w="178" w:type="pct"/>
            <w:shd w:val="clear" w:color="auto" w:fill="EAF1DD" w:themeFill="accent3" w:themeFillTint="33"/>
          </w:tcPr>
          <w:p w14:paraId="59DCE22A" w14:textId="77777777" w:rsidR="000005F4" w:rsidRDefault="000005F4" w:rsidP="000005F4">
            <w:pPr>
              <w:pStyle w:val="TableTextNoSpace"/>
            </w:pPr>
            <w:r>
              <w:t>x</w:t>
            </w:r>
          </w:p>
        </w:tc>
        <w:tc>
          <w:tcPr>
            <w:tcW w:w="178" w:type="pct"/>
            <w:shd w:val="clear" w:color="auto" w:fill="EAF1DD" w:themeFill="accent3" w:themeFillTint="33"/>
          </w:tcPr>
          <w:p w14:paraId="09DD52CE" w14:textId="77777777" w:rsidR="000005F4" w:rsidRDefault="000005F4" w:rsidP="000005F4">
            <w:pPr>
              <w:pStyle w:val="TableTextNoSpace"/>
            </w:pPr>
            <w:r>
              <w:t>x</w:t>
            </w:r>
          </w:p>
        </w:tc>
        <w:tc>
          <w:tcPr>
            <w:tcW w:w="178" w:type="pct"/>
            <w:shd w:val="clear" w:color="auto" w:fill="EAF1DD" w:themeFill="accent3" w:themeFillTint="33"/>
          </w:tcPr>
          <w:p w14:paraId="0ABE71BF" w14:textId="77777777" w:rsidR="000005F4" w:rsidRDefault="000005F4" w:rsidP="000005F4">
            <w:pPr>
              <w:pStyle w:val="TableTextNoSpace"/>
            </w:pPr>
            <w:r>
              <w:t>x</w:t>
            </w:r>
          </w:p>
        </w:tc>
        <w:tc>
          <w:tcPr>
            <w:tcW w:w="178" w:type="pct"/>
            <w:shd w:val="clear" w:color="auto" w:fill="EAF1DD" w:themeFill="accent3" w:themeFillTint="33"/>
          </w:tcPr>
          <w:p w14:paraId="471E55BF" w14:textId="77777777" w:rsidR="000005F4" w:rsidRDefault="000005F4" w:rsidP="000005F4">
            <w:pPr>
              <w:pStyle w:val="TableTextNoSpace"/>
            </w:pPr>
            <w:r>
              <w:t>x</w:t>
            </w:r>
          </w:p>
        </w:tc>
        <w:tc>
          <w:tcPr>
            <w:tcW w:w="178" w:type="pct"/>
            <w:shd w:val="clear" w:color="auto" w:fill="EAF1DD" w:themeFill="accent3" w:themeFillTint="33"/>
          </w:tcPr>
          <w:p w14:paraId="71CC646A" w14:textId="77777777" w:rsidR="000005F4" w:rsidRDefault="000005F4" w:rsidP="000005F4">
            <w:pPr>
              <w:pStyle w:val="TableTextNoSpace"/>
            </w:pPr>
          </w:p>
        </w:tc>
        <w:tc>
          <w:tcPr>
            <w:tcW w:w="178" w:type="pct"/>
            <w:shd w:val="clear" w:color="auto" w:fill="EAF1DD" w:themeFill="accent3" w:themeFillTint="33"/>
          </w:tcPr>
          <w:p w14:paraId="49352327" w14:textId="77777777" w:rsidR="000005F4" w:rsidRDefault="000005F4" w:rsidP="000005F4">
            <w:pPr>
              <w:pStyle w:val="TableTextNoSpace"/>
            </w:pPr>
          </w:p>
        </w:tc>
        <w:tc>
          <w:tcPr>
            <w:tcW w:w="178" w:type="pct"/>
            <w:shd w:val="clear" w:color="auto" w:fill="EAF1DD" w:themeFill="accent3" w:themeFillTint="33"/>
          </w:tcPr>
          <w:p w14:paraId="169277B2" w14:textId="77777777" w:rsidR="000005F4" w:rsidRDefault="000005F4" w:rsidP="000005F4">
            <w:pPr>
              <w:pStyle w:val="TableTextNoSpace"/>
            </w:pPr>
          </w:p>
        </w:tc>
        <w:tc>
          <w:tcPr>
            <w:tcW w:w="178" w:type="pct"/>
            <w:shd w:val="clear" w:color="auto" w:fill="EAF1DD" w:themeFill="accent3" w:themeFillTint="33"/>
          </w:tcPr>
          <w:p w14:paraId="0C06AA0E" w14:textId="77777777" w:rsidR="000005F4" w:rsidRDefault="000005F4" w:rsidP="000005F4">
            <w:pPr>
              <w:pStyle w:val="TableTextNoSpace"/>
            </w:pPr>
          </w:p>
        </w:tc>
        <w:tc>
          <w:tcPr>
            <w:tcW w:w="178" w:type="pct"/>
            <w:shd w:val="clear" w:color="auto" w:fill="EAF1DD" w:themeFill="accent3" w:themeFillTint="33"/>
          </w:tcPr>
          <w:p w14:paraId="76B68C03" w14:textId="77777777" w:rsidR="000005F4" w:rsidRDefault="000005F4" w:rsidP="000005F4">
            <w:pPr>
              <w:pStyle w:val="TableTextNoSpace"/>
            </w:pPr>
          </w:p>
        </w:tc>
        <w:tc>
          <w:tcPr>
            <w:tcW w:w="178" w:type="pct"/>
            <w:shd w:val="clear" w:color="auto" w:fill="EAF1DD" w:themeFill="accent3" w:themeFillTint="33"/>
          </w:tcPr>
          <w:p w14:paraId="54264061" w14:textId="77777777" w:rsidR="000005F4" w:rsidRDefault="000005F4" w:rsidP="000005F4">
            <w:pPr>
              <w:pStyle w:val="TableTextNoSpace"/>
            </w:pPr>
          </w:p>
        </w:tc>
        <w:tc>
          <w:tcPr>
            <w:tcW w:w="178" w:type="pct"/>
            <w:shd w:val="clear" w:color="auto" w:fill="EAF1DD" w:themeFill="accent3" w:themeFillTint="33"/>
          </w:tcPr>
          <w:p w14:paraId="5A80BBA7" w14:textId="77777777" w:rsidR="000005F4" w:rsidRDefault="000005F4" w:rsidP="000005F4">
            <w:pPr>
              <w:pStyle w:val="TableTextNoSpace"/>
            </w:pPr>
          </w:p>
        </w:tc>
      </w:tr>
      <w:tr w:rsidR="000005F4" w14:paraId="136AB28C" w14:textId="77777777" w:rsidTr="000005F4">
        <w:tc>
          <w:tcPr>
            <w:tcW w:w="553" w:type="pct"/>
            <w:shd w:val="clear" w:color="auto" w:fill="EAF1DD" w:themeFill="accent3" w:themeFillTint="33"/>
          </w:tcPr>
          <w:p w14:paraId="375E07B7" w14:textId="77777777" w:rsidR="000005F4" w:rsidRPr="004419C4" w:rsidRDefault="000005F4" w:rsidP="000005F4">
            <w:pPr>
              <w:pStyle w:val="TableTextNoSpace"/>
              <w:rPr>
                <w:sz w:val="16"/>
                <w:szCs w:val="16"/>
              </w:rPr>
            </w:pPr>
            <w:r>
              <w:t>Article 35</w:t>
            </w:r>
          </w:p>
        </w:tc>
        <w:tc>
          <w:tcPr>
            <w:tcW w:w="178" w:type="pct"/>
            <w:shd w:val="clear" w:color="auto" w:fill="EAF1DD" w:themeFill="accent3" w:themeFillTint="33"/>
          </w:tcPr>
          <w:p w14:paraId="2D5ACD80" w14:textId="77777777" w:rsidR="000005F4" w:rsidRDefault="000005F4" w:rsidP="000005F4">
            <w:pPr>
              <w:pStyle w:val="TableTextNoSpace"/>
            </w:pPr>
            <w:r>
              <w:t>x</w:t>
            </w:r>
          </w:p>
        </w:tc>
        <w:tc>
          <w:tcPr>
            <w:tcW w:w="178" w:type="pct"/>
            <w:shd w:val="clear" w:color="auto" w:fill="EAF1DD" w:themeFill="accent3" w:themeFillTint="33"/>
          </w:tcPr>
          <w:p w14:paraId="0F8A6F0F" w14:textId="77777777" w:rsidR="000005F4" w:rsidRDefault="000005F4" w:rsidP="000005F4">
            <w:pPr>
              <w:pStyle w:val="TableTextNoSpace"/>
            </w:pPr>
            <w:r>
              <w:t>x</w:t>
            </w:r>
          </w:p>
        </w:tc>
        <w:tc>
          <w:tcPr>
            <w:tcW w:w="178" w:type="pct"/>
            <w:shd w:val="clear" w:color="auto" w:fill="EAF1DD" w:themeFill="accent3" w:themeFillTint="33"/>
          </w:tcPr>
          <w:p w14:paraId="4CD357D5" w14:textId="77777777" w:rsidR="000005F4" w:rsidRDefault="000005F4" w:rsidP="000005F4">
            <w:pPr>
              <w:pStyle w:val="TableTextNoSpace"/>
            </w:pPr>
            <w:r>
              <w:t>x</w:t>
            </w:r>
          </w:p>
        </w:tc>
        <w:tc>
          <w:tcPr>
            <w:tcW w:w="178" w:type="pct"/>
            <w:shd w:val="clear" w:color="auto" w:fill="EAF1DD" w:themeFill="accent3" w:themeFillTint="33"/>
          </w:tcPr>
          <w:p w14:paraId="62DD67DC" w14:textId="77777777" w:rsidR="000005F4" w:rsidRDefault="000005F4" w:rsidP="000005F4">
            <w:pPr>
              <w:pStyle w:val="TableTextNoSpace"/>
            </w:pPr>
            <w:r>
              <w:t>x</w:t>
            </w:r>
          </w:p>
        </w:tc>
        <w:tc>
          <w:tcPr>
            <w:tcW w:w="178" w:type="pct"/>
            <w:shd w:val="clear" w:color="auto" w:fill="EAF1DD" w:themeFill="accent3" w:themeFillTint="33"/>
          </w:tcPr>
          <w:p w14:paraId="62E648D3" w14:textId="77777777" w:rsidR="000005F4" w:rsidRDefault="000005F4" w:rsidP="000005F4">
            <w:pPr>
              <w:pStyle w:val="TableTextNoSpace"/>
            </w:pPr>
            <w:r>
              <w:t>x</w:t>
            </w:r>
          </w:p>
        </w:tc>
        <w:tc>
          <w:tcPr>
            <w:tcW w:w="178" w:type="pct"/>
            <w:shd w:val="clear" w:color="auto" w:fill="EAF1DD" w:themeFill="accent3" w:themeFillTint="33"/>
          </w:tcPr>
          <w:p w14:paraId="3784A1B1" w14:textId="77777777" w:rsidR="000005F4" w:rsidRDefault="000005F4" w:rsidP="000005F4">
            <w:pPr>
              <w:pStyle w:val="TableTextNoSpace"/>
            </w:pPr>
            <w:r>
              <w:t>x</w:t>
            </w:r>
          </w:p>
        </w:tc>
        <w:tc>
          <w:tcPr>
            <w:tcW w:w="178" w:type="pct"/>
            <w:shd w:val="clear" w:color="auto" w:fill="EAF1DD" w:themeFill="accent3" w:themeFillTint="33"/>
          </w:tcPr>
          <w:p w14:paraId="763BD160" w14:textId="77777777" w:rsidR="000005F4" w:rsidRDefault="000005F4" w:rsidP="000005F4">
            <w:pPr>
              <w:pStyle w:val="TableTextNoSpace"/>
            </w:pPr>
          </w:p>
        </w:tc>
        <w:tc>
          <w:tcPr>
            <w:tcW w:w="178" w:type="pct"/>
            <w:shd w:val="clear" w:color="auto" w:fill="EAF1DD" w:themeFill="accent3" w:themeFillTint="33"/>
          </w:tcPr>
          <w:p w14:paraId="6FDC340D" w14:textId="77777777" w:rsidR="000005F4" w:rsidRDefault="000005F4" w:rsidP="000005F4">
            <w:pPr>
              <w:pStyle w:val="TableTextNoSpace"/>
            </w:pPr>
            <w:r>
              <w:t>x</w:t>
            </w:r>
          </w:p>
        </w:tc>
        <w:tc>
          <w:tcPr>
            <w:tcW w:w="178" w:type="pct"/>
            <w:shd w:val="clear" w:color="auto" w:fill="EAF1DD" w:themeFill="accent3" w:themeFillTint="33"/>
          </w:tcPr>
          <w:p w14:paraId="6DC5D161" w14:textId="77777777" w:rsidR="000005F4" w:rsidRDefault="000005F4" w:rsidP="000005F4">
            <w:pPr>
              <w:pStyle w:val="TableTextNoSpace"/>
            </w:pPr>
            <w:r>
              <w:t>x</w:t>
            </w:r>
          </w:p>
        </w:tc>
        <w:tc>
          <w:tcPr>
            <w:tcW w:w="178" w:type="pct"/>
            <w:shd w:val="clear" w:color="auto" w:fill="EAF1DD" w:themeFill="accent3" w:themeFillTint="33"/>
          </w:tcPr>
          <w:p w14:paraId="58FE5D6A" w14:textId="77777777" w:rsidR="000005F4" w:rsidRDefault="000005F4" w:rsidP="000005F4">
            <w:pPr>
              <w:pStyle w:val="TableTextNoSpace"/>
            </w:pPr>
            <w:r>
              <w:t>x</w:t>
            </w:r>
          </w:p>
        </w:tc>
        <w:tc>
          <w:tcPr>
            <w:tcW w:w="178" w:type="pct"/>
            <w:shd w:val="clear" w:color="auto" w:fill="EAF1DD" w:themeFill="accent3" w:themeFillTint="33"/>
          </w:tcPr>
          <w:p w14:paraId="315289FE" w14:textId="77777777" w:rsidR="000005F4" w:rsidRDefault="000005F4" w:rsidP="000005F4">
            <w:pPr>
              <w:pStyle w:val="TableTextNoSpace"/>
            </w:pPr>
            <w:r>
              <w:t>x</w:t>
            </w:r>
          </w:p>
        </w:tc>
        <w:tc>
          <w:tcPr>
            <w:tcW w:w="178" w:type="pct"/>
            <w:shd w:val="clear" w:color="auto" w:fill="EAF1DD" w:themeFill="accent3" w:themeFillTint="33"/>
          </w:tcPr>
          <w:p w14:paraId="4684B0FC" w14:textId="77777777" w:rsidR="000005F4" w:rsidRDefault="000005F4" w:rsidP="000005F4">
            <w:pPr>
              <w:pStyle w:val="TableTextNoSpace"/>
            </w:pPr>
            <w:r>
              <w:t>x</w:t>
            </w:r>
          </w:p>
        </w:tc>
        <w:tc>
          <w:tcPr>
            <w:tcW w:w="178" w:type="pct"/>
            <w:shd w:val="clear" w:color="auto" w:fill="EAF1DD" w:themeFill="accent3" w:themeFillTint="33"/>
          </w:tcPr>
          <w:p w14:paraId="6B8699F9" w14:textId="77777777" w:rsidR="000005F4" w:rsidRDefault="000005F4" w:rsidP="000005F4">
            <w:pPr>
              <w:pStyle w:val="TableTextNoSpace"/>
            </w:pPr>
            <w:r>
              <w:t>x</w:t>
            </w:r>
          </w:p>
        </w:tc>
        <w:tc>
          <w:tcPr>
            <w:tcW w:w="178" w:type="pct"/>
            <w:shd w:val="clear" w:color="auto" w:fill="EAF1DD" w:themeFill="accent3" w:themeFillTint="33"/>
          </w:tcPr>
          <w:p w14:paraId="25CDCAE9" w14:textId="77777777" w:rsidR="000005F4" w:rsidRDefault="000005F4" w:rsidP="000005F4">
            <w:pPr>
              <w:pStyle w:val="TableTextNoSpace"/>
            </w:pPr>
            <w:r>
              <w:t>x</w:t>
            </w:r>
          </w:p>
        </w:tc>
        <w:tc>
          <w:tcPr>
            <w:tcW w:w="178" w:type="pct"/>
            <w:shd w:val="clear" w:color="auto" w:fill="EAF1DD" w:themeFill="accent3" w:themeFillTint="33"/>
          </w:tcPr>
          <w:p w14:paraId="62EE2462" w14:textId="77777777" w:rsidR="000005F4" w:rsidRDefault="000005F4" w:rsidP="000005F4">
            <w:pPr>
              <w:pStyle w:val="TableTextNoSpace"/>
            </w:pPr>
            <w:r>
              <w:t>x</w:t>
            </w:r>
          </w:p>
        </w:tc>
        <w:tc>
          <w:tcPr>
            <w:tcW w:w="178" w:type="pct"/>
            <w:shd w:val="clear" w:color="auto" w:fill="EAF1DD" w:themeFill="accent3" w:themeFillTint="33"/>
          </w:tcPr>
          <w:p w14:paraId="64F6B857" w14:textId="77777777" w:rsidR="000005F4" w:rsidRDefault="000005F4" w:rsidP="000005F4">
            <w:pPr>
              <w:pStyle w:val="TableTextNoSpace"/>
            </w:pPr>
            <w:r>
              <w:t>x</w:t>
            </w:r>
          </w:p>
        </w:tc>
        <w:tc>
          <w:tcPr>
            <w:tcW w:w="178" w:type="pct"/>
            <w:shd w:val="clear" w:color="auto" w:fill="EAF1DD" w:themeFill="accent3" w:themeFillTint="33"/>
          </w:tcPr>
          <w:p w14:paraId="680ABB4B" w14:textId="77777777" w:rsidR="000005F4" w:rsidRDefault="000005F4" w:rsidP="000005F4">
            <w:pPr>
              <w:pStyle w:val="TableTextNoSpace"/>
            </w:pPr>
            <w:r>
              <w:t>x</w:t>
            </w:r>
          </w:p>
        </w:tc>
        <w:tc>
          <w:tcPr>
            <w:tcW w:w="178" w:type="pct"/>
            <w:shd w:val="clear" w:color="auto" w:fill="EAF1DD" w:themeFill="accent3" w:themeFillTint="33"/>
          </w:tcPr>
          <w:p w14:paraId="7EC01657" w14:textId="77777777" w:rsidR="000005F4" w:rsidRDefault="000005F4" w:rsidP="000005F4">
            <w:pPr>
              <w:pStyle w:val="TableTextNoSpace"/>
            </w:pPr>
            <w:r>
              <w:t>x</w:t>
            </w:r>
          </w:p>
        </w:tc>
        <w:tc>
          <w:tcPr>
            <w:tcW w:w="178" w:type="pct"/>
            <w:shd w:val="clear" w:color="auto" w:fill="EAF1DD" w:themeFill="accent3" w:themeFillTint="33"/>
          </w:tcPr>
          <w:p w14:paraId="2A260F9A" w14:textId="77777777" w:rsidR="000005F4" w:rsidRDefault="000005F4" w:rsidP="000005F4">
            <w:pPr>
              <w:pStyle w:val="TableTextNoSpace"/>
            </w:pPr>
          </w:p>
        </w:tc>
        <w:tc>
          <w:tcPr>
            <w:tcW w:w="178" w:type="pct"/>
            <w:shd w:val="clear" w:color="auto" w:fill="EAF1DD" w:themeFill="accent3" w:themeFillTint="33"/>
          </w:tcPr>
          <w:p w14:paraId="11315480" w14:textId="77777777" w:rsidR="000005F4" w:rsidRDefault="000005F4" w:rsidP="000005F4">
            <w:pPr>
              <w:pStyle w:val="TableTextNoSpace"/>
            </w:pPr>
          </w:p>
        </w:tc>
        <w:tc>
          <w:tcPr>
            <w:tcW w:w="178" w:type="pct"/>
            <w:shd w:val="clear" w:color="auto" w:fill="EAF1DD" w:themeFill="accent3" w:themeFillTint="33"/>
          </w:tcPr>
          <w:p w14:paraId="2C8365E7" w14:textId="77777777" w:rsidR="000005F4" w:rsidRDefault="000005F4" w:rsidP="000005F4">
            <w:pPr>
              <w:pStyle w:val="TableTextNoSpace"/>
            </w:pPr>
            <w:r>
              <w:t>x</w:t>
            </w:r>
          </w:p>
        </w:tc>
        <w:tc>
          <w:tcPr>
            <w:tcW w:w="178" w:type="pct"/>
            <w:shd w:val="clear" w:color="auto" w:fill="EAF1DD" w:themeFill="accent3" w:themeFillTint="33"/>
          </w:tcPr>
          <w:p w14:paraId="47E9199F" w14:textId="77777777" w:rsidR="000005F4" w:rsidRDefault="000005F4" w:rsidP="000005F4">
            <w:pPr>
              <w:pStyle w:val="TableTextNoSpace"/>
            </w:pPr>
            <w:r>
              <w:t>x</w:t>
            </w:r>
          </w:p>
        </w:tc>
        <w:tc>
          <w:tcPr>
            <w:tcW w:w="178" w:type="pct"/>
            <w:shd w:val="clear" w:color="auto" w:fill="EAF1DD" w:themeFill="accent3" w:themeFillTint="33"/>
          </w:tcPr>
          <w:p w14:paraId="5488C645" w14:textId="77777777" w:rsidR="000005F4" w:rsidRDefault="000005F4" w:rsidP="000005F4">
            <w:pPr>
              <w:pStyle w:val="TableTextNoSpace"/>
            </w:pPr>
          </w:p>
        </w:tc>
        <w:tc>
          <w:tcPr>
            <w:tcW w:w="178" w:type="pct"/>
            <w:shd w:val="clear" w:color="auto" w:fill="EAF1DD" w:themeFill="accent3" w:themeFillTint="33"/>
          </w:tcPr>
          <w:p w14:paraId="1E2B3948" w14:textId="77777777" w:rsidR="000005F4" w:rsidRDefault="000005F4" w:rsidP="000005F4">
            <w:pPr>
              <w:pStyle w:val="TableTextNoSpace"/>
            </w:pPr>
            <w:r>
              <w:t>x</w:t>
            </w:r>
          </w:p>
        </w:tc>
        <w:tc>
          <w:tcPr>
            <w:tcW w:w="178" w:type="pct"/>
            <w:shd w:val="clear" w:color="auto" w:fill="EAF1DD" w:themeFill="accent3" w:themeFillTint="33"/>
          </w:tcPr>
          <w:p w14:paraId="7B414E6D" w14:textId="77777777" w:rsidR="000005F4" w:rsidRDefault="000005F4" w:rsidP="000005F4">
            <w:pPr>
              <w:pStyle w:val="TableTextNoSpace"/>
            </w:pPr>
          </w:p>
        </w:tc>
      </w:tr>
      <w:tr w:rsidR="000005F4" w14:paraId="5AB556ED" w14:textId="77777777" w:rsidTr="000005F4">
        <w:tc>
          <w:tcPr>
            <w:tcW w:w="553" w:type="pct"/>
            <w:shd w:val="clear" w:color="auto" w:fill="auto"/>
          </w:tcPr>
          <w:p w14:paraId="7F505D94" w14:textId="77777777" w:rsidR="000005F4" w:rsidRPr="00942188" w:rsidRDefault="000005F4" w:rsidP="000005F4">
            <w:pPr>
              <w:pStyle w:val="TableTextNoSpace"/>
              <w:rPr>
                <w:sz w:val="16"/>
              </w:rPr>
            </w:pPr>
            <w:r>
              <w:t>Article 36</w:t>
            </w:r>
          </w:p>
        </w:tc>
        <w:tc>
          <w:tcPr>
            <w:tcW w:w="178" w:type="pct"/>
            <w:shd w:val="clear" w:color="auto" w:fill="auto"/>
          </w:tcPr>
          <w:p w14:paraId="4922E3DC" w14:textId="77777777" w:rsidR="000005F4" w:rsidRDefault="000005F4" w:rsidP="000005F4">
            <w:pPr>
              <w:pStyle w:val="TableTextNoSpace"/>
            </w:pPr>
          </w:p>
        </w:tc>
        <w:tc>
          <w:tcPr>
            <w:tcW w:w="178" w:type="pct"/>
            <w:shd w:val="clear" w:color="auto" w:fill="auto"/>
          </w:tcPr>
          <w:p w14:paraId="5A8C5ABE" w14:textId="77777777" w:rsidR="000005F4" w:rsidRDefault="000005F4" w:rsidP="000005F4">
            <w:pPr>
              <w:pStyle w:val="TableTextNoSpace"/>
            </w:pPr>
          </w:p>
        </w:tc>
        <w:tc>
          <w:tcPr>
            <w:tcW w:w="178" w:type="pct"/>
            <w:shd w:val="clear" w:color="auto" w:fill="auto"/>
          </w:tcPr>
          <w:p w14:paraId="55821379" w14:textId="77777777" w:rsidR="000005F4" w:rsidRDefault="000005F4" w:rsidP="000005F4">
            <w:pPr>
              <w:pStyle w:val="TableTextNoSpace"/>
            </w:pPr>
          </w:p>
        </w:tc>
        <w:tc>
          <w:tcPr>
            <w:tcW w:w="178" w:type="pct"/>
            <w:shd w:val="clear" w:color="auto" w:fill="auto"/>
          </w:tcPr>
          <w:p w14:paraId="7A31EABC" w14:textId="77777777" w:rsidR="000005F4" w:rsidRDefault="000005F4" w:rsidP="000005F4">
            <w:pPr>
              <w:pStyle w:val="TableTextNoSpace"/>
            </w:pPr>
          </w:p>
        </w:tc>
        <w:tc>
          <w:tcPr>
            <w:tcW w:w="178" w:type="pct"/>
            <w:shd w:val="clear" w:color="auto" w:fill="auto"/>
          </w:tcPr>
          <w:p w14:paraId="68073012" w14:textId="77777777" w:rsidR="000005F4" w:rsidRDefault="000005F4" w:rsidP="000005F4">
            <w:pPr>
              <w:pStyle w:val="TableTextNoSpace"/>
            </w:pPr>
          </w:p>
        </w:tc>
        <w:tc>
          <w:tcPr>
            <w:tcW w:w="178" w:type="pct"/>
            <w:shd w:val="clear" w:color="auto" w:fill="auto"/>
          </w:tcPr>
          <w:p w14:paraId="76CC1374" w14:textId="77777777" w:rsidR="000005F4" w:rsidRDefault="000005F4" w:rsidP="000005F4">
            <w:pPr>
              <w:pStyle w:val="TableTextNoSpace"/>
            </w:pPr>
          </w:p>
        </w:tc>
        <w:tc>
          <w:tcPr>
            <w:tcW w:w="178" w:type="pct"/>
            <w:shd w:val="clear" w:color="auto" w:fill="auto"/>
          </w:tcPr>
          <w:p w14:paraId="0E133F15" w14:textId="77777777" w:rsidR="000005F4" w:rsidRDefault="000005F4" w:rsidP="000005F4">
            <w:pPr>
              <w:pStyle w:val="TableTextNoSpace"/>
            </w:pPr>
          </w:p>
        </w:tc>
        <w:tc>
          <w:tcPr>
            <w:tcW w:w="178" w:type="pct"/>
            <w:shd w:val="clear" w:color="auto" w:fill="auto"/>
          </w:tcPr>
          <w:p w14:paraId="1367B883" w14:textId="77777777" w:rsidR="000005F4" w:rsidRDefault="000005F4" w:rsidP="000005F4">
            <w:pPr>
              <w:pStyle w:val="TableTextNoSpace"/>
            </w:pPr>
          </w:p>
        </w:tc>
        <w:tc>
          <w:tcPr>
            <w:tcW w:w="178" w:type="pct"/>
            <w:shd w:val="clear" w:color="auto" w:fill="auto"/>
          </w:tcPr>
          <w:p w14:paraId="0D1E2FB1" w14:textId="77777777" w:rsidR="000005F4" w:rsidRDefault="000005F4" w:rsidP="000005F4">
            <w:pPr>
              <w:pStyle w:val="TableTextNoSpace"/>
            </w:pPr>
          </w:p>
        </w:tc>
        <w:tc>
          <w:tcPr>
            <w:tcW w:w="178" w:type="pct"/>
            <w:shd w:val="clear" w:color="auto" w:fill="auto"/>
          </w:tcPr>
          <w:p w14:paraId="5A185252" w14:textId="77777777" w:rsidR="000005F4" w:rsidRDefault="000005F4" w:rsidP="000005F4">
            <w:pPr>
              <w:pStyle w:val="TableTextNoSpace"/>
            </w:pPr>
          </w:p>
        </w:tc>
        <w:tc>
          <w:tcPr>
            <w:tcW w:w="178" w:type="pct"/>
            <w:shd w:val="clear" w:color="auto" w:fill="auto"/>
          </w:tcPr>
          <w:p w14:paraId="721AF664" w14:textId="77777777" w:rsidR="000005F4" w:rsidRDefault="000005F4" w:rsidP="000005F4">
            <w:pPr>
              <w:pStyle w:val="TableTextNoSpace"/>
            </w:pPr>
          </w:p>
        </w:tc>
        <w:tc>
          <w:tcPr>
            <w:tcW w:w="178" w:type="pct"/>
            <w:shd w:val="clear" w:color="auto" w:fill="auto"/>
          </w:tcPr>
          <w:p w14:paraId="0F6B5C08" w14:textId="77777777" w:rsidR="000005F4" w:rsidRDefault="000005F4" w:rsidP="000005F4">
            <w:pPr>
              <w:pStyle w:val="TableTextNoSpace"/>
            </w:pPr>
          </w:p>
        </w:tc>
        <w:tc>
          <w:tcPr>
            <w:tcW w:w="178" w:type="pct"/>
            <w:shd w:val="clear" w:color="auto" w:fill="auto"/>
          </w:tcPr>
          <w:p w14:paraId="24B66292" w14:textId="77777777" w:rsidR="000005F4" w:rsidRDefault="000005F4" w:rsidP="000005F4">
            <w:pPr>
              <w:pStyle w:val="TableTextNoSpace"/>
            </w:pPr>
          </w:p>
        </w:tc>
        <w:tc>
          <w:tcPr>
            <w:tcW w:w="178" w:type="pct"/>
            <w:shd w:val="clear" w:color="auto" w:fill="auto"/>
          </w:tcPr>
          <w:p w14:paraId="03F02F58" w14:textId="77777777" w:rsidR="000005F4" w:rsidRDefault="000005F4" w:rsidP="000005F4">
            <w:pPr>
              <w:pStyle w:val="TableTextNoSpace"/>
            </w:pPr>
          </w:p>
        </w:tc>
        <w:tc>
          <w:tcPr>
            <w:tcW w:w="178" w:type="pct"/>
            <w:shd w:val="clear" w:color="auto" w:fill="auto"/>
          </w:tcPr>
          <w:p w14:paraId="3054EE34" w14:textId="77777777" w:rsidR="000005F4" w:rsidRDefault="000005F4" w:rsidP="000005F4">
            <w:pPr>
              <w:pStyle w:val="TableTextNoSpace"/>
            </w:pPr>
          </w:p>
        </w:tc>
        <w:tc>
          <w:tcPr>
            <w:tcW w:w="178" w:type="pct"/>
            <w:shd w:val="clear" w:color="auto" w:fill="auto"/>
          </w:tcPr>
          <w:p w14:paraId="45431350" w14:textId="77777777" w:rsidR="000005F4" w:rsidRDefault="000005F4" w:rsidP="000005F4">
            <w:pPr>
              <w:pStyle w:val="TableTextNoSpace"/>
            </w:pPr>
          </w:p>
        </w:tc>
        <w:tc>
          <w:tcPr>
            <w:tcW w:w="178" w:type="pct"/>
            <w:shd w:val="clear" w:color="auto" w:fill="auto"/>
          </w:tcPr>
          <w:p w14:paraId="3948B669" w14:textId="77777777" w:rsidR="000005F4" w:rsidRDefault="000005F4" w:rsidP="000005F4">
            <w:pPr>
              <w:pStyle w:val="TableTextNoSpace"/>
            </w:pPr>
          </w:p>
        </w:tc>
        <w:tc>
          <w:tcPr>
            <w:tcW w:w="178" w:type="pct"/>
            <w:shd w:val="clear" w:color="auto" w:fill="auto"/>
          </w:tcPr>
          <w:p w14:paraId="358AA586" w14:textId="77777777" w:rsidR="000005F4" w:rsidRDefault="000005F4" w:rsidP="000005F4">
            <w:pPr>
              <w:pStyle w:val="TableTextNoSpace"/>
            </w:pPr>
            <w:r>
              <w:t>x</w:t>
            </w:r>
          </w:p>
        </w:tc>
        <w:tc>
          <w:tcPr>
            <w:tcW w:w="178" w:type="pct"/>
          </w:tcPr>
          <w:p w14:paraId="22FCD52E" w14:textId="77777777" w:rsidR="000005F4" w:rsidRDefault="000005F4" w:rsidP="000005F4">
            <w:pPr>
              <w:pStyle w:val="TableTextNoSpace"/>
            </w:pPr>
          </w:p>
        </w:tc>
        <w:tc>
          <w:tcPr>
            <w:tcW w:w="178" w:type="pct"/>
          </w:tcPr>
          <w:p w14:paraId="588B14D6" w14:textId="77777777" w:rsidR="000005F4" w:rsidRDefault="000005F4" w:rsidP="000005F4">
            <w:pPr>
              <w:pStyle w:val="TableTextNoSpace"/>
            </w:pPr>
          </w:p>
        </w:tc>
        <w:tc>
          <w:tcPr>
            <w:tcW w:w="178" w:type="pct"/>
          </w:tcPr>
          <w:p w14:paraId="6AAB2863" w14:textId="77777777" w:rsidR="000005F4" w:rsidRDefault="000005F4" w:rsidP="000005F4">
            <w:pPr>
              <w:pStyle w:val="TableTextNoSpace"/>
            </w:pPr>
          </w:p>
        </w:tc>
        <w:tc>
          <w:tcPr>
            <w:tcW w:w="178" w:type="pct"/>
          </w:tcPr>
          <w:p w14:paraId="43394537" w14:textId="77777777" w:rsidR="000005F4" w:rsidRDefault="000005F4" w:rsidP="000005F4">
            <w:pPr>
              <w:pStyle w:val="TableTextNoSpace"/>
            </w:pPr>
          </w:p>
        </w:tc>
        <w:tc>
          <w:tcPr>
            <w:tcW w:w="178" w:type="pct"/>
          </w:tcPr>
          <w:p w14:paraId="0721345D" w14:textId="77777777" w:rsidR="000005F4" w:rsidRDefault="000005F4" w:rsidP="000005F4">
            <w:pPr>
              <w:pStyle w:val="TableTextNoSpace"/>
            </w:pPr>
          </w:p>
        </w:tc>
        <w:tc>
          <w:tcPr>
            <w:tcW w:w="178" w:type="pct"/>
          </w:tcPr>
          <w:p w14:paraId="1FE27E0C" w14:textId="77777777" w:rsidR="000005F4" w:rsidRDefault="000005F4" w:rsidP="000005F4">
            <w:pPr>
              <w:pStyle w:val="TableTextNoSpace"/>
            </w:pPr>
          </w:p>
        </w:tc>
        <w:tc>
          <w:tcPr>
            <w:tcW w:w="178" w:type="pct"/>
            <w:shd w:val="clear" w:color="auto" w:fill="auto"/>
          </w:tcPr>
          <w:p w14:paraId="4F0A56EB" w14:textId="77777777" w:rsidR="000005F4" w:rsidRDefault="000005F4" w:rsidP="000005F4">
            <w:pPr>
              <w:pStyle w:val="TableTextNoSpace"/>
            </w:pPr>
          </w:p>
        </w:tc>
      </w:tr>
      <w:tr w:rsidR="000005F4" w14:paraId="65FC3985" w14:textId="77777777" w:rsidTr="000005F4">
        <w:tc>
          <w:tcPr>
            <w:tcW w:w="553" w:type="pct"/>
            <w:shd w:val="clear" w:color="auto" w:fill="auto"/>
          </w:tcPr>
          <w:p w14:paraId="79D4AEF7" w14:textId="77777777" w:rsidR="000005F4" w:rsidRPr="00942188" w:rsidRDefault="000005F4" w:rsidP="000005F4">
            <w:pPr>
              <w:pStyle w:val="TableTextNoSpace"/>
              <w:rPr>
                <w:sz w:val="16"/>
              </w:rPr>
            </w:pPr>
            <w:r>
              <w:t>Articles 42-45</w:t>
            </w:r>
          </w:p>
        </w:tc>
        <w:tc>
          <w:tcPr>
            <w:tcW w:w="178" w:type="pct"/>
            <w:shd w:val="clear" w:color="auto" w:fill="auto"/>
          </w:tcPr>
          <w:p w14:paraId="6F493702" w14:textId="77777777" w:rsidR="000005F4" w:rsidRDefault="000005F4" w:rsidP="000005F4">
            <w:pPr>
              <w:pStyle w:val="TableTextNoSpace"/>
            </w:pPr>
            <w:r>
              <w:t>x</w:t>
            </w:r>
          </w:p>
        </w:tc>
        <w:tc>
          <w:tcPr>
            <w:tcW w:w="178" w:type="pct"/>
            <w:shd w:val="clear" w:color="auto" w:fill="auto"/>
          </w:tcPr>
          <w:p w14:paraId="66D03C8A" w14:textId="77777777" w:rsidR="000005F4" w:rsidRDefault="000005F4" w:rsidP="000005F4">
            <w:pPr>
              <w:pStyle w:val="TableTextNoSpace"/>
            </w:pPr>
            <w:r>
              <w:t>x</w:t>
            </w:r>
          </w:p>
        </w:tc>
        <w:tc>
          <w:tcPr>
            <w:tcW w:w="178" w:type="pct"/>
            <w:shd w:val="clear" w:color="auto" w:fill="auto"/>
          </w:tcPr>
          <w:p w14:paraId="5DAF5ADD" w14:textId="77777777" w:rsidR="000005F4" w:rsidRDefault="000005F4" w:rsidP="000005F4">
            <w:pPr>
              <w:pStyle w:val="TableTextNoSpace"/>
            </w:pPr>
            <w:r>
              <w:t>x</w:t>
            </w:r>
          </w:p>
        </w:tc>
        <w:tc>
          <w:tcPr>
            <w:tcW w:w="178" w:type="pct"/>
            <w:shd w:val="clear" w:color="auto" w:fill="auto"/>
          </w:tcPr>
          <w:p w14:paraId="2B3DBD3C" w14:textId="77777777" w:rsidR="000005F4" w:rsidRDefault="000005F4" w:rsidP="000005F4">
            <w:pPr>
              <w:pStyle w:val="TableTextNoSpace"/>
            </w:pPr>
            <w:r>
              <w:t>x</w:t>
            </w:r>
          </w:p>
        </w:tc>
        <w:tc>
          <w:tcPr>
            <w:tcW w:w="178" w:type="pct"/>
            <w:shd w:val="clear" w:color="auto" w:fill="auto"/>
          </w:tcPr>
          <w:p w14:paraId="7A915E51" w14:textId="77777777" w:rsidR="000005F4" w:rsidRDefault="000005F4" w:rsidP="000005F4">
            <w:pPr>
              <w:pStyle w:val="TableTextNoSpace"/>
            </w:pPr>
            <w:r>
              <w:t>x</w:t>
            </w:r>
          </w:p>
        </w:tc>
        <w:tc>
          <w:tcPr>
            <w:tcW w:w="178" w:type="pct"/>
            <w:shd w:val="clear" w:color="auto" w:fill="auto"/>
          </w:tcPr>
          <w:p w14:paraId="35DC3A1E" w14:textId="77777777" w:rsidR="000005F4" w:rsidRDefault="000005F4" w:rsidP="000005F4">
            <w:pPr>
              <w:pStyle w:val="TableTextNoSpace"/>
            </w:pPr>
            <w:r>
              <w:t>x</w:t>
            </w:r>
          </w:p>
        </w:tc>
        <w:tc>
          <w:tcPr>
            <w:tcW w:w="178" w:type="pct"/>
            <w:shd w:val="clear" w:color="auto" w:fill="auto"/>
          </w:tcPr>
          <w:p w14:paraId="5CAE71EE" w14:textId="77777777" w:rsidR="000005F4" w:rsidRDefault="000005F4" w:rsidP="000005F4">
            <w:pPr>
              <w:pStyle w:val="TableTextNoSpace"/>
            </w:pPr>
            <w:r>
              <w:t>x</w:t>
            </w:r>
          </w:p>
        </w:tc>
        <w:tc>
          <w:tcPr>
            <w:tcW w:w="178" w:type="pct"/>
            <w:shd w:val="clear" w:color="auto" w:fill="auto"/>
          </w:tcPr>
          <w:p w14:paraId="2B5599EB" w14:textId="77777777" w:rsidR="000005F4" w:rsidRDefault="000005F4" w:rsidP="000005F4">
            <w:pPr>
              <w:pStyle w:val="TableTextNoSpace"/>
            </w:pPr>
            <w:r>
              <w:t>x</w:t>
            </w:r>
          </w:p>
        </w:tc>
        <w:tc>
          <w:tcPr>
            <w:tcW w:w="178" w:type="pct"/>
            <w:shd w:val="clear" w:color="auto" w:fill="auto"/>
          </w:tcPr>
          <w:p w14:paraId="0DFE99C7" w14:textId="77777777" w:rsidR="000005F4" w:rsidRDefault="000005F4" w:rsidP="000005F4">
            <w:pPr>
              <w:pStyle w:val="TableTextNoSpace"/>
            </w:pPr>
            <w:r>
              <w:t>x</w:t>
            </w:r>
          </w:p>
        </w:tc>
        <w:tc>
          <w:tcPr>
            <w:tcW w:w="178" w:type="pct"/>
            <w:shd w:val="clear" w:color="auto" w:fill="auto"/>
          </w:tcPr>
          <w:p w14:paraId="7B5E0CC1" w14:textId="77777777" w:rsidR="000005F4" w:rsidRDefault="000005F4" w:rsidP="000005F4">
            <w:pPr>
              <w:pStyle w:val="TableTextNoSpace"/>
            </w:pPr>
            <w:r>
              <w:t>x</w:t>
            </w:r>
          </w:p>
        </w:tc>
        <w:tc>
          <w:tcPr>
            <w:tcW w:w="178" w:type="pct"/>
            <w:shd w:val="clear" w:color="auto" w:fill="auto"/>
          </w:tcPr>
          <w:p w14:paraId="621C416C" w14:textId="77777777" w:rsidR="000005F4" w:rsidRDefault="000005F4" w:rsidP="000005F4">
            <w:pPr>
              <w:pStyle w:val="TableTextNoSpace"/>
            </w:pPr>
          </w:p>
        </w:tc>
        <w:tc>
          <w:tcPr>
            <w:tcW w:w="178" w:type="pct"/>
            <w:shd w:val="clear" w:color="auto" w:fill="auto"/>
          </w:tcPr>
          <w:p w14:paraId="7106A911" w14:textId="77777777" w:rsidR="000005F4" w:rsidRDefault="000005F4" w:rsidP="000005F4">
            <w:pPr>
              <w:pStyle w:val="TableTextNoSpace"/>
            </w:pPr>
            <w:r>
              <w:t>x</w:t>
            </w:r>
          </w:p>
        </w:tc>
        <w:tc>
          <w:tcPr>
            <w:tcW w:w="178" w:type="pct"/>
            <w:shd w:val="clear" w:color="auto" w:fill="auto"/>
          </w:tcPr>
          <w:p w14:paraId="2790F367" w14:textId="77777777" w:rsidR="000005F4" w:rsidRDefault="000005F4" w:rsidP="000005F4">
            <w:pPr>
              <w:pStyle w:val="TableTextNoSpace"/>
            </w:pPr>
            <w:r>
              <w:t>x</w:t>
            </w:r>
          </w:p>
        </w:tc>
        <w:tc>
          <w:tcPr>
            <w:tcW w:w="178" w:type="pct"/>
            <w:shd w:val="clear" w:color="auto" w:fill="auto"/>
          </w:tcPr>
          <w:p w14:paraId="7ED68491" w14:textId="77777777" w:rsidR="000005F4" w:rsidRDefault="000005F4" w:rsidP="000005F4">
            <w:pPr>
              <w:pStyle w:val="TableTextNoSpace"/>
            </w:pPr>
            <w:r>
              <w:t>x</w:t>
            </w:r>
          </w:p>
        </w:tc>
        <w:tc>
          <w:tcPr>
            <w:tcW w:w="178" w:type="pct"/>
            <w:shd w:val="clear" w:color="auto" w:fill="auto"/>
          </w:tcPr>
          <w:p w14:paraId="06A899D4" w14:textId="77777777" w:rsidR="000005F4" w:rsidRDefault="000005F4" w:rsidP="000005F4">
            <w:pPr>
              <w:pStyle w:val="TableTextNoSpace"/>
            </w:pPr>
            <w:r>
              <w:t>x</w:t>
            </w:r>
          </w:p>
        </w:tc>
        <w:tc>
          <w:tcPr>
            <w:tcW w:w="178" w:type="pct"/>
            <w:shd w:val="clear" w:color="auto" w:fill="auto"/>
          </w:tcPr>
          <w:p w14:paraId="0D2203E7" w14:textId="77777777" w:rsidR="000005F4" w:rsidRDefault="000005F4" w:rsidP="000005F4">
            <w:pPr>
              <w:pStyle w:val="TableTextNoSpace"/>
            </w:pPr>
            <w:r>
              <w:t>x</w:t>
            </w:r>
          </w:p>
        </w:tc>
        <w:tc>
          <w:tcPr>
            <w:tcW w:w="178" w:type="pct"/>
            <w:shd w:val="clear" w:color="auto" w:fill="auto"/>
          </w:tcPr>
          <w:p w14:paraId="6CFC7CFF" w14:textId="77777777" w:rsidR="000005F4" w:rsidRDefault="000005F4" w:rsidP="000005F4">
            <w:pPr>
              <w:pStyle w:val="TableTextNoSpace"/>
            </w:pPr>
            <w:r>
              <w:t>x</w:t>
            </w:r>
          </w:p>
        </w:tc>
        <w:tc>
          <w:tcPr>
            <w:tcW w:w="178" w:type="pct"/>
            <w:shd w:val="clear" w:color="auto" w:fill="auto"/>
          </w:tcPr>
          <w:p w14:paraId="2D5438CD" w14:textId="77777777" w:rsidR="000005F4" w:rsidRDefault="000005F4" w:rsidP="000005F4">
            <w:pPr>
              <w:pStyle w:val="TableTextNoSpace"/>
            </w:pPr>
            <w:r>
              <w:t>x</w:t>
            </w:r>
          </w:p>
        </w:tc>
        <w:tc>
          <w:tcPr>
            <w:tcW w:w="178" w:type="pct"/>
          </w:tcPr>
          <w:p w14:paraId="1313D52F" w14:textId="77777777" w:rsidR="000005F4" w:rsidRDefault="000005F4" w:rsidP="000005F4">
            <w:pPr>
              <w:pStyle w:val="TableTextNoSpace"/>
            </w:pPr>
          </w:p>
        </w:tc>
        <w:tc>
          <w:tcPr>
            <w:tcW w:w="178" w:type="pct"/>
          </w:tcPr>
          <w:p w14:paraId="7AE63533" w14:textId="77777777" w:rsidR="000005F4" w:rsidRDefault="000005F4" w:rsidP="000005F4">
            <w:pPr>
              <w:pStyle w:val="TableTextNoSpace"/>
            </w:pPr>
          </w:p>
        </w:tc>
        <w:tc>
          <w:tcPr>
            <w:tcW w:w="178" w:type="pct"/>
          </w:tcPr>
          <w:p w14:paraId="6C93F084" w14:textId="77777777" w:rsidR="000005F4" w:rsidRDefault="000005F4" w:rsidP="000005F4">
            <w:pPr>
              <w:pStyle w:val="TableTextNoSpace"/>
            </w:pPr>
            <w:r>
              <w:t>x</w:t>
            </w:r>
          </w:p>
        </w:tc>
        <w:tc>
          <w:tcPr>
            <w:tcW w:w="178" w:type="pct"/>
          </w:tcPr>
          <w:p w14:paraId="027EF610" w14:textId="77777777" w:rsidR="000005F4" w:rsidRDefault="000005F4" w:rsidP="000005F4">
            <w:pPr>
              <w:pStyle w:val="TableTextNoSpace"/>
            </w:pPr>
            <w:r>
              <w:t>x</w:t>
            </w:r>
          </w:p>
        </w:tc>
        <w:tc>
          <w:tcPr>
            <w:tcW w:w="178" w:type="pct"/>
          </w:tcPr>
          <w:p w14:paraId="5BB26BE6" w14:textId="77777777" w:rsidR="000005F4" w:rsidRDefault="000005F4" w:rsidP="000005F4">
            <w:pPr>
              <w:pStyle w:val="TableTextNoSpace"/>
            </w:pPr>
          </w:p>
        </w:tc>
        <w:tc>
          <w:tcPr>
            <w:tcW w:w="178" w:type="pct"/>
          </w:tcPr>
          <w:p w14:paraId="66E23736" w14:textId="77777777" w:rsidR="000005F4" w:rsidRDefault="000005F4" w:rsidP="000005F4">
            <w:pPr>
              <w:pStyle w:val="TableTextNoSpace"/>
            </w:pPr>
          </w:p>
        </w:tc>
        <w:tc>
          <w:tcPr>
            <w:tcW w:w="178" w:type="pct"/>
            <w:shd w:val="clear" w:color="auto" w:fill="auto"/>
          </w:tcPr>
          <w:p w14:paraId="0F6D0F9A" w14:textId="77777777" w:rsidR="000005F4" w:rsidRDefault="000005F4" w:rsidP="000005F4">
            <w:pPr>
              <w:pStyle w:val="TableTextNoSpace"/>
            </w:pPr>
          </w:p>
        </w:tc>
      </w:tr>
      <w:tr w:rsidR="000005F4" w14:paraId="5B0F917A" w14:textId="77777777" w:rsidTr="000005F4">
        <w:tc>
          <w:tcPr>
            <w:tcW w:w="553" w:type="pct"/>
            <w:shd w:val="clear" w:color="auto" w:fill="auto"/>
          </w:tcPr>
          <w:p w14:paraId="18379476" w14:textId="77777777" w:rsidR="000005F4" w:rsidRPr="006D06B0" w:rsidRDefault="000005F4" w:rsidP="000005F4">
            <w:pPr>
              <w:pStyle w:val="TableTextNoSpace"/>
              <w:rPr>
                <w:sz w:val="16"/>
              </w:rPr>
            </w:pPr>
            <w:r>
              <w:rPr>
                <w:sz w:val="16"/>
              </w:rPr>
              <w:t>Overall</w:t>
            </w:r>
          </w:p>
        </w:tc>
        <w:tc>
          <w:tcPr>
            <w:tcW w:w="178" w:type="pct"/>
            <w:shd w:val="clear" w:color="auto" w:fill="auto"/>
          </w:tcPr>
          <w:p w14:paraId="274730FC" w14:textId="77777777" w:rsidR="000005F4" w:rsidRPr="008B59E9" w:rsidRDefault="000005F4" w:rsidP="000005F4">
            <w:pPr>
              <w:pStyle w:val="TableTextNoSpace"/>
            </w:pPr>
            <w:r w:rsidRPr="008B59E9">
              <w:t>x</w:t>
            </w:r>
          </w:p>
        </w:tc>
        <w:tc>
          <w:tcPr>
            <w:tcW w:w="178" w:type="pct"/>
            <w:shd w:val="clear" w:color="auto" w:fill="auto"/>
          </w:tcPr>
          <w:p w14:paraId="712EFD46" w14:textId="77777777" w:rsidR="000005F4" w:rsidRPr="008B59E9" w:rsidRDefault="000005F4" w:rsidP="000005F4">
            <w:pPr>
              <w:pStyle w:val="TableTextNoSpace"/>
            </w:pPr>
            <w:r w:rsidRPr="008B59E9">
              <w:t>x</w:t>
            </w:r>
          </w:p>
        </w:tc>
        <w:tc>
          <w:tcPr>
            <w:tcW w:w="178" w:type="pct"/>
            <w:shd w:val="clear" w:color="auto" w:fill="auto"/>
          </w:tcPr>
          <w:p w14:paraId="32B75C71" w14:textId="77777777" w:rsidR="000005F4" w:rsidRPr="008B59E9" w:rsidRDefault="000005F4" w:rsidP="000005F4">
            <w:pPr>
              <w:pStyle w:val="TableTextNoSpace"/>
            </w:pPr>
            <w:r w:rsidRPr="008B59E9">
              <w:t>x</w:t>
            </w:r>
          </w:p>
        </w:tc>
        <w:tc>
          <w:tcPr>
            <w:tcW w:w="178" w:type="pct"/>
            <w:shd w:val="clear" w:color="auto" w:fill="auto"/>
          </w:tcPr>
          <w:p w14:paraId="3F623830" w14:textId="77777777" w:rsidR="000005F4" w:rsidRPr="008B59E9" w:rsidRDefault="000005F4" w:rsidP="000005F4">
            <w:pPr>
              <w:pStyle w:val="TableTextNoSpace"/>
            </w:pPr>
            <w:r w:rsidRPr="008B59E9">
              <w:t>x</w:t>
            </w:r>
          </w:p>
        </w:tc>
        <w:tc>
          <w:tcPr>
            <w:tcW w:w="178" w:type="pct"/>
            <w:shd w:val="clear" w:color="auto" w:fill="auto"/>
          </w:tcPr>
          <w:p w14:paraId="36125AD0" w14:textId="77777777" w:rsidR="000005F4" w:rsidRPr="008B59E9" w:rsidRDefault="000005F4" w:rsidP="000005F4">
            <w:pPr>
              <w:pStyle w:val="TableTextNoSpace"/>
            </w:pPr>
            <w:r w:rsidRPr="008B59E9">
              <w:t>x</w:t>
            </w:r>
          </w:p>
        </w:tc>
        <w:tc>
          <w:tcPr>
            <w:tcW w:w="178" w:type="pct"/>
            <w:shd w:val="clear" w:color="auto" w:fill="auto"/>
          </w:tcPr>
          <w:p w14:paraId="79329B13" w14:textId="77777777" w:rsidR="000005F4" w:rsidRPr="008B59E9" w:rsidRDefault="000005F4" w:rsidP="000005F4">
            <w:pPr>
              <w:pStyle w:val="TableTextNoSpace"/>
            </w:pPr>
            <w:r w:rsidRPr="008B59E9">
              <w:t>x</w:t>
            </w:r>
          </w:p>
        </w:tc>
        <w:tc>
          <w:tcPr>
            <w:tcW w:w="178" w:type="pct"/>
            <w:shd w:val="clear" w:color="auto" w:fill="auto"/>
          </w:tcPr>
          <w:p w14:paraId="25742CFA" w14:textId="77777777" w:rsidR="000005F4" w:rsidRPr="008B59E9" w:rsidRDefault="000005F4" w:rsidP="000005F4">
            <w:pPr>
              <w:pStyle w:val="TableTextNoSpace"/>
            </w:pPr>
            <w:r w:rsidRPr="008B59E9">
              <w:t>x</w:t>
            </w:r>
          </w:p>
        </w:tc>
        <w:tc>
          <w:tcPr>
            <w:tcW w:w="178" w:type="pct"/>
            <w:shd w:val="clear" w:color="auto" w:fill="auto"/>
          </w:tcPr>
          <w:p w14:paraId="74EE3D12" w14:textId="77777777" w:rsidR="000005F4" w:rsidRPr="008B59E9" w:rsidRDefault="000005F4" w:rsidP="000005F4">
            <w:pPr>
              <w:pStyle w:val="TableTextNoSpace"/>
            </w:pPr>
            <w:r w:rsidRPr="008B59E9">
              <w:t>x</w:t>
            </w:r>
          </w:p>
        </w:tc>
        <w:tc>
          <w:tcPr>
            <w:tcW w:w="178" w:type="pct"/>
            <w:shd w:val="clear" w:color="auto" w:fill="auto"/>
          </w:tcPr>
          <w:p w14:paraId="72A9DBF7" w14:textId="77777777" w:rsidR="000005F4" w:rsidRPr="008B59E9" w:rsidRDefault="000005F4" w:rsidP="000005F4">
            <w:pPr>
              <w:pStyle w:val="TableTextNoSpace"/>
            </w:pPr>
            <w:r w:rsidRPr="008B59E9">
              <w:t>x</w:t>
            </w:r>
          </w:p>
        </w:tc>
        <w:tc>
          <w:tcPr>
            <w:tcW w:w="178" w:type="pct"/>
            <w:shd w:val="clear" w:color="auto" w:fill="auto"/>
          </w:tcPr>
          <w:p w14:paraId="79687974" w14:textId="77777777" w:rsidR="000005F4" w:rsidRPr="008B59E9" w:rsidRDefault="000005F4" w:rsidP="000005F4">
            <w:pPr>
              <w:pStyle w:val="TableTextNoSpace"/>
            </w:pPr>
            <w:r w:rsidRPr="008B59E9">
              <w:t>x</w:t>
            </w:r>
          </w:p>
        </w:tc>
        <w:tc>
          <w:tcPr>
            <w:tcW w:w="178" w:type="pct"/>
            <w:shd w:val="clear" w:color="auto" w:fill="auto"/>
          </w:tcPr>
          <w:p w14:paraId="3808588B" w14:textId="77777777" w:rsidR="000005F4" w:rsidRPr="008B59E9" w:rsidRDefault="000005F4" w:rsidP="000005F4">
            <w:pPr>
              <w:pStyle w:val="TableTextNoSpace"/>
            </w:pPr>
            <w:r w:rsidRPr="008B59E9">
              <w:t>x</w:t>
            </w:r>
          </w:p>
        </w:tc>
        <w:tc>
          <w:tcPr>
            <w:tcW w:w="178" w:type="pct"/>
            <w:shd w:val="clear" w:color="auto" w:fill="auto"/>
          </w:tcPr>
          <w:p w14:paraId="33399AA6" w14:textId="77777777" w:rsidR="000005F4" w:rsidRPr="008B59E9" w:rsidRDefault="000005F4" w:rsidP="000005F4">
            <w:pPr>
              <w:pStyle w:val="TableTextNoSpace"/>
            </w:pPr>
            <w:r w:rsidRPr="008B59E9">
              <w:t>x</w:t>
            </w:r>
          </w:p>
        </w:tc>
        <w:tc>
          <w:tcPr>
            <w:tcW w:w="178" w:type="pct"/>
            <w:shd w:val="clear" w:color="auto" w:fill="auto"/>
          </w:tcPr>
          <w:p w14:paraId="43EE9717" w14:textId="77777777" w:rsidR="000005F4" w:rsidRPr="008B59E9" w:rsidRDefault="000005F4" w:rsidP="000005F4">
            <w:pPr>
              <w:pStyle w:val="TableTextNoSpace"/>
            </w:pPr>
            <w:r w:rsidRPr="008B59E9">
              <w:t>x</w:t>
            </w:r>
          </w:p>
        </w:tc>
        <w:tc>
          <w:tcPr>
            <w:tcW w:w="178" w:type="pct"/>
            <w:shd w:val="clear" w:color="auto" w:fill="auto"/>
          </w:tcPr>
          <w:p w14:paraId="33271D74" w14:textId="77777777" w:rsidR="000005F4" w:rsidRPr="008B59E9" w:rsidRDefault="000005F4" w:rsidP="000005F4">
            <w:pPr>
              <w:pStyle w:val="TableTextNoSpace"/>
            </w:pPr>
            <w:r w:rsidRPr="008B59E9">
              <w:t>x</w:t>
            </w:r>
          </w:p>
        </w:tc>
        <w:tc>
          <w:tcPr>
            <w:tcW w:w="178" w:type="pct"/>
            <w:shd w:val="clear" w:color="auto" w:fill="auto"/>
          </w:tcPr>
          <w:p w14:paraId="7EA1CBA5" w14:textId="77777777" w:rsidR="000005F4" w:rsidRPr="008B59E9" w:rsidRDefault="000005F4" w:rsidP="000005F4">
            <w:pPr>
              <w:pStyle w:val="TableTextNoSpace"/>
            </w:pPr>
            <w:r w:rsidRPr="008B59E9">
              <w:t>x</w:t>
            </w:r>
          </w:p>
        </w:tc>
        <w:tc>
          <w:tcPr>
            <w:tcW w:w="178" w:type="pct"/>
            <w:shd w:val="clear" w:color="auto" w:fill="auto"/>
          </w:tcPr>
          <w:p w14:paraId="200E7759" w14:textId="77777777" w:rsidR="000005F4" w:rsidRPr="008B59E9" w:rsidRDefault="000005F4" w:rsidP="000005F4">
            <w:pPr>
              <w:pStyle w:val="TableTextNoSpace"/>
            </w:pPr>
            <w:r w:rsidRPr="008B59E9">
              <w:t>x</w:t>
            </w:r>
          </w:p>
        </w:tc>
        <w:tc>
          <w:tcPr>
            <w:tcW w:w="178" w:type="pct"/>
            <w:shd w:val="clear" w:color="auto" w:fill="auto"/>
          </w:tcPr>
          <w:p w14:paraId="6605554A" w14:textId="77777777" w:rsidR="000005F4" w:rsidRPr="008B59E9" w:rsidRDefault="000005F4" w:rsidP="000005F4">
            <w:pPr>
              <w:pStyle w:val="TableTextNoSpace"/>
            </w:pPr>
            <w:r w:rsidRPr="008B59E9">
              <w:t>x</w:t>
            </w:r>
          </w:p>
        </w:tc>
        <w:tc>
          <w:tcPr>
            <w:tcW w:w="178" w:type="pct"/>
            <w:shd w:val="clear" w:color="auto" w:fill="auto"/>
          </w:tcPr>
          <w:p w14:paraId="75A5EE6B" w14:textId="77777777" w:rsidR="000005F4" w:rsidRPr="008B59E9" w:rsidRDefault="000005F4" w:rsidP="000005F4">
            <w:pPr>
              <w:pStyle w:val="TableTextNoSpace"/>
            </w:pPr>
            <w:r w:rsidRPr="008B59E9">
              <w:t>x</w:t>
            </w:r>
          </w:p>
        </w:tc>
        <w:tc>
          <w:tcPr>
            <w:tcW w:w="178" w:type="pct"/>
          </w:tcPr>
          <w:p w14:paraId="79B86658" w14:textId="77777777" w:rsidR="000005F4" w:rsidRPr="008B59E9" w:rsidRDefault="000005F4" w:rsidP="000005F4">
            <w:pPr>
              <w:pStyle w:val="TableTextNoSpace"/>
            </w:pPr>
            <w:r w:rsidRPr="008B59E9">
              <w:t>x</w:t>
            </w:r>
          </w:p>
        </w:tc>
        <w:tc>
          <w:tcPr>
            <w:tcW w:w="178" w:type="pct"/>
          </w:tcPr>
          <w:p w14:paraId="323B3854" w14:textId="77777777" w:rsidR="000005F4" w:rsidRPr="008B59E9" w:rsidRDefault="000005F4" w:rsidP="000005F4">
            <w:pPr>
              <w:pStyle w:val="TableTextNoSpace"/>
            </w:pPr>
            <w:r w:rsidRPr="008B59E9">
              <w:t>x</w:t>
            </w:r>
          </w:p>
        </w:tc>
        <w:tc>
          <w:tcPr>
            <w:tcW w:w="178" w:type="pct"/>
          </w:tcPr>
          <w:p w14:paraId="24ECB9D2" w14:textId="77777777" w:rsidR="000005F4" w:rsidRPr="008B59E9" w:rsidRDefault="000005F4" w:rsidP="000005F4">
            <w:pPr>
              <w:pStyle w:val="TableTextNoSpace"/>
            </w:pPr>
            <w:r w:rsidRPr="008B59E9">
              <w:t>x</w:t>
            </w:r>
          </w:p>
        </w:tc>
        <w:tc>
          <w:tcPr>
            <w:tcW w:w="178" w:type="pct"/>
          </w:tcPr>
          <w:p w14:paraId="28A175D2" w14:textId="77777777" w:rsidR="000005F4" w:rsidRPr="008B59E9" w:rsidRDefault="000005F4" w:rsidP="000005F4">
            <w:pPr>
              <w:pStyle w:val="TableTextNoSpace"/>
            </w:pPr>
            <w:r w:rsidRPr="008B59E9">
              <w:t>x</w:t>
            </w:r>
          </w:p>
        </w:tc>
        <w:tc>
          <w:tcPr>
            <w:tcW w:w="178" w:type="pct"/>
          </w:tcPr>
          <w:p w14:paraId="5531CC89" w14:textId="77777777" w:rsidR="000005F4" w:rsidRPr="008B59E9" w:rsidRDefault="000005F4" w:rsidP="000005F4">
            <w:pPr>
              <w:pStyle w:val="TableTextNoSpace"/>
            </w:pPr>
            <w:r w:rsidRPr="008B59E9">
              <w:t>x</w:t>
            </w:r>
          </w:p>
        </w:tc>
        <w:tc>
          <w:tcPr>
            <w:tcW w:w="178" w:type="pct"/>
          </w:tcPr>
          <w:p w14:paraId="7280760A" w14:textId="77777777" w:rsidR="000005F4" w:rsidRPr="008B59E9" w:rsidRDefault="000005F4" w:rsidP="000005F4">
            <w:pPr>
              <w:pStyle w:val="TableTextNoSpace"/>
            </w:pPr>
            <w:r w:rsidRPr="008B59E9">
              <w:t>x</w:t>
            </w:r>
          </w:p>
        </w:tc>
        <w:tc>
          <w:tcPr>
            <w:tcW w:w="178" w:type="pct"/>
            <w:shd w:val="clear" w:color="auto" w:fill="auto"/>
          </w:tcPr>
          <w:p w14:paraId="453D4868" w14:textId="77777777" w:rsidR="000005F4" w:rsidRPr="008B59E9" w:rsidRDefault="000005F4" w:rsidP="000005F4">
            <w:pPr>
              <w:pStyle w:val="TableTextNoSpace"/>
            </w:pPr>
            <w:r w:rsidRPr="008B59E9">
              <w:t>x</w:t>
            </w:r>
          </w:p>
        </w:tc>
      </w:tr>
    </w:tbl>
    <w:p w14:paraId="7F4CCB09" w14:textId="77777777" w:rsidR="000005F4" w:rsidRDefault="000005F4" w:rsidP="000005F4">
      <w:pPr>
        <w:pStyle w:val="Heading2NoNumb"/>
      </w:pPr>
      <w:bookmarkStart w:id="397" w:name="_Toc408094044"/>
      <w:bookmarkStart w:id="398" w:name="_Toc408138045"/>
      <w:bookmarkStart w:id="399" w:name="_Toc408851034"/>
      <w:bookmarkStart w:id="400" w:name="_Toc421880710"/>
      <w:r>
        <w:t>ERDF</w:t>
      </w:r>
      <w:bookmarkEnd w:id="397"/>
      <w:bookmarkEnd w:id="398"/>
      <w:bookmarkEnd w:id="399"/>
      <w:bookmarkEnd w:id="400"/>
      <w:r>
        <w:t xml:space="preserve"> </w:t>
      </w:r>
    </w:p>
    <w:p w14:paraId="401610AE" w14:textId="77777777" w:rsidR="000005F4" w:rsidRPr="00C03A23" w:rsidRDefault="000005F4" w:rsidP="000005F4">
      <w:r w:rsidRPr="00C03A23">
        <w:t xml:space="preserve">Note: Articles most directly relevant for Natura 2000 actions are highlighted. </w:t>
      </w:r>
    </w:p>
    <w:p w14:paraId="298AB928" w14:textId="77777777" w:rsidR="000005F4" w:rsidRDefault="000005F4" w:rsidP="000005F4">
      <w:pPr>
        <w:pStyle w:val="AnnexFigure"/>
      </w:pPr>
      <w:bookmarkStart w:id="401" w:name="_Toc407942732"/>
      <w:bookmarkStart w:id="402" w:name="_Toc408094137"/>
      <w:bookmarkStart w:id="403" w:name="_Toc408851121"/>
      <w:r w:rsidRPr="009B1EA0">
        <w:t>Summary of Wales</w:t>
      </w:r>
      <w:r>
        <w:t>-relevant articles in the ERDF</w:t>
      </w:r>
      <w:bookmarkEnd w:id="401"/>
      <w:bookmarkEnd w:id="402"/>
      <w:bookmarkEnd w:id="403"/>
    </w:p>
    <w:tbl>
      <w:tblPr>
        <w:tblW w:w="9071" w:type="dxa"/>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Layout w:type="fixed"/>
        <w:tblCellMar>
          <w:top w:w="57" w:type="dxa"/>
          <w:left w:w="0" w:type="dxa"/>
          <w:bottom w:w="28" w:type="dxa"/>
          <w:right w:w="0" w:type="dxa"/>
        </w:tblCellMar>
        <w:tblLook w:val="0000" w:firstRow="0" w:lastRow="0" w:firstColumn="0" w:lastColumn="0" w:noHBand="0" w:noVBand="0"/>
      </w:tblPr>
      <w:tblGrid>
        <w:gridCol w:w="1982"/>
        <w:gridCol w:w="7089"/>
      </w:tblGrid>
      <w:tr w:rsidR="000005F4" w14:paraId="4BCBCA4F" w14:textId="77777777" w:rsidTr="000005F4">
        <w:trPr>
          <w:cantSplit/>
        </w:trPr>
        <w:tc>
          <w:tcPr>
            <w:tcW w:w="1982" w:type="dxa"/>
            <w:shd w:val="clear" w:color="auto" w:fill="auto"/>
          </w:tcPr>
          <w:p w14:paraId="49EDF41F" w14:textId="77777777" w:rsidR="000005F4" w:rsidRDefault="000005F4" w:rsidP="000005F4">
            <w:pPr>
              <w:pStyle w:val="TableHeading"/>
            </w:pPr>
            <w:r>
              <w:t>Article Title</w:t>
            </w:r>
          </w:p>
        </w:tc>
        <w:tc>
          <w:tcPr>
            <w:tcW w:w="7089" w:type="dxa"/>
            <w:shd w:val="solid" w:color="0067AB" w:fill="0067AB"/>
          </w:tcPr>
          <w:p w14:paraId="48BB12C4" w14:textId="77777777" w:rsidR="000005F4" w:rsidRDefault="000005F4" w:rsidP="000005F4">
            <w:pPr>
              <w:pStyle w:val="TableHeadingWhite"/>
            </w:pPr>
            <w:r>
              <w:t>Article Detail</w:t>
            </w:r>
          </w:p>
        </w:tc>
      </w:tr>
      <w:tr w:rsidR="000005F4" w14:paraId="0784067D" w14:textId="77777777" w:rsidTr="000005F4">
        <w:tc>
          <w:tcPr>
            <w:tcW w:w="1982" w:type="dxa"/>
            <w:shd w:val="clear" w:color="auto" w:fill="auto"/>
          </w:tcPr>
          <w:p w14:paraId="641D221F" w14:textId="77777777" w:rsidR="000005F4" w:rsidRPr="003C2DA1" w:rsidRDefault="000005F4" w:rsidP="000005F4">
            <w:pPr>
              <w:pStyle w:val="TableTextNoSpace"/>
              <w:rPr>
                <w:rFonts w:cs="Arial"/>
                <w:sz w:val="18"/>
                <w:szCs w:val="18"/>
              </w:rPr>
            </w:pPr>
            <w:r w:rsidRPr="003C2DA1">
              <w:rPr>
                <w:rFonts w:cs="Arial"/>
                <w:color w:val="000000"/>
                <w:sz w:val="18"/>
                <w:szCs w:val="18"/>
              </w:rPr>
              <w:t xml:space="preserve">Art. 5.1 (a) </w:t>
            </w:r>
          </w:p>
        </w:tc>
        <w:tc>
          <w:tcPr>
            <w:tcW w:w="7089" w:type="dxa"/>
            <w:shd w:val="clear" w:color="auto" w:fill="auto"/>
            <w:vAlign w:val="bottom"/>
          </w:tcPr>
          <w:p w14:paraId="4CB2EEE8" w14:textId="77777777" w:rsidR="000005F4" w:rsidRPr="008B4F97" w:rsidRDefault="000005F4" w:rsidP="000005F4">
            <w:pPr>
              <w:pStyle w:val="TableTextNoSpace"/>
              <w:rPr>
                <w:rFonts w:cs="Arial"/>
                <w:sz w:val="18"/>
                <w:szCs w:val="18"/>
              </w:rPr>
            </w:pPr>
            <w:r w:rsidRPr="008B4F97">
              <w:rPr>
                <w:rFonts w:cs="Arial"/>
                <w:color w:val="000000"/>
                <w:sz w:val="18"/>
                <w:szCs w:val="18"/>
              </w:rPr>
              <w:t xml:space="preserve">Enhancing research and innovation infrastructure. R&amp;I infrastructure and capacities to develop, promoting centres of excellence  </w:t>
            </w:r>
          </w:p>
        </w:tc>
      </w:tr>
      <w:tr w:rsidR="000005F4" w14:paraId="5CC5D360" w14:textId="77777777" w:rsidTr="000005F4">
        <w:tc>
          <w:tcPr>
            <w:tcW w:w="1982" w:type="dxa"/>
            <w:shd w:val="clear" w:color="auto" w:fill="auto"/>
          </w:tcPr>
          <w:p w14:paraId="6EF99278" w14:textId="77777777" w:rsidR="000005F4" w:rsidRPr="003C2DA1" w:rsidRDefault="000005F4" w:rsidP="000005F4">
            <w:pPr>
              <w:pStyle w:val="TableTextNoSpace"/>
              <w:rPr>
                <w:rFonts w:cs="Arial"/>
                <w:sz w:val="18"/>
                <w:szCs w:val="18"/>
              </w:rPr>
            </w:pPr>
            <w:r w:rsidRPr="003C2DA1">
              <w:rPr>
                <w:rFonts w:cs="Arial"/>
                <w:color w:val="000000"/>
                <w:sz w:val="18"/>
                <w:szCs w:val="18"/>
              </w:rPr>
              <w:t>Art. 5.1 (b)</w:t>
            </w:r>
          </w:p>
        </w:tc>
        <w:tc>
          <w:tcPr>
            <w:tcW w:w="7089" w:type="dxa"/>
            <w:shd w:val="clear" w:color="auto" w:fill="auto"/>
            <w:vAlign w:val="bottom"/>
          </w:tcPr>
          <w:p w14:paraId="7774F41C" w14:textId="77777777" w:rsidR="000005F4" w:rsidRPr="008B4F97" w:rsidRDefault="000005F4" w:rsidP="000005F4">
            <w:pPr>
              <w:pStyle w:val="TableTextNoSpace"/>
              <w:ind w:left="0"/>
              <w:rPr>
                <w:rFonts w:cs="Arial"/>
                <w:sz w:val="18"/>
                <w:szCs w:val="18"/>
              </w:rPr>
            </w:pPr>
            <w:r w:rsidRPr="008B4F97">
              <w:rPr>
                <w:rFonts w:cs="Arial"/>
                <w:color w:val="000000"/>
                <w:sz w:val="18"/>
                <w:szCs w:val="18"/>
              </w:rPr>
              <w:t>Promoting business R&amp;I investment. R&amp;I investment, product and service development, technology transfer and open innovation</w:t>
            </w:r>
          </w:p>
        </w:tc>
      </w:tr>
      <w:tr w:rsidR="000005F4" w14:paraId="50FF4D41" w14:textId="77777777" w:rsidTr="000005F4">
        <w:tc>
          <w:tcPr>
            <w:tcW w:w="1982" w:type="dxa"/>
            <w:shd w:val="clear" w:color="auto" w:fill="auto"/>
          </w:tcPr>
          <w:p w14:paraId="2C4AF7CC" w14:textId="77777777" w:rsidR="000005F4" w:rsidRPr="003C2DA1" w:rsidRDefault="000005F4" w:rsidP="000005F4">
            <w:pPr>
              <w:pStyle w:val="TableTextNoSpace"/>
              <w:rPr>
                <w:rFonts w:cs="Arial"/>
                <w:sz w:val="18"/>
                <w:szCs w:val="18"/>
              </w:rPr>
            </w:pPr>
            <w:r w:rsidRPr="003C2DA1">
              <w:rPr>
                <w:rFonts w:cs="Arial"/>
                <w:color w:val="000000"/>
                <w:sz w:val="18"/>
                <w:szCs w:val="18"/>
              </w:rPr>
              <w:t xml:space="preserve">Art. 5.2 (c) </w:t>
            </w:r>
          </w:p>
        </w:tc>
        <w:tc>
          <w:tcPr>
            <w:tcW w:w="7089" w:type="dxa"/>
            <w:shd w:val="clear" w:color="auto" w:fill="auto"/>
            <w:vAlign w:val="bottom"/>
          </w:tcPr>
          <w:p w14:paraId="5311127E" w14:textId="77777777" w:rsidR="000005F4" w:rsidRPr="008B4F97" w:rsidRDefault="000005F4" w:rsidP="000005F4">
            <w:pPr>
              <w:pStyle w:val="TableTextNoSpace"/>
              <w:rPr>
                <w:rFonts w:cs="Arial"/>
                <w:sz w:val="18"/>
                <w:szCs w:val="18"/>
              </w:rPr>
            </w:pPr>
            <w:r w:rsidRPr="008B4F97">
              <w:rPr>
                <w:rFonts w:cs="Arial"/>
                <w:color w:val="000000"/>
                <w:sz w:val="18"/>
                <w:szCs w:val="18"/>
              </w:rPr>
              <w:t xml:space="preserve">Strengthening information communications technology. Including applications for e-government, e-learning and e-inclusion  </w:t>
            </w:r>
          </w:p>
        </w:tc>
      </w:tr>
      <w:tr w:rsidR="000005F4" w14:paraId="665B346C" w14:textId="77777777" w:rsidTr="000005F4">
        <w:tc>
          <w:tcPr>
            <w:tcW w:w="1982" w:type="dxa"/>
            <w:shd w:val="clear" w:color="auto" w:fill="auto"/>
          </w:tcPr>
          <w:p w14:paraId="6D439C83" w14:textId="77777777" w:rsidR="000005F4" w:rsidRPr="003C2DA1" w:rsidRDefault="000005F4" w:rsidP="000005F4">
            <w:pPr>
              <w:pStyle w:val="TableTextNoSpace"/>
              <w:rPr>
                <w:rFonts w:cs="Arial"/>
                <w:sz w:val="18"/>
                <w:szCs w:val="18"/>
              </w:rPr>
            </w:pPr>
            <w:r w:rsidRPr="003C2DA1">
              <w:rPr>
                <w:rFonts w:cs="Arial"/>
                <w:color w:val="000000"/>
                <w:sz w:val="18"/>
                <w:szCs w:val="18"/>
              </w:rPr>
              <w:t>Art. 5.3 (a)</w:t>
            </w:r>
          </w:p>
        </w:tc>
        <w:tc>
          <w:tcPr>
            <w:tcW w:w="7089" w:type="dxa"/>
            <w:shd w:val="clear" w:color="auto" w:fill="auto"/>
            <w:vAlign w:val="bottom"/>
          </w:tcPr>
          <w:p w14:paraId="55D84EFD" w14:textId="77777777" w:rsidR="000005F4" w:rsidRPr="008B4F97" w:rsidRDefault="000005F4" w:rsidP="000005F4">
            <w:pPr>
              <w:pStyle w:val="TableTextNoSpace"/>
              <w:rPr>
                <w:rFonts w:cs="Arial"/>
                <w:sz w:val="18"/>
                <w:szCs w:val="18"/>
              </w:rPr>
            </w:pPr>
            <w:r w:rsidRPr="008B4F97">
              <w:rPr>
                <w:rFonts w:cs="Arial"/>
                <w:color w:val="000000"/>
                <w:sz w:val="18"/>
                <w:szCs w:val="18"/>
              </w:rPr>
              <w:t xml:space="preserve">Promoting entrepreneurship. Facilitating economic exploitation of new ideas and fostering creation of new firms  </w:t>
            </w:r>
          </w:p>
        </w:tc>
      </w:tr>
      <w:tr w:rsidR="000005F4" w14:paraId="51724489" w14:textId="77777777" w:rsidTr="000005F4">
        <w:tc>
          <w:tcPr>
            <w:tcW w:w="1982" w:type="dxa"/>
            <w:shd w:val="clear" w:color="auto" w:fill="auto"/>
          </w:tcPr>
          <w:p w14:paraId="53F6FE62" w14:textId="77777777" w:rsidR="000005F4" w:rsidRPr="003C2DA1" w:rsidRDefault="000005F4" w:rsidP="000005F4">
            <w:pPr>
              <w:pStyle w:val="TableTextNoSpace"/>
              <w:rPr>
                <w:rFonts w:cs="Arial"/>
                <w:sz w:val="18"/>
                <w:szCs w:val="18"/>
              </w:rPr>
            </w:pPr>
            <w:r w:rsidRPr="003C2DA1">
              <w:rPr>
                <w:rFonts w:cs="Arial"/>
                <w:color w:val="000000"/>
                <w:sz w:val="18"/>
                <w:szCs w:val="18"/>
              </w:rPr>
              <w:t xml:space="preserve">Art. 5.4 (a) </w:t>
            </w:r>
          </w:p>
        </w:tc>
        <w:tc>
          <w:tcPr>
            <w:tcW w:w="7089" w:type="dxa"/>
            <w:shd w:val="clear" w:color="auto" w:fill="auto"/>
            <w:vAlign w:val="bottom"/>
          </w:tcPr>
          <w:p w14:paraId="4589C5B3" w14:textId="77777777" w:rsidR="000005F4" w:rsidRPr="008B4F97" w:rsidRDefault="000005F4" w:rsidP="000005F4">
            <w:pPr>
              <w:pStyle w:val="TableTextNoSpace"/>
              <w:rPr>
                <w:rFonts w:cs="Arial"/>
                <w:sz w:val="18"/>
                <w:szCs w:val="18"/>
              </w:rPr>
            </w:pPr>
            <w:r w:rsidRPr="008B4F97">
              <w:rPr>
                <w:rFonts w:cs="Arial"/>
                <w:color w:val="000000"/>
                <w:sz w:val="18"/>
                <w:szCs w:val="18"/>
              </w:rPr>
              <w:t xml:space="preserve">Promoting production and distribution of renewable energy sources </w:t>
            </w:r>
          </w:p>
        </w:tc>
      </w:tr>
      <w:tr w:rsidR="000005F4" w14:paraId="393FC2FC" w14:textId="77777777" w:rsidTr="000005F4">
        <w:tc>
          <w:tcPr>
            <w:tcW w:w="1982" w:type="dxa"/>
            <w:shd w:val="clear" w:color="auto" w:fill="auto"/>
          </w:tcPr>
          <w:p w14:paraId="27BC13D0" w14:textId="77777777" w:rsidR="000005F4" w:rsidRPr="003C2DA1" w:rsidRDefault="000005F4" w:rsidP="000005F4">
            <w:pPr>
              <w:pStyle w:val="TableTextNoSpace"/>
              <w:rPr>
                <w:rFonts w:cs="Arial"/>
                <w:sz w:val="18"/>
                <w:szCs w:val="18"/>
              </w:rPr>
            </w:pPr>
            <w:r w:rsidRPr="003C2DA1">
              <w:rPr>
                <w:rFonts w:cs="Arial"/>
                <w:color w:val="000000"/>
                <w:sz w:val="18"/>
                <w:szCs w:val="18"/>
              </w:rPr>
              <w:t xml:space="preserve">Art. 5.4 (c) </w:t>
            </w:r>
          </w:p>
        </w:tc>
        <w:tc>
          <w:tcPr>
            <w:tcW w:w="7089" w:type="dxa"/>
            <w:shd w:val="clear" w:color="auto" w:fill="auto"/>
            <w:vAlign w:val="bottom"/>
          </w:tcPr>
          <w:p w14:paraId="7550D672" w14:textId="77777777" w:rsidR="000005F4" w:rsidRPr="008B4F97" w:rsidRDefault="000005F4" w:rsidP="000005F4">
            <w:pPr>
              <w:pStyle w:val="TableTextNoSpace"/>
              <w:rPr>
                <w:rFonts w:cs="Arial"/>
                <w:sz w:val="18"/>
                <w:szCs w:val="18"/>
              </w:rPr>
            </w:pPr>
            <w:r w:rsidRPr="008B4F97">
              <w:rPr>
                <w:rFonts w:cs="Arial"/>
                <w:color w:val="000000"/>
                <w:sz w:val="18"/>
                <w:szCs w:val="18"/>
              </w:rPr>
              <w:t xml:space="preserve">Supporting energy efficiency and renewable energy in public infrastructure and housing </w:t>
            </w:r>
          </w:p>
        </w:tc>
      </w:tr>
      <w:tr w:rsidR="000005F4" w14:paraId="3712AA90" w14:textId="77777777" w:rsidTr="000005F4">
        <w:tc>
          <w:tcPr>
            <w:tcW w:w="1982" w:type="dxa"/>
            <w:shd w:val="clear" w:color="auto" w:fill="EAF1DD" w:themeFill="accent3" w:themeFillTint="33"/>
          </w:tcPr>
          <w:p w14:paraId="5E2802DB" w14:textId="77777777" w:rsidR="000005F4" w:rsidRPr="003C2DA1" w:rsidRDefault="000005F4" w:rsidP="000005F4">
            <w:pPr>
              <w:pStyle w:val="TableTextNoSpace"/>
              <w:rPr>
                <w:rFonts w:cs="Arial"/>
                <w:sz w:val="18"/>
                <w:szCs w:val="18"/>
              </w:rPr>
            </w:pPr>
            <w:r w:rsidRPr="003C2DA1">
              <w:rPr>
                <w:rFonts w:cs="Arial"/>
                <w:color w:val="000000"/>
                <w:sz w:val="18"/>
                <w:szCs w:val="18"/>
              </w:rPr>
              <w:t>Art. 5.4 (e)</w:t>
            </w:r>
          </w:p>
        </w:tc>
        <w:tc>
          <w:tcPr>
            <w:tcW w:w="7089" w:type="dxa"/>
            <w:shd w:val="clear" w:color="auto" w:fill="EAF1DD" w:themeFill="accent3" w:themeFillTint="33"/>
            <w:vAlign w:val="bottom"/>
          </w:tcPr>
          <w:p w14:paraId="40026613" w14:textId="77777777" w:rsidR="000005F4" w:rsidRPr="008B4F97" w:rsidRDefault="000005F4" w:rsidP="000005F4">
            <w:pPr>
              <w:pStyle w:val="TableTextNoSpace"/>
              <w:rPr>
                <w:rFonts w:cs="Arial"/>
                <w:sz w:val="18"/>
                <w:szCs w:val="18"/>
              </w:rPr>
            </w:pPr>
            <w:r w:rsidRPr="008B4F97">
              <w:rPr>
                <w:rFonts w:cs="Arial"/>
                <w:color w:val="000000"/>
                <w:sz w:val="18"/>
                <w:szCs w:val="18"/>
              </w:rPr>
              <w:t xml:space="preserve">Promoting low-carbon strategies for urban areas </w:t>
            </w:r>
          </w:p>
        </w:tc>
      </w:tr>
      <w:tr w:rsidR="000005F4" w14:paraId="047CB34C" w14:textId="77777777" w:rsidTr="000005F4">
        <w:tc>
          <w:tcPr>
            <w:tcW w:w="1982" w:type="dxa"/>
            <w:shd w:val="clear" w:color="auto" w:fill="auto"/>
          </w:tcPr>
          <w:p w14:paraId="622630F9" w14:textId="77777777" w:rsidR="000005F4" w:rsidRPr="003C2DA1" w:rsidRDefault="000005F4" w:rsidP="000005F4">
            <w:pPr>
              <w:pStyle w:val="TableTextNoSpace"/>
              <w:rPr>
                <w:rFonts w:cs="Arial"/>
                <w:sz w:val="18"/>
                <w:szCs w:val="18"/>
              </w:rPr>
            </w:pPr>
            <w:r w:rsidRPr="003C2DA1">
              <w:rPr>
                <w:rFonts w:cs="Arial"/>
                <w:color w:val="000000"/>
                <w:sz w:val="18"/>
                <w:szCs w:val="18"/>
              </w:rPr>
              <w:t xml:space="preserve">Art. 5.5 (a) </w:t>
            </w:r>
          </w:p>
        </w:tc>
        <w:tc>
          <w:tcPr>
            <w:tcW w:w="7089" w:type="dxa"/>
            <w:shd w:val="clear" w:color="auto" w:fill="auto"/>
            <w:vAlign w:val="bottom"/>
          </w:tcPr>
          <w:p w14:paraId="6E31B86A" w14:textId="77777777" w:rsidR="000005F4" w:rsidRPr="008B4F97" w:rsidRDefault="000005F4" w:rsidP="000005F4">
            <w:pPr>
              <w:pStyle w:val="TableTextNoSpace"/>
              <w:rPr>
                <w:rFonts w:cs="Arial"/>
                <w:sz w:val="18"/>
                <w:szCs w:val="18"/>
              </w:rPr>
            </w:pPr>
            <w:r w:rsidRPr="008B4F97">
              <w:rPr>
                <w:rFonts w:cs="Arial"/>
                <w:color w:val="000000"/>
                <w:sz w:val="18"/>
                <w:szCs w:val="18"/>
              </w:rPr>
              <w:t xml:space="preserve">Supporting dedicated investment for adaptation to climate change </w:t>
            </w:r>
          </w:p>
        </w:tc>
      </w:tr>
      <w:tr w:rsidR="000005F4" w14:paraId="03FA0D16" w14:textId="77777777" w:rsidTr="000005F4">
        <w:tc>
          <w:tcPr>
            <w:tcW w:w="1982" w:type="dxa"/>
            <w:shd w:val="clear" w:color="auto" w:fill="auto"/>
          </w:tcPr>
          <w:p w14:paraId="3EF71698" w14:textId="77777777" w:rsidR="000005F4" w:rsidRPr="003C2DA1" w:rsidRDefault="000005F4" w:rsidP="000005F4">
            <w:pPr>
              <w:pStyle w:val="TableTextNoSpace"/>
              <w:rPr>
                <w:rFonts w:cs="Arial"/>
                <w:sz w:val="18"/>
                <w:szCs w:val="18"/>
              </w:rPr>
            </w:pPr>
            <w:r w:rsidRPr="003C2DA1">
              <w:rPr>
                <w:rFonts w:cs="Arial"/>
                <w:color w:val="000000"/>
                <w:sz w:val="18"/>
                <w:szCs w:val="18"/>
              </w:rPr>
              <w:t xml:space="preserve">Art. 5.5 (b) </w:t>
            </w:r>
          </w:p>
        </w:tc>
        <w:tc>
          <w:tcPr>
            <w:tcW w:w="7089" w:type="dxa"/>
            <w:shd w:val="clear" w:color="auto" w:fill="auto"/>
            <w:vAlign w:val="bottom"/>
          </w:tcPr>
          <w:p w14:paraId="282A9099" w14:textId="77777777" w:rsidR="000005F4" w:rsidRPr="008B4F97" w:rsidRDefault="000005F4" w:rsidP="000005F4">
            <w:pPr>
              <w:pStyle w:val="TableTextNoSpace"/>
              <w:rPr>
                <w:rFonts w:cs="Arial"/>
                <w:sz w:val="18"/>
                <w:szCs w:val="18"/>
              </w:rPr>
            </w:pPr>
            <w:r w:rsidRPr="008B4F97">
              <w:rPr>
                <w:rFonts w:cs="Arial"/>
                <w:color w:val="000000"/>
                <w:sz w:val="18"/>
                <w:szCs w:val="18"/>
              </w:rPr>
              <w:t xml:space="preserve">Promoting investment to address specific risks. Ensuring disaster resilience and developing disaster management systems </w:t>
            </w:r>
          </w:p>
        </w:tc>
      </w:tr>
      <w:tr w:rsidR="000005F4" w14:paraId="633CD4BA" w14:textId="77777777" w:rsidTr="000005F4">
        <w:tc>
          <w:tcPr>
            <w:tcW w:w="1982" w:type="dxa"/>
            <w:shd w:val="clear" w:color="auto" w:fill="auto"/>
          </w:tcPr>
          <w:p w14:paraId="2AD4ADC1" w14:textId="77777777" w:rsidR="000005F4" w:rsidRPr="003C2DA1" w:rsidRDefault="000005F4" w:rsidP="000005F4">
            <w:pPr>
              <w:pStyle w:val="TableTextNoSpace"/>
              <w:rPr>
                <w:rFonts w:cs="Arial"/>
                <w:sz w:val="18"/>
                <w:szCs w:val="18"/>
              </w:rPr>
            </w:pPr>
            <w:r w:rsidRPr="003C2DA1">
              <w:rPr>
                <w:rFonts w:cs="Arial"/>
                <w:color w:val="000000"/>
                <w:sz w:val="18"/>
                <w:szCs w:val="18"/>
              </w:rPr>
              <w:t xml:space="preserve">Art. 5.6 (a) </w:t>
            </w:r>
          </w:p>
        </w:tc>
        <w:tc>
          <w:tcPr>
            <w:tcW w:w="7089" w:type="dxa"/>
            <w:shd w:val="clear" w:color="auto" w:fill="auto"/>
            <w:vAlign w:val="bottom"/>
          </w:tcPr>
          <w:p w14:paraId="3C1A97C2" w14:textId="77777777" w:rsidR="000005F4" w:rsidRPr="008B4F97" w:rsidRDefault="000005F4" w:rsidP="000005F4">
            <w:pPr>
              <w:pStyle w:val="TableTextNoSpace"/>
              <w:rPr>
                <w:rFonts w:cs="Arial"/>
                <w:sz w:val="18"/>
                <w:szCs w:val="18"/>
              </w:rPr>
            </w:pPr>
            <w:r w:rsidRPr="008B4F97">
              <w:rPr>
                <w:rFonts w:cs="Arial"/>
                <w:color w:val="000000"/>
                <w:sz w:val="18"/>
                <w:szCs w:val="18"/>
              </w:rPr>
              <w:t>Waste sector investment. Addressing investment needs to meet environmental requirements</w:t>
            </w:r>
          </w:p>
        </w:tc>
      </w:tr>
      <w:tr w:rsidR="000005F4" w14:paraId="24337C7B" w14:textId="77777777" w:rsidTr="000005F4">
        <w:tc>
          <w:tcPr>
            <w:tcW w:w="1982" w:type="dxa"/>
            <w:shd w:val="clear" w:color="auto" w:fill="EAF1DD" w:themeFill="accent3" w:themeFillTint="33"/>
          </w:tcPr>
          <w:p w14:paraId="2FB9C8F3" w14:textId="77777777" w:rsidR="000005F4" w:rsidRPr="003C2DA1" w:rsidRDefault="000005F4" w:rsidP="000005F4">
            <w:pPr>
              <w:pStyle w:val="TableTextNoSpace"/>
              <w:rPr>
                <w:rFonts w:cs="Arial"/>
                <w:sz w:val="18"/>
                <w:szCs w:val="18"/>
              </w:rPr>
            </w:pPr>
            <w:r w:rsidRPr="003C2DA1">
              <w:rPr>
                <w:rFonts w:cs="Arial"/>
                <w:color w:val="000000"/>
                <w:sz w:val="18"/>
                <w:szCs w:val="18"/>
              </w:rPr>
              <w:t>Art. 5.6 (c)</w:t>
            </w:r>
          </w:p>
        </w:tc>
        <w:tc>
          <w:tcPr>
            <w:tcW w:w="7089" w:type="dxa"/>
            <w:shd w:val="clear" w:color="auto" w:fill="EAF1DD" w:themeFill="accent3" w:themeFillTint="33"/>
            <w:vAlign w:val="bottom"/>
          </w:tcPr>
          <w:p w14:paraId="055EE2E7" w14:textId="77777777" w:rsidR="000005F4" w:rsidRPr="008B4F97" w:rsidRDefault="000005F4" w:rsidP="000005F4">
            <w:pPr>
              <w:pStyle w:val="TableTextNoSpace"/>
              <w:rPr>
                <w:rFonts w:cs="Arial"/>
                <w:sz w:val="18"/>
                <w:szCs w:val="18"/>
              </w:rPr>
            </w:pPr>
            <w:r w:rsidRPr="008B4F97">
              <w:rPr>
                <w:rFonts w:cs="Arial"/>
                <w:color w:val="000000"/>
                <w:sz w:val="18"/>
                <w:szCs w:val="18"/>
              </w:rPr>
              <w:t xml:space="preserve">Protecting, promoting and developing cultural heritage </w:t>
            </w:r>
          </w:p>
        </w:tc>
      </w:tr>
      <w:tr w:rsidR="000005F4" w14:paraId="674BAACD" w14:textId="77777777" w:rsidTr="000005F4">
        <w:tc>
          <w:tcPr>
            <w:tcW w:w="1982" w:type="dxa"/>
            <w:shd w:val="clear" w:color="auto" w:fill="EAF1DD" w:themeFill="accent3" w:themeFillTint="33"/>
          </w:tcPr>
          <w:p w14:paraId="663B35E0" w14:textId="77777777" w:rsidR="000005F4" w:rsidRPr="003C2DA1" w:rsidRDefault="000005F4" w:rsidP="000005F4">
            <w:pPr>
              <w:pStyle w:val="TableTextNoSpace"/>
              <w:rPr>
                <w:rFonts w:cs="Arial"/>
                <w:sz w:val="18"/>
                <w:szCs w:val="18"/>
              </w:rPr>
            </w:pPr>
            <w:r w:rsidRPr="003C2DA1">
              <w:rPr>
                <w:rFonts w:cs="Arial"/>
                <w:color w:val="000000"/>
                <w:sz w:val="18"/>
                <w:szCs w:val="18"/>
              </w:rPr>
              <w:t xml:space="preserve">Art. 5.6 (d) </w:t>
            </w:r>
          </w:p>
        </w:tc>
        <w:tc>
          <w:tcPr>
            <w:tcW w:w="7089" w:type="dxa"/>
            <w:shd w:val="clear" w:color="auto" w:fill="EAF1DD" w:themeFill="accent3" w:themeFillTint="33"/>
            <w:vAlign w:val="bottom"/>
          </w:tcPr>
          <w:p w14:paraId="088EBF40" w14:textId="77777777" w:rsidR="000005F4" w:rsidRPr="008B4F97" w:rsidRDefault="000005F4" w:rsidP="000005F4">
            <w:pPr>
              <w:pStyle w:val="TableTextNoSpace"/>
              <w:rPr>
                <w:rFonts w:cs="Arial"/>
                <w:sz w:val="18"/>
                <w:szCs w:val="18"/>
              </w:rPr>
            </w:pPr>
            <w:r w:rsidRPr="008B4F97">
              <w:rPr>
                <w:rFonts w:cs="Arial"/>
                <w:color w:val="000000"/>
                <w:sz w:val="18"/>
                <w:szCs w:val="18"/>
              </w:rPr>
              <w:t xml:space="preserve">Protecting biodiversity and ecosystem services. Including Natura 2000 and green infrastructure </w:t>
            </w:r>
          </w:p>
        </w:tc>
      </w:tr>
      <w:tr w:rsidR="000005F4" w14:paraId="620EB853" w14:textId="77777777" w:rsidTr="000005F4">
        <w:tc>
          <w:tcPr>
            <w:tcW w:w="1982" w:type="dxa"/>
            <w:shd w:val="clear" w:color="auto" w:fill="auto"/>
          </w:tcPr>
          <w:p w14:paraId="5CE46F49" w14:textId="77777777" w:rsidR="000005F4" w:rsidRPr="003C2DA1" w:rsidRDefault="000005F4" w:rsidP="000005F4">
            <w:pPr>
              <w:pStyle w:val="TableTextNoSpace"/>
              <w:rPr>
                <w:rFonts w:cs="Arial"/>
                <w:sz w:val="18"/>
                <w:szCs w:val="18"/>
              </w:rPr>
            </w:pPr>
            <w:r w:rsidRPr="003C2DA1">
              <w:rPr>
                <w:rFonts w:cs="Arial"/>
                <w:color w:val="000000"/>
                <w:sz w:val="18"/>
                <w:szCs w:val="18"/>
              </w:rPr>
              <w:t>Art. 5.6 (e)</w:t>
            </w:r>
          </w:p>
        </w:tc>
        <w:tc>
          <w:tcPr>
            <w:tcW w:w="7089" w:type="dxa"/>
            <w:shd w:val="clear" w:color="auto" w:fill="auto"/>
            <w:vAlign w:val="bottom"/>
          </w:tcPr>
          <w:p w14:paraId="428E242D" w14:textId="77777777" w:rsidR="000005F4" w:rsidRPr="008B4F97" w:rsidRDefault="000005F4" w:rsidP="000005F4">
            <w:pPr>
              <w:pStyle w:val="TableTextNoSpace"/>
              <w:rPr>
                <w:rFonts w:cs="Arial"/>
                <w:sz w:val="18"/>
                <w:szCs w:val="18"/>
              </w:rPr>
            </w:pPr>
            <w:r w:rsidRPr="008B4F97">
              <w:rPr>
                <w:rFonts w:cs="Arial"/>
                <w:color w:val="000000"/>
                <w:sz w:val="18"/>
                <w:szCs w:val="18"/>
              </w:rPr>
              <w:t>Action to improve the urban environment. Including regeneration of brownfield sites and reduction of air pollution</w:t>
            </w:r>
          </w:p>
        </w:tc>
      </w:tr>
      <w:tr w:rsidR="000005F4" w14:paraId="78D6D962" w14:textId="77777777" w:rsidTr="000005F4">
        <w:tc>
          <w:tcPr>
            <w:tcW w:w="1982" w:type="dxa"/>
            <w:shd w:val="clear" w:color="auto" w:fill="auto"/>
          </w:tcPr>
          <w:p w14:paraId="69C22A28" w14:textId="77777777" w:rsidR="000005F4" w:rsidRPr="003C2DA1" w:rsidRDefault="000005F4" w:rsidP="000005F4">
            <w:pPr>
              <w:pStyle w:val="TableTextNoSpace"/>
              <w:rPr>
                <w:rFonts w:cs="Arial"/>
                <w:sz w:val="18"/>
                <w:szCs w:val="18"/>
              </w:rPr>
            </w:pPr>
            <w:r w:rsidRPr="003C2DA1">
              <w:rPr>
                <w:rFonts w:cs="Arial"/>
                <w:color w:val="000000"/>
                <w:sz w:val="18"/>
                <w:szCs w:val="18"/>
              </w:rPr>
              <w:t xml:space="preserve">Art. 5.7 (c) </w:t>
            </w:r>
          </w:p>
        </w:tc>
        <w:tc>
          <w:tcPr>
            <w:tcW w:w="7089" w:type="dxa"/>
            <w:shd w:val="clear" w:color="auto" w:fill="auto"/>
            <w:vAlign w:val="bottom"/>
          </w:tcPr>
          <w:p w14:paraId="58D830D9" w14:textId="77777777" w:rsidR="000005F4" w:rsidRPr="008B4F97" w:rsidRDefault="000005F4" w:rsidP="000005F4">
            <w:pPr>
              <w:pStyle w:val="TableTextNoSpace"/>
              <w:rPr>
                <w:rFonts w:cs="Arial"/>
                <w:sz w:val="18"/>
                <w:szCs w:val="18"/>
              </w:rPr>
            </w:pPr>
            <w:r w:rsidRPr="008B4F97">
              <w:rPr>
                <w:rFonts w:cs="Arial"/>
                <w:color w:val="000000"/>
                <w:sz w:val="18"/>
                <w:szCs w:val="18"/>
              </w:rPr>
              <w:t xml:space="preserve">Developing environmentally-friendly and low carbon transport </w:t>
            </w:r>
          </w:p>
        </w:tc>
      </w:tr>
      <w:tr w:rsidR="000005F4" w14:paraId="433D51D3" w14:textId="77777777" w:rsidTr="000005F4">
        <w:tc>
          <w:tcPr>
            <w:tcW w:w="1982" w:type="dxa"/>
            <w:shd w:val="clear" w:color="auto" w:fill="auto"/>
          </w:tcPr>
          <w:p w14:paraId="655E7BA9" w14:textId="77777777" w:rsidR="000005F4" w:rsidRPr="003C2DA1" w:rsidRDefault="000005F4" w:rsidP="000005F4">
            <w:pPr>
              <w:pStyle w:val="TableTextNoSpace"/>
              <w:rPr>
                <w:rFonts w:cs="Arial"/>
                <w:sz w:val="18"/>
                <w:szCs w:val="18"/>
              </w:rPr>
            </w:pPr>
            <w:r w:rsidRPr="003C2DA1">
              <w:rPr>
                <w:rFonts w:cs="Arial"/>
                <w:color w:val="000000"/>
                <w:sz w:val="18"/>
                <w:szCs w:val="18"/>
              </w:rPr>
              <w:t>Art. 5.8 (a)</w:t>
            </w:r>
          </w:p>
        </w:tc>
        <w:tc>
          <w:tcPr>
            <w:tcW w:w="7089" w:type="dxa"/>
            <w:shd w:val="clear" w:color="auto" w:fill="auto"/>
            <w:vAlign w:val="bottom"/>
          </w:tcPr>
          <w:p w14:paraId="74BAF45C" w14:textId="77777777" w:rsidR="000005F4" w:rsidRPr="008B4F97" w:rsidRDefault="000005F4" w:rsidP="000005F4">
            <w:pPr>
              <w:pStyle w:val="TableTextNoSpace"/>
              <w:rPr>
                <w:rFonts w:cs="Arial"/>
                <w:sz w:val="18"/>
                <w:szCs w:val="18"/>
              </w:rPr>
            </w:pPr>
            <w:r w:rsidRPr="008B4F97">
              <w:rPr>
                <w:rFonts w:cs="Arial"/>
                <w:color w:val="000000"/>
                <w:sz w:val="18"/>
                <w:szCs w:val="18"/>
              </w:rPr>
              <w:t xml:space="preserve">Development of business incubators. Investment for support of self-employment and business creation </w:t>
            </w:r>
          </w:p>
        </w:tc>
      </w:tr>
      <w:tr w:rsidR="000005F4" w14:paraId="374D2480" w14:textId="77777777" w:rsidTr="000005F4">
        <w:tc>
          <w:tcPr>
            <w:tcW w:w="1982" w:type="dxa"/>
            <w:shd w:val="clear" w:color="auto" w:fill="auto"/>
          </w:tcPr>
          <w:p w14:paraId="2278F4C7" w14:textId="77777777" w:rsidR="000005F4" w:rsidRPr="003C2DA1" w:rsidRDefault="000005F4" w:rsidP="000005F4">
            <w:pPr>
              <w:pStyle w:val="TableTextNoSpace"/>
              <w:rPr>
                <w:rFonts w:cs="Arial"/>
                <w:sz w:val="18"/>
                <w:szCs w:val="18"/>
              </w:rPr>
            </w:pPr>
            <w:r w:rsidRPr="003C2DA1">
              <w:rPr>
                <w:rFonts w:cs="Arial"/>
                <w:color w:val="000000"/>
                <w:sz w:val="18"/>
                <w:szCs w:val="18"/>
              </w:rPr>
              <w:t>Art. 5.9 (a)</w:t>
            </w:r>
          </w:p>
        </w:tc>
        <w:tc>
          <w:tcPr>
            <w:tcW w:w="7089" w:type="dxa"/>
            <w:shd w:val="clear" w:color="auto" w:fill="auto"/>
            <w:vAlign w:val="bottom"/>
          </w:tcPr>
          <w:p w14:paraId="15534A11" w14:textId="77777777" w:rsidR="000005F4" w:rsidRPr="008B4F97" w:rsidRDefault="000005F4" w:rsidP="000005F4">
            <w:pPr>
              <w:pStyle w:val="TableTextNoSpace"/>
              <w:rPr>
                <w:rFonts w:cs="Arial"/>
                <w:sz w:val="18"/>
                <w:szCs w:val="18"/>
              </w:rPr>
            </w:pPr>
            <w:r w:rsidRPr="008B4F97">
              <w:rPr>
                <w:rFonts w:cs="Arial"/>
                <w:color w:val="000000"/>
                <w:sz w:val="18"/>
                <w:szCs w:val="18"/>
              </w:rPr>
              <w:t xml:space="preserve">Investing in health and social infrastructure </w:t>
            </w:r>
          </w:p>
        </w:tc>
      </w:tr>
      <w:tr w:rsidR="000005F4" w14:paraId="3AF24391" w14:textId="77777777" w:rsidTr="000005F4">
        <w:tc>
          <w:tcPr>
            <w:tcW w:w="1982" w:type="dxa"/>
            <w:shd w:val="clear" w:color="auto" w:fill="auto"/>
          </w:tcPr>
          <w:p w14:paraId="257E106D" w14:textId="77777777" w:rsidR="000005F4" w:rsidRPr="003C2DA1" w:rsidRDefault="000005F4" w:rsidP="000005F4">
            <w:pPr>
              <w:pStyle w:val="TableTextNoSpace"/>
              <w:rPr>
                <w:rFonts w:cs="Arial"/>
                <w:sz w:val="18"/>
                <w:szCs w:val="18"/>
              </w:rPr>
            </w:pPr>
            <w:r w:rsidRPr="003C2DA1">
              <w:rPr>
                <w:rFonts w:cs="Arial"/>
                <w:color w:val="000000"/>
                <w:sz w:val="18"/>
                <w:szCs w:val="18"/>
              </w:rPr>
              <w:t>Art. 5.9 (b)</w:t>
            </w:r>
          </w:p>
        </w:tc>
        <w:tc>
          <w:tcPr>
            <w:tcW w:w="7089" w:type="dxa"/>
            <w:shd w:val="clear" w:color="auto" w:fill="auto"/>
            <w:vAlign w:val="bottom"/>
          </w:tcPr>
          <w:p w14:paraId="7048FBD6" w14:textId="77777777" w:rsidR="000005F4" w:rsidRPr="008B4F97" w:rsidRDefault="000005F4" w:rsidP="000005F4">
            <w:pPr>
              <w:pStyle w:val="TableTextNoSpace"/>
              <w:rPr>
                <w:rFonts w:cs="Arial"/>
                <w:sz w:val="18"/>
                <w:szCs w:val="18"/>
              </w:rPr>
            </w:pPr>
            <w:r w:rsidRPr="008B4F97">
              <w:rPr>
                <w:rFonts w:cs="Arial"/>
                <w:color w:val="000000"/>
                <w:sz w:val="18"/>
                <w:szCs w:val="18"/>
              </w:rPr>
              <w:t xml:space="preserve">Support for physical and economic regeneration of deprived urban and rural communities </w:t>
            </w:r>
          </w:p>
        </w:tc>
      </w:tr>
      <w:tr w:rsidR="000005F4" w14:paraId="6F175B5A" w14:textId="77777777" w:rsidTr="000005F4">
        <w:tc>
          <w:tcPr>
            <w:tcW w:w="1982" w:type="dxa"/>
            <w:shd w:val="clear" w:color="auto" w:fill="auto"/>
          </w:tcPr>
          <w:p w14:paraId="7B16F135" w14:textId="77777777" w:rsidR="000005F4" w:rsidRPr="003C2DA1" w:rsidRDefault="000005F4" w:rsidP="000005F4">
            <w:pPr>
              <w:pStyle w:val="TableTextNoSpace"/>
              <w:rPr>
                <w:rFonts w:cs="Arial"/>
                <w:sz w:val="18"/>
                <w:szCs w:val="18"/>
              </w:rPr>
            </w:pPr>
            <w:r w:rsidRPr="003C2DA1">
              <w:rPr>
                <w:rFonts w:cs="Arial"/>
                <w:color w:val="000000"/>
                <w:sz w:val="18"/>
                <w:szCs w:val="18"/>
              </w:rPr>
              <w:t>Art. 5.9 (c)</w:t>
            </w:r>
          </w:p>
        </w:tc>
        <w:tc>
          <w:tcPr>
            <w:tcW w:w="7089" w:type="dxa"/>
            <w:shd w:val="clear" w:color="auto" w:fill="auto"/>
            <w:vAlign w:val="bottom"/>
          </w:tcPr>
          <w:p w14:paraId="3A306ECC" w14:textId="77777777" w:rsidR="000005F4" w:rsidRPr="008B4F97" w:rsidRDefault="000005F4" w:rsidP="000005F4">
            <w:pPr>
              <w:pStyle w:val="TableTextNoSpace"/>
              <w:rPr>
                <w:rFonts w:cs="Arial"/>
                <w:sz w:val="18"/>
                <w:szCs w:val="18"/>
              </w:rPr>
            </w:pPr>
            <w:r w:rsidRPr="008B4F97">
              <w:rPr>
                <w:rFonts w:cs="Arial"/>
                <w:color w:val="000000"/>
                <w:sz w:val="18"/>
                <w:szCs w:val="18"/>
              </w:rPr>
              <w:t xml:space="preserve">Support to social enterprises </w:t>
            </w:r>
          </w:p>
        </w:tc>
      </w:tr>
      <w:tr w:rsidR="000005F4" w14:paraId="433B2B52" w14:textId="77777777" w:rsidTr="000005F4">
        <w:tc>
          <w:tcPr>
            <w:tcW w:w="1982" w:type="dxa"/>
            <w:shd w:val="clear" w:color="auto" w:fill="auto"/>
          </w:tcPr>
          <w:p w14:paraId="6E188454" w14:textId="77777777" w:rsidR="000005F4" w:rsidRPr="003C2DA1" w:rsidRDefault="000005F4" w:rsidP="000005F4">
            <w:pPr>
              <w:pStyle w:val="TableTextNoSpace"/>
              <w:rPr>
                <w:rFonts w:cs="Arial"/>
                <w:sz w:val="18"/>
                <w:szCs w:val="18"/>
              </w:rPr>
            </w:pPr>
            <w:r w:rsidRPr="003C2DA1">
              <w:rPr>
                <w:rFonts w:cs="Arial"/>
                <w:color w:val="000000"/>
                <w:sz w:val="18"/>
                <w:szCs w:val="18"/>
              </w:rPr>
              <w:t xml:space="preserve">Art. 5.10 </w:t>
            </w:r>
          </w:p>
        </w:tc>
        <w:tc>
          <w:tcPr>
            <w:tcW w:w="7089" w:type="dxa"/>
            <w:shd w:val="clear" w:color="auto" w:fill="auto"/>
            <w:vAlign w:val="bottom"/>
          </w:tcPr>
          <w:p w14:paraId="3D997570" w14:textId="77777777" w:rsidR="000005F4" w:rsidRPr="008B4F97" w:rsidRDefault="000005F4" w:rsidP="000005F4">
            <w:pPr>
              <w:pStyle w:val="TableTextNoSpace"/>
              <w:rPr>
                <w:rFonts w:cs="Arial"/>
                <w:sz w:val="18"/>
                <w:szCs w:val="18"/>
              </w:rPr>
            </w:pPr>
            <w:r w:rsidRPr="008B4F97">
              <w:rPr>
                <w:rFonts w:cs="Arial"/>
                <w:color w:val="000000"/>
                <w:sz w:val="18"/>
                <w:szCs w:val="18"/>
              </w:rPr>
              <w:t xml:space="preserve">Investing in education, skills and lifelong learning </w:t>
            </w:r>
          </w:p>
        </w:tc>
      </w:tr>
      <w:tr w:rsidR="000005F4" w14:paraId="4D5BFA53" w14:textId="77777777" w:rsidTr="000005F4">
        <w:tc>
          <w:tcPr>
            <w:tcW w:w="1982" w:type="dxa"/>
            <w:shd w:val="clear" w:color="auto" w:fill="auto"/>
          </w:tcPr>
          <w:p w14:paraId="4FF9B644" w14:textId="77777777" w:rsidR="000005F4" w:rsidRPr="003C2DA1" w:rsidRDefault="000005F4" w:rsidP="000005F4">
            <w:pPr>
              <w:pStyle w:val="TableTextNoSpace"/>
              <w:rPr>
                <w:rFonts w:cs="Arial"/>
                <w:sz w:val="18"/>
                <w:szCs w:val="18"/>
              </w:rPr>
            </w:pPr>
            <w:r w:rsidRPr="003C2DA1">
              <w:rPr>
                <w:rFonts w:cs="Arial"/>
                <w:color w:val="000000"/>
                <w:sz w:val="18"/>
                <w:szCs w:val="18"/>
              </w:rPr>
              <w:t xml:space="preserve">Art. 5.11 </w:t>
            </w:r>
          </w:p>
        </w:tc>
        <w:tc>
          <w:tcPr>
            <w:tcW w:w="7089" w:type="dxa"/>
            <w:shd w:val="clear" w:color="auto" w:fill="auto"/>
            <w:vAlign w:val="bottom"/>
          </w:tcPr>
          <w:p w14:paraId="39D22180" w14:textId="77777777" w:rsidR="000005F4" w:rsidRPr="008B4F97" w:rsidRDefault="000005F4" w:rsidP="000005F4">
            <w:pPr>
              <w:pStyle w:val="TableTextNoSpace"/>
              <w:rPr>
                <w:rFonts w:cs="Arial"/>
                <w:sz w:val="18"/>
                <w:szCs w:val="18"/>
              </w:rPr>
            </w:pPr>
            <w:r w:rsidRPr="008B4F97">
              <w:rPr>
                <w:rFonts w:cs="Arial"/>
                <w:color w:val="000000"/>
                <w:sz w:val="18"/>
                <w:szCs w:val="18"/>
              </w:rPr>
              <w:t>Enhancing institutional capacity and administrative efficiency. Support of actions on institutional capacity and efficiency of public administration supported by ESF</w:t>
            </w:r>
          </w:p>
        </w:tc>
      </w:tr>
      <w:tr w:rsidR="000005F4" w14:paraId="5308407E" w14:textId="77777777" w:rsidTr="000005F4">
        <w:tc>
          <w:tcPr>
            <w:tcW w:w="1982" w:type="dxa"/>
            <w:shd w:val="clear" w:color="auto" w:fill="auto"/>
          </w:tcPr>
          <w:p w14:paraId="5C9F1F49" w14:textId="77777777" w:rsidR="000005F4" w:rsidRPr="003C2DA1" w:rsidRDefault="000005F4" w:rsidP="000005F4">
            <w:pPr>
              <w:pStyle w:val="TableTextNoSpace"/>
              <w:rPr>
                <w:rFonts w:cs="Arial"/>
                <w:sz w:val="18"/>
                <w:szCs w:val="18"/>
              </w:rPr>
            </w:pPr>
            <w:r w:rsidRPr="003C2DA1">
              <w:rPr>
                <w:rFonts w:cs="Arial"/>
                <w:color w:val="000000"/>
                <w:sz w:val="18"/>
                <w:szCs w:val="18"/>
              </w:rPr>
              <w:t xml:space="preserve">Art. 6 a </w:t>
            </w:r>
          </w:p>
        </w:tc>
        <w:tc>
          <w:tcPr>
            <w:tcW w:w="7089" w:type="dxa"/>
            <w:shd w:val="clear" w:color="auto" w:fill="auto"/>
            <w:vAlign w:val="bottom"/>
          </w:tcPr>
          <w:p w14:paraId="5F802B41" w14:textId="77777777" w:rsidR="000005F4" w:rsidRPr="008B4F97" w:rsidRDefault="000005F4" w:rsidP="000005F4">
            <w:pPr>
              <w:pStyle w:val="TableTextNoSpace"/>
              <w:rPr>
                <w:rFonts w:cs="Arial"/>
                <w:sz w:val="18"/>
                <w:szCs w:val="18"/>
              </w:rPr>
            </w:pPr>
            <w:r w:rsidRPr="008B4F97">
              <w:rPr>
                <w:rFonts w:cs="Arial"/>
                <w:color w:val="000000"/>
                <w:sz w:val="18"/>
                <w:szCs w:val="18"/>
              </w:rPr>
              <w:t>Sharing of HR, facilities and infrastructure under cross-border cooperation</w:t>
            </w:r>
          </w:p>
        </w:tc>
      </w:tr>
      <w:tr w:rsidR="000005F4" w14:paraId="6B6EE71C" w14:textId="77777777" w:rsidTr="000005F4">
        <w:tc>
          <w:tcPr>
            <w:tcW w:w="1982" w:type="dxa"/>
            <w:shd w:val="clear" w:color="auto" w:fill="auto"/>
          </w:tcPr>
          <w:p w14:paraId="7E9F007B" w14:textId="77777777" w:rsidR="000005F4" w:rsidRPr="003C2DA1" w:rsidRDefault="000005F4" w:rsidP="000005F4">
            <w:pPr>
              <w:pStyle w:val="TableTextNoSpace"/>
              <w:rPr>
                <w:rFonts w:cs="Arial"/>
                <w:sz w:val="18"/>
                <w:szCs w:val="18"/>
              </w:rPr>
            </w:pPr>
            <w:r w:rsidRPr="003C2DA1">
              <w:rPr>
                <w:rFonts w:cs="Arial"/>
                <w:color w:val="000000"/>
                <w:sz w:val="18"/>
                <w:szCs w:val="18"/>
              </w:rPr>
              <w:t>Art. 6 b</w:t>
            </w:r>
          </w:p>
        </w:tc>
        <w:tc>
          <w:tcPr>
            <w:tcW w:w="7089" w:type="dxa"/>
            <w:shd w:val="clear" w:color="auto" w:fill="auto"/>
            <w:vAlign w:val="bottom"/>
          </w:tcPr>
          <w:p w14:paraId="34E25F4D" w14:textId="77777777" w:rsidR="000005F4" w:rsidRPr="008B4F97" w:rsidRDefault="000005F4" w:rsidP="000005F4">
            <w:pPr>
              <w:pStyle w:val="TableTextNoSpace"/>
              <w:rPr>
                <w:rFonts w:cs="Arial"/>
                <w:sz w:val="18"/>
                <w:szCs w:val="18"/>
              </w:rPr>
            </w:pPr>
            <w:r w:rsidRPr="008B4F97">
              <w:rPr>
                <w:rFonts w:cs="Arial"/>
                <w:color w:val="000000"/>
                <w:sz w:val="18"/>
                <w:szCs w:val="18"/>
              </w:rPr>
              <w:t>Sharing of HR, facilities and infrastructure under cross-border cooperation</w:t>
            </w:r>
          </w:p>
        </w:tc>
      </w:tr>
      <w:tr w:rsidR="000005F4" w14:paraId="1E513E38" w14:textId="77777777" w:rsidTr="000005F4">
        <w:tc>
          <w:tcPr>
            <w:tcW w:w="1982" w:type="dxa"/>
            <w:shd w:val="clear" w:color="auto" w:fill="auto"/>
          </w:tcPr>
          <w:p w14:paraId="18A50AB8" w14:textId="77777777" w:rsidR="000005F4" w:rsidRPr="003C2DA1" w:rsidRDefault="000005F4" w:rsidP="000005F4">
            <w:pPr>
              <w:pStyle w:val="TableTextNoSpace"/>
              <w:rPr>
                <w:rFonts w:cs="Arial"/>
                <w:sz w:val="18"/>
                <w:szCs w:val="18"/>
              </w:rPr>
            </w:pPr>
            <w:r w:rsidRPr="003C2DA1">
              <w:rPr>
                <w:rFonts w:cs="Arial"/>
                <w:color w:val="000000"/>
                <w:sz w:val="18"/>
                <w:szCs w:val="18"/>
              </w:rPr>
              <w:t>Art. 7, 8, 9</w:t>
            </w:r>
          </w:p>
        </w:tc>
        <w:tc>
          <w:tcPr>
            <w:tcW w:w="7089" w:type="dxa"/>
            <w:shd w:val="clear" w:color="auto" w:fill="auto"/>
            <w:vAlign w:val="bottom"/>
          </w:tcPr>
          <w:p w14:paraId="0E98FDE7" w14:textId="77777777" w:rsidR="000005F4" w:rsidRPr="008B4F97" w:rsidRDefault="000005F4" w:rsidP="000005F4">
            <w:pPr>
              <w:pStyle w:val="TableTextNoSpace"/>
              <w:rPr>
                <w:rFonts w:cs="Arial"/>
                <w:sz w:val="18"/>
                <w:szCs w:val="18"/>
              </w:rPr>
            </w:pPr>
            <w:r w:rsidRPr="008B4F97">
              <w:rPr>
                <w:rFonts w:cs="Arial"/>
                <w:color w:val="000000"/>
                <w:sz w:val="18"/>
                <w:szCs w:val="18"/>
              </w:rPr>
              <w:t xml:space="preserve">Support to sustainable urban development </w:t>
            </w:r>
          </w:p>
        </w:tc>
      </w:tr>
      <w:tr w:rsidR="000005F4" w14:paraId="68D541E9" w14:textId="77777777" w:rsidTr="000005F4">
        <w:tc>
          <w:tcPr>
            <w:tcW w:w="1982" w:type="dxa"/>
            <w:shd w:val="clear" w:color="auto" w:fill="auto"/>
          </w:tcPr>
          <w:p w14:paraId="2DCC9FC5" w14:textId="77777777" w:rsidR="000005F4" w:rsidRPr="003C2DA1" w:rsidRDefault="000005F4" w:rsidP="000005F4">
            <w:pPr>
              <w:pStyle w:val="TableTextNoSpace"/>
              <w:rPr>
                <w:rFonts w:cs="Arial"/>
                <w:sz w:val="18"/>
                <w:szCs w:val="18"/>
              </w:rPr>
            </w:pPr>
            <w:r w:rsidRPr="003C2DA1">
              <w:rPr>
                <w:rFonts w:cs="Arial"/>
                <w:color w:val="000000"/>
                <w:sz w:val="18"/>
                <w:szCs w:val="18"/>
              </w:rPr>
              <w:t>Art. 10</w:t>
            </w:r>
          </w:p>
        </w:tc>
        <w:tc>
          <w:tcPr>
            <w:tcW w:w="7089" w:type="dxa"/>
            <w:shd w:val="clear" w:color="auto" w:fill="auto"/>
            <w:vAlign w:val="bottom"/>
          </w:tcPr>
          <w:p w14:paraId="1E1A0F9A" w14:textId="77777777" w:rsidR="000005F4" w:rsidRPr="008B4F97" w:rsidRDefault="000005F4" w:rsidP="000005F4">
            <w:pPr>
              <w:pStyle w:val="TableTextNoSpace"/>
              <w:rPr>
                <w:rFonts w:cs="Arial"/>
                <w:sz w:val="18"/>
                <w:szCs w:val="18"/>
              </w:rPr>
            </w:pPr>
            <w:r w:rsidRPr="008B4F97">
              <w:rPr>
                <w:rFonts w:cs="Arial"/>
                <w:color w:val="000000"/>
                <w:sz w:val="18"/>
                <w:szCs w:val="18"/>
              </w:rPr>
              <w:t xml:space="preserve">Areas with natural or demographic handicaps </w:t>
            </w:r>
          </w:p>
        </w:tc>
      </w:tr>
    </w:tbl>
    <w:p w14:paraId="584E85F9" w14:textId="77777777" w:rsidR="000005F4" w:rsidRPr="00BF1FD1" w:rsidRDefault="000005F4" w:rsidP="000005F4">
      <w:pPr>
        <w:pStyle w:val="AnnexTable"/>
      </w:pPr>
      <w:bookmarkStart w:id="404" w:name="_Toc407942726"/>
      <w:bookmarkStart w:id="405" w:name="_Toc408094132"/>
      <w:bookmarkStart w:id="406" w:name="_Toc408851116"/>
      <w:r w:rsidRPr="00BF1FD1">
        <w:t>Summary of Wales-relevant articles in the ERDF</w:t>
      </w:r>
      <w:bookmarkEnd w:id="404"/>
      <w:bookmarkEnd w:id="405"/>
      <w:bookmarkEnd w:id="406"/>
    </w:p>
    <w:tbl>
      <w:tblPr>
        <w:tblW w:w="5000" w:type="pct"/>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CellMar>
          <w:top w:w="57" w:type="dxa"/>
          <w:left w:w="0" w:type="dxa"/>
          <w:bottom w:w="28" w:type="dxa"/>
          <w:right w:w="0" w:type="dxa"/>
        </w:tblCellMar>
        <w:tblLook w:val="0000" w:firstRow="0" w:lastRow="0" w:firstColumn="0" w:lastColumn="0" w:noHBand="0" w:noVBand="0"/>
      </w:tblPr>
      <w:tblGrid>
        <w:gridCol w:w="1002"/>
        <w:gridCol w:w="322"/>
        <w:gridCol w:w="322"/>
        <w:gridCol w:w="322"/>
        <w:gridCol w:w="322"/>
        <w:gridCol w:w="322"/>
        <w:gridCol w:w="322"/>
        <w:gridCol w:w="322"/>
        <w:gridCol w:w="322"/>
        <w:gridCol w:w="322"/>
        <w:gridCol w:w="322"/>
        <w:gridCol w:w="322"/>
        <w:gridCol w:w="323"/>
        <w:gridCol w:w="323"/>
        <w:gridCol w:w="323"/>
        <w:gridCol w:w="323"/>
        <w:gridCol w:w="323"/>
        <w:gridCol w:w="323"/>
        <w:gridCol w:w="323"/>
        <w:gridCol w:w="323"/>
        <w:gridCol w:w="323"/>
        <w:gridCol w:w="323"/>
        <w:gridCol w:w="323"/>
        <w:gridCol w:w="323"/>
        <w:gridCol w:w="323"/>
        <w:gridCol w:w="322"/>
      </w:tblGrid>
      <w:tr w:rsidR="000005F4" w14:paraId="3B3E95C5" w14:textId="77777777" w:rsidTr="000005F4">
        <w:trPr>
          <w:cantSplit/>
        </w:trPr>
        <w:tc>
          <w:tcPr>
            <w:tcW w:w="553" w:type="pct"/>
            <w:shd w:val="clear" w:color="auto" w:fill="auto"/>
          </w:tcPr>
          <w:p w14:paraId="577684BC" w14:textId="77777777" w:rsidR="000005F4" w:rsidRDefault="000005F4" w:rsidP="000005F4">
            <w:pPr>
              <w:pStyle w:val="TableHeading"/>
            </w:pPr>
          </w:p>
        </w:tc>
        <w:tc>
          <w:tcPr>
            <w:tcW w:w="4447" w:type="pct"/>
            <w:gridSpan w:val="25"/>
            <w:tcBorders>
              <w:bottom w:val="single" w:sz="2" w:space="0" w:color="FFFFFF" w:themeColor="background1"/>
            </w:tcBorders>
            <w:shd w:val="solid" w:color="0067AB" w:fill="0067AB"/>
          </w:tcPr>
          <w:p w14:paraId="78CF13FC" w14:textId="77777777" w:rsidR="000005F4" w:rsidRDefault="000005F4" w:rsidP="000005F4">
            <w:pPr>
              <w:pStyle w:val="TableHeadingWhite"/>
              <w:jc w:val="center"/>
            </w:pPr>
            <w:r>
              <w:t>Management Action</w:t>
            </w:r>
          </w:p>
        </w:tc>
      </w:tr>
      <w:tr w:rsidR="000005F4" w14:paraId="6169B751" w14:textId="77777777" w:rsidTr="000005F4">
        <w:trPr>
          <w:cantSplit/>
        </w:trPr>
        <w:tc>
          <w:tcPr>
            <w:tcW w:w="553" w:type="pct"/>
            <w:shd w:val="clear" w:color="auto" w:fill="auto"/>
          </w:tcPr>
          <w:p w14:paraId="6B047DB5" w14:textId="77777777" w:rsidR="000005F4" w:rsidRDefault="000005F4" w:rsidP="000005F4">
            <w:pPr>
              <w:pStyle w:val="TableHeading"/>
            </w:pPr>
            <w:r>
              <w:t>Article</w:t>
            </w:r>
          </w:p>
        </w:tc>
        <w:tc>
          <w:tcPr>
            <w:tcW w:w="178" w:type="pct"/>
            <w:tcBorders>
              <w:top w:val="single" w:sz="2" w:space="0" w:color="FFFFFF" w:themeColor="background1"/>
              <w:right w:val="single" w:sz="2" w:space="0" w:color="0067AB"/>
            </w:tcBorders>
            <w:shd w:val="solid" w:color="0067AB" w:fill="0067AB"/>
          </w:tcPr>
          <w:p w14:paraId="26576C1C" w14:textId="77777777" w:rsidR="000005F4" w:rsidRDefault="000005F4" w:rsidP="000005F4">
            <w:pPr>
              <w:pStyle w:val="TableHeadingWhite"/>
            </w:pPr>
            <w:r>
              <w:t>1</w:t>
            </w:r>
          </w:p>
        </w:tc>
        <w:tc>
          <w:tcPr>
            <w:tcW w:w="178" w:type="pct"/>
            <w:tcBorders>
              <w:top w:val="single" w:sz="2" w:space="0" w:color="FFFFFF" w:themeColor="background1"/>
              <w:left w:val="single" w:sz="2" w:space="0" w:color="0067AB"/>
              <w:right w:val="single" w:sz="2" w:space="0" w:color="0067AB"/>
            </w:tcBorders>
            <w:shd w:val="solid" w:color="0067AB" w:fill="0067AB"/>
          </w:tcPr>
          <w:p w14:paraId="02DB429F" w14:textId="77777777" w:rsidR="000005F4" w:rsidRDefault="000005F4" w:rsidP="000005F4">
            <w:pPr>
              <w:pStyle w:val="TableHeadingWhite"/>
            </w:pPr>
            <w:r>
              <w:t>2</w:t>
            </w:r>
          </w:p>
        </w:tc>
        <w:tc>
          <w:tcPr>
            <w:tcW w:w="178" w:type="pct"/>
            <w:tcBorders>
              <w:top w:val="single" w:sz="2" w:space="0" w:color="FFFFFF" w:themeColor="background1"/>
              <w:left w:val="single" w:sz="2" w:space="0" w:color="0067AB"/>
              <w:right w:val="single" w:sz="2" w:space="0" w:color="0067AB"/>
            </w:tcBorders>
            <w:shd w:val="solid" w:color="0067AB" w:fill="0067AB"/>
          </w:tcPr>
          <w:p w14:paraId="30977613" w14:textId="77777777" w:rsidR="000005F4" w:rsidRDefault="000005F4" w:rsidP="000005F4">
            <w:pPr>
              <w:pStyle w:val="TableHeadingWhite"/>
            </w:pPr>
            <w:r>
              <w:t>3</w:t>
            </w:r>
          </w:p>
        </w:tc>
        <w:tc>
          <w:tcPr>
            <w:tcW w:w="178" w:type="pct"/>
            <w:tcBorders>
              <w:top w:val="single" w:sz="2" w:space="0" w:color="FFFFFF" w:themeColor="background1"/>
              <w:left w:val="single" w:sz="2" w:space="0" w:color="0067AB"/>
              <w:right w:val="single" w:sz="2" w:space="0" w:color="0067AB"/>
            </w:tcBorders>
            <w:shd w:val="solid" w:color="0067AB" w:fill="0067AB"/>
          </w:tcPr>
          <w:p w14:paraId="3D99861B" w14:textId="77777777" w:rsidR="000005F4" w:rsidRDefault="000005F4" w:rsidP="000005F4">
            <w:pPr>
              <w:pStyle w:val="TableHeadingWhite"/>
            </w:pPr>
            <w:r>
              <w:t>4</w:t>
            </w:r>
          </w:p>
        </w:tc>
        <w:tc>
          <w:tcPr>
            <w:tcW w:w="178" w:type="pct"/>
            <w:tcBorders>
              <w:top w:val="single" w:sz="2" w:space="0" w:color="FFFFFF" w:themeColor="background1"/>
              <w:left w:val="single" w:sz="2" w:space="0" w:color="0067AB"/>
              <w:right w:val="single" w:sz="2" w:space="0" w:color="0067AB"/>
            </w:tcBorders>
            <w:shd w:val="solid" w:color="0067AB" w:fill="0067AB"/>
          </w:tcPr>
          <w:p w14:paraId="45BA8410" w14:textId="77777777" w:rsidR="000005F4" w:rsidRDefault="000005F4" w:rsidP="000005F4">
            <w:pPr>
              <w:pStyle w:val="TableHeadingWhite"/>
            </w:pPr>
            <w:r>
              <w:t>5</w:t>
            </w:r>
          </w:p>
        </w:tc>
        <w:tc>
          <w:tcPr>
            <w:tcW w:w="178" w:type="pct"/>
            <w:tcBorders>
              <w:top w:val="single" w:sz="2" w:space="0" w:color="FFFFFF" w:themeColor="background1"/>
              <w:left w:val="single" w:sz="2" w:space="0" w:color="0067AB"/>
              <w:right w:val="single" w:sz="2" w:space="0" w:color="0067AB"/>
            </w:tcBorders>
            <w:shd w:val="solid" w:color="0067AB" w:fill="0067AB"/>
          </w:tcPr>
          <w:p w14:paraId="1F6933E1" w14:textId="77777777" w:rsidR="000005F4" w:rsidRDefault="000005F4" w:rsidP="000005F4">
            <w:pPr>
              <w:pStyle w:val="TableHeadingWhite"/>
            </w:pPr>
            <w:r>
              <w:t>6</w:t>
            </w:r>
          </w:p>
        </w:tc>
        <w:tc>
          <w:tcPr>
            <w:tcW w:w="178" w:type="pct"/>
            <w:tcBorders>
              <w:top w:val="single" w:sz="2" w:space="0" w:color="FFFFFF" w:themeColor="background1"/>
              <w:left w:val="single" w:sz="2" w:space="0" w:color="0067AB"/>
              <w:right w:val="single" w:sz="2" w:space="0" w:color="0067AB"/>
            </w:tcBorders>
            <w:shd w:val="solid" w:color="0067AB" w:fill="0067AB"/>
          </w:tcPr>
          <w:p w14:paraId="21F7FEF4" w14:textId="77777777" w:rsidR="000005F4" w:rsidRDefault="000005F4" w:rsidP="000005F4">
            <w:pPr>
              <w:pStyle w:val="TableHeadingWhite"/>
            </w:pPr>
            <w:r>
              <w:t>7</w:t>
            </w:r>
          </w:p>
        </w:tc>
        <w:tc>
          <w:tcPr>
            <w:tcW w:w="178" w:type="pct"/>
            <w:tcBorders>
              <w:top w:val="single" w:sz="2" w:space="0" w:color="FFFFFF" w:themeColor="background1"/>
              <w:left w:val="single" w:sz="2" w:space="0" w:color="0067AB"/>
              <w:right w:val="single" w:sz="2" w:space="0" w:color="0067AB"/>
            </w:tcBorders>
            <w:shd w:val="solid" w:color="0067AB" w:fill="0067AB"/>
          </w:tcPr>
          <w:p w14:paraId="41FCA3AB" w14:textId="77777777" w:rsidR="000005F4" w:rsidRDefault="000005F4" w:rsidP="000005F4">
            <w:pPr>
              <w:pStyle w:val="TableHeadingWhite"/>
            </w:pPr>
            <w:r>
              <w:t>8</w:t>
            </w:r>
          </w:p>
        </w:tc>
        <w:tc>
          <w:tcPr>
            <w:tcW w:w="178" w:type="pct"/>
            <w:tcBorders>
              <w:top w:val="single" w:sz="2" w:space="0" w:color="FFFFFF" w:themeColor="background1"/>
              <w:left w:val="single" w:sz="2" w:space="0" w:color="0067AB"/>
              <w:right w:val="single" w:sz="2" w:space="0" w:color="0067AB"/>
            </w:tcBorders>
            <w:shd w:val="solid" w:color="0067AB" w:fill="0067AB"/>
          </w:tcPr>
          <w:p w14:paraId="141FA679" w14:textId="77777777" w:rsidR="000005F4" w:rsidRDefault="000005F4" w:rsidP="000005F4">
            <w:pPr>
              <w:pStyle w:val="TableHeadingWhite"/>
            </w:pPr>
            <w:r>
              <w:t>9</w:t>
            </w:r>
          </w:p>
        </w:tc>
        <w:tc>
          <w:tcPr>
            <w:tcW w:w="178" w:type="pct"/>
            <w:tcBorders>
              <w:top w:val="single" w:sz="2" w:space="0" w:color="FFFFFF" w:themeColor="background1"/>
              <w:left w:val="single" w:sz="2" w:space="0" w:color="0067AB"/>
              <w:right w:val="single" w:sz="2" w:space="0" w:color="0067AB"/>
            </w:tcBorders>
            <w:shd w:val="solid" w:color="0067AB" w:fill="0067AB"/>
          </w:tcPr>
          <w:p w14:paraId="1D423126" w14:textId="77777777" w:rsidR="000005F4" w:rsidRDefault="000005F4" w:rsidP="000005F4">
            <w:pPr>
              <w:pStyle w:val="TableHeadingWhite"/>
            </w:pPr>
            <w:r>
              <w:t>10</w:t>
            </w:r>
          </w:p>
        </w:tc>
        <w:tc>
          <w:tcPr>
            <w:tcW w:w="178" w:type="pct"/>
            <w:tcBorders>
              <w:top w:val="single" w:sz="2" w:space="0" w:color="FFFFFF" w:themeColor="background1"/>
              <w:left w:val="single" w:sz="2" w:space="0" w:color="0067AB"/>
              <w:right w:val="single" w:sz="2" w:space="0" w:color="0067AB"/>
            </w:tcBorders>
            <w:shd w:val="solid" w:color="0067AB" w:fill="0067AB"/>
          </w:tcPr>
          <w:p w14:paraId="0F643355" w14:textId="77777777" w:rsidR="000005F4" w:rsidRDefault="000005F4" w:rsidP="000005F4">
            <w:pPr>
              <w:pStyle w:val="TableHeadingWhite"/>
            </w:pPr>
            <w:r>
              <w:t>11</w:t>
            </w:r>
          </w:p>
        </w:tc>
        <w:tc>
          <w:tcPr>
            <w:tcW w:w="178" w:type="pct"/>
            <w:tcBorders>
              <w:top w:val="single" w:sz="2" w:space="0" w:color="FFFFFF" w:themeColor="background1"/>
              <w:left w:val="single" w:sz="2" w:space="0" w:color="0067AB"/>
              <w:right w:val="single" w:sz="2" w:space="0" w:color="0067AB"/>
            </w:tcBorders>
            <w:shd w:val="solid" w:color="0067AB" w:fill="0067AB"/>
          </w:tcPr>
          <w:p w14:paraId="12120405" w14:textId="77777777" w:rsidR="000005F4" w:rsidRDefault="000005F4" w:rsidP="000005F4">
            <w:pPr>
              <w:pStyle w:val="TableHeadingWhite"/>
            </w:pPr>
            <w:r>
              <w:t>12</w:t>
            </w:r>
          </w:p>
        </w:tc>
        <w:tc>
          <w:tcPr>
            <w:tcW w:w="178" w:type="pct"/>
            <w:tcBorders>
              <w:top w:val="single" w:sz="2" w:space="0" w:color="FFFFFF" w:themeColor="background1"/>
              <w:left w:val="single" w:sz="2" w:space="0" w:color="0067AB"/>
              <w:right w:val="single" w:sz="2" w:space="0" w:color="0067AB"/>
            </w:tcBorders>
            <w:shd w:val="solid" w:color="0067AB" w:fill="0067AB"/>
          </w:tcPr>
          <w:p w14:paraId="5830F9E0" w14:textId="77777777" w:rsidR="000005F4" w:rsidRDefault="000005F4" w:rsidP="000005F4">
            <w:pPr>
              <w:pStyle w:val="TableHeadingWhite"/>
            </w:pPr>
            <w:r>
              <w:t>13</w:t>
            </w:r>
          </w:p>
        </w:tc>
        <w:tc>
          <w:tcPr>
            <w:tcW w:w="178" w:type="pct"/>
            <w:tcBorders>
              <w:top w:val="single" w:sz="2" w:space="0" w:color="FFFFFF" w:themeColor="background1"/>
              <w:left w:val="single" w:sz="2" w:space="0" w:color="0067AB"/>
              <w:right w:val="single" w:sz="2" w:space="0" w:color="0067AB"/>
            </w:tcBorders>
            <w:shd w:val="solid" w:color="0067AB" w:fill="0067AB"/>
          </w:tcPr>
          <w:p w14:paraId="69EED9D8" w14:textId="77777777" w:rsidR="000005F4" w:rsidRDefault="000005F4" w:rsidP="000005F4">
            <w:pPr>
              <w:pStyle w:val="TableHeadingWhite"/>
            </w:pPr>
            <w:r>
              <w:t>14</w:t>
            </w:r>
          </w:p>
        </w:tc>
        <w:tc>
          <w:tcPr>
            <w:tcW w:w="178" w:type="pct"/>
            <w:tcBorders>
              <w:top w:val="single" w:sz="2" w:space="0" w:color="FFFFFF" w:themeColor="background1"/>
              <w:left w:val="single" w:sz="2" w:space="0" w:color="0067AB"/>
              <w:right w:val="single" w:sz="2" w:space="0" w:color="0067AB"/>
            </w:tcBorders>
            <w:shd w:val="solid" w:color="0067AB" w:fill="0067AB"/>
          </w:tcPr>
          <w:p w14:paraId="0B281AA6" w14:textId="77777777" w:rsidR="000005F4" w:rsidRDefault="000005F4" w:rsidP="000005F4">
            <w:pPr>
              <w:pStyle w:val="TableHeadingWhite"/>
            </w:pPr>
            <w:r>
              <w:t>15</w:t>
            </w:r>
          </w:p>
        </w:tc>
        <w:tc>
          <w:tcPr>
            <w:tcW w:w="178" w:type="pct"/>
            <w:tcBorders>
              <w:top w:val="single" w:sz="2" w:space="0" w:color="FFFFFF" w:themeColor="background1"/>
              <w:left w:val="single" w:sz="2" w:space="0" w:color="0067AB"/>
              <w:right w:val="single" w:sz="2" w:space="0" w:color="0067AB"/>
            </w:tcBorders>
            <w:shd w:val="solid" w:color="0067AB" w:fill="0067AB"/>
          </w:tcPr>
          <w:p w14:paraId="1C930A5B" w14:textId="77777777" w:rsidR="000005F4" w:rsidRDefault="000005F4" w:rsidP="000005F4">
            <w:pPr>
              <w:pStyle w:val="TableHeadingWhite"/>
            </w:pPr>
            <w:r>
              <w:t>16</w:t>
            </w:r>
          </w:p>
        </w:tc>
        <w:tc>
          <w:tcPr>
            <w:tcW w:w="178" w:type="pct"/>
            <w:tcBorders>
              <w:top w:val="single" w:sz="2" w:space="0" w:color="FFFFFF" w:themeColor="background1"/>
              <w:left w:val="single" w:sz="2" w:space="0" w:color="0067AB"/>
              <w:right w:val="single" w:sz="2" w:space="0" w:color="0067AB"/>
            </w:tcBorders>
            <w:shd w:val="solid" w:color="0067AB" w:fill="0067AB"/>
          </w:tcPr>
          <w:p w14:paraId="5000F370" w14:textId="77777777" w:rsidR="000005F4" w:rsidRDefault="000005F4" w:rsidP="000005F4">
            <w:pPr>
              <w:pStyle w:val="TableHeadingWhite"/>
            </w:pPr>
            <w:r>
              <w:t>17</w:t>
            </w:r>
          </w:p>
        </w:tc>
        <w:tc>
          <w:tcPr>
            <w:tcW w:w="178" w:type="pct"/>
            <w:tcBorders>
              <w:top w:val="single" w:sz="2" w:space="0" w:color="FFFFFF" w:themeColor="background1"/>
              <w:left w:val="single" w:sz="2" w:space="0" w:color="0067AB"/>
              <w:right w:val="single" w:sz="2" w:space="0" w:color="0067AB"/>
            </w:tcBorders>
            <w:shd w:val="solid" w:color="0067AB" w:fill="0067AB"/>
          </w:tcPr>
          <w:p w14:paraId="4F87FA3C" w14:textId="77777777" w:rsidR="000005F4" w:rsidRDefault="000005F4" w:rsidP="000005F4">
            <w:pPr>
              <w:pStyle w:val="TableHeadingWhite"/>
            </w:pPr>
            <w:r>
              <w:t>18</w:t>
            </w:r>
          </w:p>
        </w:tc>
        <w:tc>
          <w:tcPr>
            <w:tcW w:w="178" w:type="pct"/>
            <w:tcBorders>
              <w:top w:val="single" w:sz="2" w:space="0" w:color="FFFFFF" w:themeColor="background1"/>
              <w:left w:val="single" w:sz="2" w:space="0" w:color="0067AB"/>
              <w:right w:val="single" w:sz="2" w:space="0" w:color="0067AB"/>
            </w:tcBorders>
            <w:shd w:val="solid" w:color="0067AB" w:fill="0067AB"/>
          </w:tcPr>
          <w:p w14:paraId="2E97B4E0" w14:textId="77777777" w:rsidR="000005F4" w:rsidRDefault="000005F4" w:rsidP="000005F4">
            <w:pPr>
              <w:pStyle w:val="TableHeadingWhite"/>
            </w:pPr>
            <w:r>
              <w:t>19</w:t>
            </w:r>
          </w:p>
        </w:tc>
        <w:tc>
          <w:tcPr>
            <w:tcW w:w="178" w:type="pct"/>
            <w:tcBorders>
              <w:top w:val="single" w:sz="2" w:space="0" w:color="FFFFFF" w:themeColor="background1"/>
              <w:left w:val="single" w:sz="2" w:space="0" w:color="0067AB"/>
              <w:right w:val="single" w:sz="2" w:space="0" w:color="0067AB"/>
            </w:tcBorders>
            <w:shd w:val="solid" w:color="0067AB" w:fill="0067AB"/>
          </w:tcPr>
          <w:p w14:paraId="0D02D07E" w14:textId="77777777" w:rsidR="000005F4" w:rsidRDefault="000005F4" w:rsidP="000005F4">
            <w:pPr>
              <w:pStyle w:val="TableHeadingWhite"/>
            </w:pPr>
            <w:r>
              <w:t>20</w:t>
            </w:r>
          </w:p>
        </w:tc>
        <w:tc>
          <w:tcPr>
            <w:tcW w:w="178" w:type="pct"/>
            <w:tcBorders>
              <w:top w:val="single" w:sz="2" w:space="0" w:color="FFFFFF" w:themeColor="background1"/>
              <w:left w:val="single" w:sz="2" w:space="0" w:color="0067AB"/>
              <w:right w:val="single" w:sz="2" w:space="0" w:color="0067AB"/>
            </w:tcBorders>
            <w:shd w:val="solid" w:color="0067AB" w:fill="0067AB"/>
          </w:tcPr>
          <w:p w14:paraId="40052074" w14:textId="77777777" w:rsidR="000005F4" w:rsidRDefault="000005F4" w:rsidP="000005F4">
            <w:pPr>
              <w:pStyle w:val="TableHeadingWhite"/>
            </w:pPr>
            <w:r>
              <w:t>21</w:t>
            </w:r>
          </w:p>
        </w:tc>
        <w:tc>
          <w:tcPr>
            <w:tcW w:w="178" w:type="pct"/>
            <w:tcBorders>
              <w:top w:val="single" w:sz="2" w:space="0" w:color="FFFFFF" w:themeColor="background1"/>
              <w:left w:val="single" w:sz="2" w:space="0" w:color="0067AB"/>
              <w:right w:val="single" w:sz="2" w:space="0" w:color="0067AB"/>
            </w:tcBorders>
            <w:shd w:val="solid" w:color="0067AB" w:fill="0067AB"/>
          </w:tcPr>
          <w:p w14:paraId="1FBAE233" w14:textId="77777777" w:rsidR="000005F4" w:rsidRDefault="000005F4" w:rsidP="000005F4">
            <w:pPr>
              <w:pStyle w:val="TableHeadingWhite"/>
            </w:pPr>
            <w:r>
              <w:t>22</w:t>
            </w:r>
          </w:p>
        </w:tc>
        <w:tc>
          <w:tcPr>
            <w:tcW w:w="178" w:type="pct"/>
            <w:tcBorders>
              <w:top w:val="single" w:sz="2" w:space="0" w:color="FFFFFF" w:themeColor="background1"/>
              <w:left w:val="single" w:sz="2" w:space="0" w:color="0067AB"/>
              <w:right w:val="single" w:sz="2" w:space="0" w:color="0067AB"/>
            </w:tcBorders>
            <w:shd w:val="solid" w:color="0067AB" w:fill="0067AB"/>
          </w:tcPr>
          <w:p w14:paraId="5F84931F" w14:textId="77777777" w:rsidR="000005F4" w:rsidRDefault="000005F4" w:rsidP="000005F4">
            <w:pPr>
              <w:pStyle w:val="TableHeadingWhite"/>
            </w:pPr>
            <w:r>
              <w:t>23</w:t>
            </w:r>
          </w:p>
        </w:tc>
        <w:tc>
          <w:tcPr>
            <w:tcW w:w="178" w:type="pct"/>
            <w:tcBorders>
              <w:top w:val="single" w:sz="2" w:space="0" w:color="FFFFFF" w:themeColor="background1"/>
              <w:left w:val="single" w:sz="2" w:space="0" w:color="0067AB"/>
              <w:right w:val="single" w:sz="2" w:space="0" w:color="0067AB"/>
            </w:tcBorders>
            <w:shd w:val="solid" w:color="0067AB" w:fill="0067AB"/>
          </w:tcPr>
          <w:p w14:paraId="7C0CE8DF" w14:textId="77777777" w:rsidR="000005F4" w:rsidRDefault="000005F4" w:rsidP="000005F4">
            <w:pPr>
              <w:pStyle w:val="TableHeadingWhite"/>
            </w:pPr>
            <w:r>
              <w:t>24</w:t>
            </w:r>
          </w:p>
        </w:tc>
        <w:tc>
          <w:tcPr>
            <w:tcW w:w="178" w:type="pct"/>
            <w:tcBorders>
              <w:top w:val="single" w:sz="2" w:space="0" w:color="FFFFFF" w:themeColor="background1"/>
              <w:left w:val="single" w:sz="2" w:space="0" w:color="0067AB"/>
            </w:tcBorders>
            <w:shd w:val="solid" w:color="0067AB" w:fill="0067AB"/>
          </w:tcPr>
          <w:p w14:paraId="164EA056" w14:textId="77777777" w:rsidR="000005F4" w:rsidRDefault="000005F4" w:rsidP="000005F4">
            <w:pPr>
              <w:pStyle w:val="TableHeadingWhite"/>
            </w:pPr>
            <w:r>
              <w:t>25</w:t>
            </w:r>
          </w:p>
        </w:tc>
      </w:tr>
      <w:tr w:rsidR="000005F4" w14:paraId="3530B030" w14:textId="77777777" w:rsidTr="000005F4">
        <w:tc>
          <w:tcPr>
            <w:tcW w:w="553" w:type="pct"/>
            <w:shd w:val="clear" w:color="auto" w:fill="auto"/>
            <w:vAlign w:val="bottom"/>
          </w:tcPr>
          <w:p w14:paraId="2FAA817B" w14:textId="77777777" w:rsidR="000005F4" w:rsidRPr="008B4F97" w:rsidRDefault="000005F4" w:rsidP="000005F4">
            <w:pPr>
              <w:pStyle w:val="TableTextNoSpace"/>
              <w:ind w:right="-358"/>
              <w:rPr>
                <w:rFonts w:cs="Arial"/>
                <w:sz w:val="18"/>
                <w:szCs w:val="18"/>
              </w:rPr>
            </w:pPr>
            <w:r w:rsidRPr="008B4F97">
              <w:rPr>
                <w:rFonts w:cs="Arial"/>
                <w:color w:val="000000"/>
                <w:sz w:val="18"/>
                <w:szCs w:val="18"/>
              </w:rPr>
              <w:t>Art. 5.1 (a)</w:t>
            </w:r>
          </w:p>
        </w:tc>
        <w:tc>
          <w:tcPr>
            <w:tcW w:w="178" w:type="pct"/>
            <w:shd w:val="clear" w:color="auto" w:fill="auto"/>
            <w:vAlign w:val="bottom"/>
          </w:tcPr>
          <w:p w14:paraId="3B362A78"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28080ED1"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582D3DDE"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5AAB5499"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79D96172"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237C59E3"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74911C86"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7E003052"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684AAC81"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13C8AE4D"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14D386DC"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11E952F5"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3F203AD9"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527E795D"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5902B927"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5885FB3D"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2704267B"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654515EC" w14:textId="77777777" w:rsidR="000005F4" w:rsidRPr="008B4F97" w:rsidRDefault="000005F4" w:rsidP="000005F4">
            <w:pPr>
              <w:pStyle w:val="TableTextNoSpace"/>
              <w:jc w:val="center"/>
              <w:rPr>
                <w:rFonts w:cs="Arial"/>
                <w:sz w:val="18"/>
                <w:szCs w:val="18"/>
              </w:rPr>
            </w:pPr>
          </w:p>
        </w:tc>
        <w:tc>
          <w:tcPr>
            <w:tcW w:w="178" w:type="pct"/>
            <w:vAlign w:val="bottom"/>
          </w:tcPr>
          <w:p w14:paraId="2666E563" w14:textId="77777777" w:rsidR="000005F4" w:rsidRPr="008B4F97" w:rsidRDefault="000005F4" w:rsidP="000005F4">
            <w:pPr>
              <w:pStyle w:val="TableTextNoSpace"/>
              <w:jc w:val="center"/>
              <w:rPr>
                <w:rFonts w:cs="Arial"/>
                <w:sz w:val="18"/>
                <w:szCs w:val="18"/>
              </w:rPr>
            </w:pPr>
          </w:p>
        </w:tc>
        <w:tc>
          <w:tcPr>
            <w:tcW w:w="178" w:type="pct"/>
            <w:vAlign w:val="bottom"/>
          </w:tcPr>
          <w:p w14:paraId="547ADAF5" w14:textId="77777777" w:rsidR="000005F4" w:rsidRPr="008B4F97" w:rsidRDefault="000005F4" w:rsidP="000005F4">
            <w:pPr>
              <w:pStyle w:val="TableTextNoSpace"/>
              <w:jc w:val="center"/>
              <w:rPr>
                <w:rFonts w:cs="Arial"/>
                <w:sz w:val="18"/>
                <w:szCs w:val="18"/>
              </w:rPr>
            </w:pPr>
          </w:p>
        </w:tc>
        <w:tc>
          <w:tcPr>
            <w:tcW w:w="178" w:type="pct"/>
            <w:vAlign w:val="bottom"/>
          </w:tcPr>
          <w:p w14:paraId="082EDA99"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vAlign w:val="bottom"/>
          </w:tcPr>
          <w:p w14:paraId="0884E126" w14:textId="77777777" w:rsidR="000005F4" w:rsidRPr="008B4F97" w:rsidRDefault="000005F4" w:rsidP="000005F4">
            <w:pPr>
              <w:pStyle w:val="TableTextNoSpace"/>
              <w:jc w:val="center"/>
              <w:rPr>
                <w:rFonts w:cs="Arial"/>
                <w:sz w:val="18"/>
                <w:szCs w:val="18"/>
              </w:rPr>
            </w:pPr>
          </w:p>
        </w:tc>
        <w:tc>
          <w:tcPr>
            <w:tcW w:w="178" w:type="pct"/>
            <w:vAlign w:val="bottom"/>
          </w:tcPr>
          <w:p w14:paraId="6CBE1FCE" w14:textId="77777777" w:rsidR="000005F4" w:rsidRPr="008B4F97" w:rsidRDefault="000005F4" w:rsidP="000005F4">
            <w:pPr>
              <w:pStyle w:val="TableTextNoSpace"/>
              <w:jc w:val="center"/>
              <w:rPr>
                <w:rFonts w:cs="Arial"/>
                <w:sz w:val="18"/>
                <w:szCs w:val="18"/>
              </w:rPr>
            </w:pPr>
          </w:p>
        </w:tc>
        <w:tc>
          <w:tcPr>
            <w:tcW w:w="178" w:type="pct"/>
            <w:vAlign w:val="bottom"/>
          </w:tcPr>
          <w:p w14:paraId="54D71A18"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5B10F916" w14:textId="77777777" w:rsidR="000005F4" w:rsidRPr="008B4F97" w:rsidRDefault="000005F4" w:rsidP="000005F4">
            <w:pPr>
              <w:pStyle w:val="TableTextNoSpace"/>
              <w:jc w:val="center"/>
              <w:rPr>
                <w:rFonts w:cs="Arial"/>
                <w:sz w:val="18"/>
                <w:szCs w:val="18"/>
              </w:rPr>
            </w:pPr>
          </w:p>
        </w:tc>
      </w:tr>
      <w:tr w:rsidR="000005F4" w14:paraId="5356CB9E" w14:textId="77777777" w:rsidTr="000005F4">
        <w:tc>
          <w:tcPr>
            <w:tcW w:w="553" w:type="pct"/>
            <w:shd w:val="clear" w:color="auto" w:fill="auto"/>
            <w:vAlign w:val="bottom"/>
          </w:tcPr>
          <w:p w14:paraId="27E3EA32" w14:textId="77777777" w:rsidR="000005F4" w:rsidRPr="008B4F97" w:rsidRDefault="000005F4" w:rsidP="000005F4">
            <w:pPr>
              <w:pStyle w:val="TableTextNoSpace"/>
              <w:rPr>
                <w:rFonts w:cs="Arial"/>
                <w:sz w:val="18"/>
                <w:szCs w:val="18"/>
              </w:rPr>
            </w:pPr>
            <w:r w:rsidRPr="008B4F97">
              <w:rPr>
                <w:rFonts w:cs="Arial"/>
                <w:color w:val="000000"/>
                <w:sz w:val="18"/>
                <w:szCs w:val="18"/>
              </w:rPr>
              <w:t>Art. 5.1 (b)</w:t>
            </w:r>
          </w:p>
        </w:tc>
        <w:tc>
          <w:tcPr>
            <w:tcW w:w="178" w:type="pct"/>
            <w:shd w:val="clear" w:color="auto" w:fill="auto"/>
            <w:vAlign w:val="bottom"/>
          </w:tcPr>
          <w:p w14:paraId="6D9C41F3"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1E9AF38D"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397E2DD5"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38B11467"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7C688CF4"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51F46F2A"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29598848"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6ACE0CD1"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7DCEA5E2"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7BBEC7F5"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610A01C1"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57F23DC7"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0338CE05"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3544374F"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150AB2F6"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56804901"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127D89B3"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751865CD" w14:textId="77777777" w:rsidR="000005F4" w:rsidRPr="008B4F97" w:rsidRDefault="000005F4" w:rsidP="000005F4">
            <w:pPr>
              <w:pStyle w:val="TableTextNoSpace"/>
              <w:jc w:val="center"/>
              <w:rPr>
                <w:rFonts w:cs="Arial"/>
                <w:sz w:val="18"/>
                <w:szCs w:val="18"/>
              </w:rPr>
            </w:pPr>
          </w:p>
        </w:tc>
        <w:tc>
          <w:tcPr>
            <w:tcW w:w="178" w:type="pct"/>
            <w:vAlign w:val="bottom"/>
          </w:tcPr>
          <w:p w14:paraId="44065824" w14:textId="77777777" w:rsidR="000005F4" w:rsidRPr="008B4F97" w:rsidRDefault="000005F4" w:rsidP="000005F4">
            <w:pPr>
              <w:pStyle w:val="TableTextNoSpace"/>
              <w:jc w:val="center"/>
              <w:rPr>
                <w:rFonts w:cs="Arial"/>
                <w:sz w:val="18"/>
                <w:szCs w:val="18"/>
              </w:rPr>
            </w:pPr>
          </w:p>
        </w:tc>
        <w:tc>
          <w:tcPr>
            <w:tcW w:w="178" w:type="pct"/>
            <w:vAlign w:val="bottom"/>
          </w:tcPr>
          <w:p w14:paraId="427041DB" w14:textId="77777777" w:rsidR="000005F4" w:rsidRPr="008B4F97" w:rsidRDefault="000005F4" w:rsidP="000005F4">
            <w:pPr>
              <w:pStyle w:val="TableTextNoSpace"/>
              <w:jc w:val="center"/>
              <w:rPr>
                <w:rFonts w:cs="Arial"/>
                <w:sz w:val="18"/>
                <w:szCs w:val="18"/>
              </w:rPr>
            </w:pPr>
          </w:p>
        </w:tc>
        <w:tc>
          <w:tcPr>
            <w:tcW w:w="178" w:type="pct"/>
            <w:vAlign w:val="bottom"/>
          </w:tcPr>
          <w:p w14:paraId="679B5429" w14:textId="77777777" w:rsidR="000005F4" w:rsidRPr="008B4F97" w:rsidRDefault="000005F4" w:rsidP="000005F4">
            <w:pPr>
              <w:pStyle w:val="TableTextNoSpace"/>
              <w:jc w:val="center"/>
              <w:rPr>
                <w:rFonts w:cs="Arial"/>
                <w:sz w:val="18"/>
                <w:szCs w:val="18"/>
              </w:rPr>
            </w:pPr>
          </w:p>
        </w:tc>
        <w:tc>
          <w:tcPr>
            <w:tcW w:w="178" w:type="pct"/>
            <w:vAlign w:val="bottom"/>
          </w:tcPr>
          <w:p w14:paraId="4CF88E6C" w14:textId="77777777" w:rsidR="000005F4" w:rsidRPr="008B4F97" w:rsidRDefault="000005F4" w:rsidP="000005F4">
            <w:pPr>
              <w:pStyle w:val="TableTextNoSpace"/>
              <w:jc w:val="center"/>
              <w:rPr>
                <w:rFonts w:cs="Arial"/>
                <w:sz w:val="18"/>
                <w:szCs w:val="18"/>
              </w:rPr>
            </w:pPr>
          </w:p>
        </w:tc>
        <w:tc>
          <w:tcPr>
            <w:tcW w:w="178" w:type="pct"/>
            <w:vAlign w:val="bottom"/>
          </w:tcPr>
          <w:p w14:paraId="767CA3CA" w14:textId="77777777" w:rsidR="000005F4" w:rsidRPr="008B4F97" w:rsidRDefault="000005F4" w:rsidP="000005F4">
            <w:pPr>
              <w:pStyle w:val="TableTextNoSpace"/>
              <w:jc w:val="center"/>
              <w:rPr>
                <w:rFonts w:cs="Arial"/>
                <w:sz w:val="18"/>
                <w:szCs w:val="18"/>
              </w:rPr>
            </w:pPr>
          </w:p>
        </w:tc>
        <w:tc>
          <w:tcPr>
            <w:tcW w:w="178" w:type="pct"/>
            <w:vAlign w:val="bottom"/>
          </w:tcPr>
          <w:p w14:paraId="26A4856E"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109F88FB" w14:textId="77777777" w:rsidR="000005F4" w:rsidRPr="008B4F97" w:rsidRDefault="000005F4" w:rsidP="000005F4">
            <w:pPr>
              <w:pStyle w:val="TableTextNoSpace"/>
              <w:jc w:val="center"/>
              <w:rPr>
                <w:rFonts w:cs="Arial"/>
                <w:sz w:val="18"/>
                <w:szCs w:val="18"/>
              </w:rPr>
            </w:pPr>
          </w:p>
        </w:tc>
      </w:tr>
      <w:tr w:rsidR="000005F4" w14:paraId="4406723F" w14:textId="77777777" w:rsidTr="000005F4">
        <w:tc>
          <w:tcPr>
            <w:tcW w:w="553" w:type="pct"/>
            <w:shd w:val="clear" w:color="auto" w:fill="auto"/>
            <w:vAlign w:val="bottom"/>
          </w:tcPr>
          <w:p w14:paraId="43CE3C59" w14:textId="77777777" w:rsidR="000005F4" w:rsidRPr="008B4F97" w:rsidRDefault="000005F4" w:rsidP="000005F4">
            <w:pPr>
              <w:pStyle w:val="TableTextNoSpace"/>
              <w:rPr>
                <w:rFonts w:cs="Arial"/>
                <w:sz w:val="18"/>
                <w:szCs w:val="18"/>
              </w:rPr>
            </w:pPr>
            <w:r w:rsidRPr="008B4F97">
              <w:rPr>
                <w:rFonts w:cs="Arial"/>
                <w:color w:val="000000"/>
                <w:sz w:val="18"/>
                <w:szCs w:val="18"/>
              </w:rPr>
              <w:t>Art. 5.2 (c)</w:t>
            </w:r>
          </w:p>
        </w:tc>
        <w:tc>
          <w:tcPr>
            <w:tcW w:w="178" w:type="pct"/>
            <w:shd w:val="clear" w:color="auto" w:fill="auto"/>
            <w:vAlign w:val="bottom"/>
          </w:tcPr>
          <w:p w14:paraId="59EDF4E7"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18D92234"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5D01E806"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2D2F24CB"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04A347D5"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07075FD1"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40F3998F"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5C56EB79"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0D9469B6"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11A81C0C"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7948C349"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7778B9EF"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6D81EDBF"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2C8AB631"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607C4EBD"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1BE599CE"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524A31F3"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036B2760" w14:textId="77777777" w:rsidR="000005F4" w:rsidRPr="008B4F97" w:rsidRDefault="000005F4" w:rsidP="000005F4">
            <w:pPr>
              <w:pStyle w:val="TableTextNoSpace"/>
              <w:jc w:val="center"/>
              <w:rPr>
                <w:rFonts w:cs="Arial"/>
                <w:sz w:val="18"/>
                <w:szCs w:val="18"/>
              </w:rPr>
            </w:pPr>
          </w:p>
        </w:tc>
        <w:tc>
          <w:tcPr>
            <w:tcW w:w="178" w:type="pct"/>
            <w:vAlign w:val="bottom"/>
          </w:tcPr>
          <w:p w14:paraId="40D23729" w14:textId="77777777" w:rsidR="000005F4" w:rsidRPr="008B4F97" w:rsidRDefault="000005F4" w:rsidP="000005F4">
            <w:pPr>
              <w:pStyle w:val="TableTextNoSpace"/>
              <w:jc w:val="center"/>
              <w:rPr>
                <w:rFonts w:cs="Arial"/>
                <w:sz w:val="18"/>
                <w:szCs w:val="18"/>
              </w:rPr>
            </w:pPr>
          </w:p>
        </w:tc>
        <w:tc>
          <w:tcPr>
            <w:tcW w:w="178" w:type="pct"/>
            <w:vAlign w:val="bottom"/>
          </w:tcPr>
          <w:p w14:paraId="5B9AFCF4" w14:textId="77777777" w:rsidR="000005F4" w:rsidRPr="008B4F97" w:rsidRDefault="000005F4" w:rsidP="000005F4">
            <w:pPr>
              <w:pStyle w:val="TableTextNoSpace"/>
              <w:jc w:val="center"/>
              <w:rPr>
                <w:rFonts w:cs="Arial"/>
                <w:sz w:val="18"/>
                <w:szCs w:val="18"/>
              </w:rPr>
            </w:pPr>
          </w:p>
        </w:tc>
        <w:tc>
          <w:tcPr>
            <w:tcW w:w="178" w:type="pct"/>
            <w:vAlign w:val="bottom"/>
          </w:tcPr>
          <w:p w14:paraId="63E70D68"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vAlign w:val="bottom"/>
          </w:tcPr>
          <w:p w14:paraId="31FA36C8" w14:textId="77777777" w:rsidR="000005F4" w:rsidRPr="008B4F97" w:rsidRDefault="000005F4" w:rsidP="000005F4">
            <w:pPr>
              <w:pStyle w:val="TableTextNoSpace"/>
              <w:jc w:val="center"/>
              <w:rPr>
                <w:rFonts w:cs="Arial"/>
                <w:sz w:val="18"/>
                <w:szCs w:val="18"/>
              </w:rPr>
            </w:pPr>
          </w:p>
        </w:tc>
        <w:tc>
          <w:tcPr>
            <w:tcW w:w="178" w:type="pct"/>
            <w:vAlign w:val="bottom"/>
          </w:tcPr>
          <w:p w14:paraId="671474FD" w14:textId="77777777" w:rsidR="000005F4" w:rsidRPr="008B4F97" w:rsidRDefault="000005F4" w:rsidP="000005F4">
            <w:pPr>
              <w:pStyle w:val="TableTextNoSpace"/>
              <w:jc w:val="center"/>
              <w:rPr>
                <w:rFonts w:cs="Arial"/>
                <w:sz w:val="18"/>
                <w:szCs w:val="18"/>
              </w:rPr>
            </w:pPr>
          </w:p>
        </w:tc>
        <w:tc>
          <w:tcPr>
            <w:tcW w:w="178" w:type="pct"/>
            <w:vAlign w:val="bottom"/>
          </w:tcPr>
          <w:p w14:paraId="16D9020D"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1E307508" w14:textId="77777777" w:rsidR="000005F4" w:rsidRPr="008B4F97" w:rsidRDefault="000005F4" w:rsidP="000005F4">
            <w:pPr>
              <w:pStyle w:val="TableTextNoSpace"/>
              <w:jc w:val="center"/>
              <w:rPr>
                <w:rFonts w:cs="Arial"/>
                <w:sz w:val="18"/>
                <w:szCs w:val="18"/>
              </w:rPr>
            </w:pPr>
          </w:p>
        </w:tc>
      </w:tr>
      <w:tr w:rsidR="000005F4" w14:paraId="213CB22E" w14:textId="77777777" w:rsidTr="000005F4">
        <w:tc>
          <w:tcPr>
            <w:tcW w:w="553" w:type="pct"/>
            <w:shd w:val="clear" w:color="auto" w:fill="auto"/>
            <w:vAlign w:val="bottom"/>
          </w:tcPr>
          <w:p w14:paraId="4659B985" w14:textId="77777777" w:rsidR="000005F4" w:rsidRPr="008B4F97" w:rsidRDefault="000005F4" w:rsidP="000005F4">
            <w:pPr>
              <w:pStyle w:val="TableTextNoSpace"/>
              <w:rPr>
                <w:rFonts w:cs="Arial"/>
                <w:sz w:val="18"/>
                <w:szCs w:val="18"/>
              </w:rPr>
            </w:pPr>
            <w:r w:rsidRPr="008B4F97">
              <w:rPr>
                <w:rFonts w:cs="Arial"/>
                <w:color w:val="000000"/>
                <w:sz w:val="18"/>
                <w:szCs w:val="18"/>
              </w:rPr>
              <w:t>Art. 5.3 (a)</w:t>
            </w:r>
          </w:p>
        </w:tc>
        <w:tc>
          <w:tcPr>
            <w:tcW w:w="178" w:type="pct"/>
            <w:shd w:val="clear" w:color="auto" w:fill="auto"/>
            <w:vAlign w:val="bottom"/>
          </w:tcPr>
          <w:p w14:paraId="7B2F0CF6"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57113DEA"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4B812049"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33C06809"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7764011A"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528B287F"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3F9D7943"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1741D31D"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534CB5DB"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40E986D9"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59E70913"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0F53FA5E"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23B8A12C"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7D0BD139"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49667968"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7B4C74CD"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3F29DD80"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4423493F" w14:textId="77777777" w:rsidR="000005F4" w:rsidRPr="008B4F97" w:rsidRDefault="000005F4" w:rsidP="000005F4">
            <w:pPr>
              <w:pStyle w:val="TableTextNoSpace"/>
              <w:jc w:val="center"/>
              <w:rPr>
                <w:rFonts w:cs="Arial"/>
                <w:sz w:val="18"/>
                <w:szCs w:val="18"/>
              </w:rPr>
            </w:pPr>
          </w:p>
        </w:tc>
        <w:tc>
          <w:tcPr>
            <w:tcW w:w="178" w:type="pct"/>
            <w:vAlign w:val="bottom"/>
          </w:tcPr>
          <w:p w14:paraId="18BDD63F" w14:textId="77777777" w:rsidR="000005F4" w:rsidRPr="008B4F97" w:rsidRDefault="000005F4" w:rsidP="000005F4">
            <w:pPr>
              <w:pStyle w:val="TableTextNoSpace"/>
              <w:jc w:val="center"/>
              <w:rPr>
                <w:rFonts w:cs="Arial"/>
                <w:sz w:val="18"/>
                <w:szCs w:val="18"/>
              </w:rPr>
            </w:pPr>
          </w:p>
        </w:tc>
        <w:tc>
          <w:tcPr>
            <w:tcW w:w="178" w:type="pct"/>
            <w:vAlign w:val="bottom"/>
          </w:tcPr>
          <w:p w14:paraId="45D0F8FE" w14:textId="77777777" w:rsidR="000005F4" w:rsidRPr="008B4F97" w:rsidRDefault="000005F4" w:rsidP="000005F4">
            <w:pPr>
              <w:pStyle w:val="TableTextNoSpace"/>
              <w:jc w:val="center"/>
              <w:rPr>
                <w:rFonts w:cs="Arial"/>
                <w:sz w:val="18"/>
                <w:szCs w:val="18"/>
              </w:rPr>
            </w:pPr>
          </w:p>
        </w:tc>
        <w:tc>
          <w:tcPr>
            <w:tcW w:w="178" w:type="pct"/>
            <w:vAlign w:val="bottom"/>
          </w:tcPr>
          <w:p w14:paraId="7CECF466"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vAlign w:val="bottom"/>
          </w:tcPr>
          <w:p w14:paraId="2968DBE0" w14:textId="77777777" w:rsidR="000005F4" w:rsidRPr="008B4F97" w:rsidRDefault="000005F4" w:rsidP="000005F4">
            <w:pPr>
              <w:pStyle w:val="TableTextNoSpace"/>
              <w:jc w:val="center"/>
              <w:rPr>
                <w:rFonts w:cs="Arial"/>
                <w:sz w:val="18"/>
                <w:szCs w:val="18"/>
              </w:rPr>
            </w:pPr>
          </w:p>
        </w:tc>
        <w:tc>
          <w:tcPr>
            <w:tcW w:w="178" w:type="pct"/>
            <w:vAlign w:val="bottom"/>
          </w:tcPr>
          <w:p w14:paraId="36C7ECBA" w14:textId="77777777" w:rsidR="000005F4" w:rsidRPr="008B4F97" w:rsidRDefault="000005F4" w:rsidP="000005F4">
            <w:pPr>
              <w:pStyle w:val="TableTextNoSpace"/>
              <w:jc w:val="center"/>
              <w:rPr>
                <w:rFonts w:cs="Arial"/>
                <w:sz w:val="18"/>
                <w:szCs w:val="18"/>
              </w:rPr>
            </w:pPr>
          </w:p>
        </w:tc>
        <w:tc>
          <w:tcPr>
            <w:tcW w:w="178" w:type="pct"/>
            <w:vAlign w:val="bottom"/>
          </w:tcPr>
          <w:p w14:paraId="2ED178EF"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351928BD" w14:textId="77777777" w:rsidR="000005F4" w:rsidRPr="008B4F97" w:rsidRDefault="000005F4" w:rsidP="000005F4">
            <w:pPr>
              <w:pStyle w:val="TableTextNoSpace"/>
              <w:jc w:val="center"/>
              <w:rPr>
                <w:rFonts w:cs="Arial"/>
                <w:sz w:val="18"/>
                <w:szCs w:val="18"/>
              </w:rPr>
            </w:pPr>
          </w:p>
        </w:tc>
      </w:tr>
      <w:tr w:rsidR="000005F4" w14:paraId="030033B7" w14:textId="77777777" w:rsidTr="000005F4">
        <w:tc>
          <w:tcPr>
            <w:tcW w:w="553" w:type="pct"/>
            <w:shd w:val="clear" w:color="auto" w:fill="auto"/>
            <w:vAlign w:val="bottom"/>
          </w:tcPr>
          <w:p w14:paraId="308C482F" w14:textId="77777777" w:rsidR="000005F4" w:rsidRPr="008B4F97" w:rsidRDefault="000005F4" w:rsidP="000005F4">
            <w:pPr>
              <w:pStyle w:val="TableTextNoSpace"/>
              <w:rPr>
                <w:rFonts w:cs="Arial"/>
                <w:sz w:val="18"/>
                <w:szCs w:val="18"/>
              </w:rPr>
            </w:pPr>
            <w:r w:rsidRPr="008B4F97">
              <w:rPr>
                <w:rFonts w:cs="Arial"/>
                <w:color w:val="000000"/>
                <w:sz w:val="18"/>
                <w:szCs w:val="18"/>
              </w:rPr>
              <w:t>Art. 5.4 (a)</w:t>
            </w:r>
          </w:p>
        </w:tc>
        <w:tc>
          <w:tcPr>
            <w:tcW w:w="178" w:type="pct"/>
            <w:shd w:val="clear" w:color="auto" w:fill="auto"/>
            <w:vAlign w:val="bottom"/>
          </w:tcPr>
          <w:p w14:paraId="10B9F2C4"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48A30BD0"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320916C3"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21BAF568"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1C6563F6"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78B88B49"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5AC47531"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3DD0B470"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0AA70C26"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4589D104"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53245DAB"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352A5372"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33D00C97"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4F7FBDF8"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72A7A703"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24BF08B7"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4FBE1A3D"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4B01741F" w14:textId="77777777" w:rsidR="000005F4" w:rsidRPr="008B4F97" w:rsidRDefault="000005F4" w:rsidP="000005F4">
            <w:pPr>
              <w:pStyle w:val="TableTextNoSpace"/>
              <w:jc w:val="center"/>
              <w:rPr>
                <w:rFonts w:cs="Arial"/>
                <w:sz w:val="18"/>
                <w:szCs w:val="18"/>
              </w:rPr>
            </w:pPr>
          </w:p>
        </w:tc>
        <w:tc>
          <w:tcPr>
            <w:tcW w:w="178" w:type="pct"/>
            <w:vAlign w:val="bottom"/>
          </w:tcPr>
          <w:p w14:paraId="11D09A90" w14:textId="77777777" w:rsidR="000005F4" w:rsidRPr="008B4F97" w:rsidRDefault="000005F4" w:rsidP="000005F4">
            <w:pPr>
              <w:pStyle w:val="TableTextNoSpace"/>
              <w:jc w:val="center"/>
              <w:rPr>
                <w:rFonts w:cs="Arial"/>
                <w:sz w:val="18"/>
                <w:szCs w:val="18"/>
              </w:rPr>
            </w:pPr>
          </w:p>
        </w:tc>
        <w:tc>
          <w:tcPr>
            <w:tcW w:w="178" w:type="pct"/>
            <w:vAlign w:val="bottom"/>
          </w:tcPr>
          <w:p w14:paraId="0AC63CDD" w14:textId="77777777" w:rsidR="000005F4" w:rsidRPr="008B4F97" w:rsidRDefault="000005F4" w:rsidP="000005F4">
            <w:pPr>
              <w:pStyle w:val="TableTextNoSpace"/>
              <w:jc w:val="center"/>
              <w:rPr>
                <w:rFonts w:cs="Arial"/>
                <w:sz w:val="18"/>
                <w:szCs w:val="18"/>
              </w:rPr>
            </w:pPr>
          </w:p>
        </w:tc>
        <w:tc>
          <w:tcPr>
            <w:tcW w:w="178" w:type="pct"/>
            <w:vAlign w:val="bottom"/>
          </w:tcPr>
          <w:p w14:paraId="7219A6C0" w14:textId="77777777" w:rsidR="000005F4" w:rsidRPr="008B4F97" w:rsidRDefault="000005F4" w:rsidP="000005F4">
            <w:pPr>
              <w:pStyle w:val="TableTextNoSpace"/>
              <w:jc w:val="center"/>
              <w:rPr>
                <w:rFonts w:cs="Arial"/>
                <w:sz w:val="18"/>
                <w:szCs w:val="18"/>
              </w:rPr>
            </w:pPr>
          </w:p>
        </w:tc>
        <w:tc>
          <w:tcPr>
            <w:tcW w:w="178" w:type="pct"/>
            <w:vAlign w:val="bottom"/>
          </w:tcPr>
          <w:p w14:paraId="5D1F03FE" w14:textId="77777777" w:rsidR="000005F4" w:rsidRPr="008B4F97" w:rsidRDefault="000005F4" w:rsidP="000005F4">
            <w:pPr>
              <w:pStyle w:val="TableTextNoSpace"/>
              <w:jc w:val="center"/>
              <w:rPr>
                <w:rFonts w:cs="Arial"/>
                <w:sz w:val="18"/>
                <w:szCs w:val="18"/>
              </w:rPr>
            </w:pPr>
          </w:p>
        </w:tc>
        <w:tc>
          <w:tcPr>
            <w:tcW w:w="178" w:type="pct"/>
            <w:vAlign w:val="bottom"/>
          </w:tcPr>
          <w:p w14:paraId="09E90503" w14:textId="77777777" w:rsidR="000005F4" w:rsidRPr="008B4F97" w:rsidRDefault="000005F4" w:rsidP="000005F4">
            <w:pPr>
              <w:pStyle w:val="TableTextNoSpace"/>
              <w:jc w:val="center"/>
              <w:rPr>
                <w:rFonts w:cs="Arial"/>
                <w:sz w:val="18"/>
                <w:szCs w:val="18"/>
              </w:rPr>
            </w:pPr>
          </w:p>
        </w:tc>
        <w:tc>
          <w:tcPr>
            <w:tcW w:w="178" w:type="pct"/>
            <w:vAlign w:val="bottom"/>
          </w:tcPr>
          <w:p w14:paraId="4B72007B"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6F8957F5" w14:textId="77777777" w:rsidR="000005F4" w:rsidRPr="008B4F97" w:rsidRDefault="000005F4" w:rsidP="000005F4">
            <w:pPr>
              <w:pStyle w:val="TableTextNoSpace"/>
              <w:jc w:val="center"/>
              <w:rPr>
                <w:rFonts w:cs="Arial"/>
                <w:sz w:val="18"/>
                <w:szCs w:val="18"/>
              </w:rPr>
            </w:pPr>
          </w:p>
        </w:tc>
      </w:tr>
      <w:tr w:rsidR="000005F4" w14:paraId="7AFEA82C" w14:textId="77777777" w:rsidTr="000005F4">
        <w:tc>
          <w:tcPr>
            <w:tcW w:w="553" w:type="pct"/>
            <w:shd w:val="clear" w:color="auto" w:fill="auto"/>
            <w:vAlign w:val="bottom"/>
          </w:tcPr>
          <w:p w14:paraId="39CCA190" w14:textId="77777777" w:rsidR="000005F4" w:rsidRPr="008B4F97" w:rsidRDefault="000005F4" w:rsidP="000005F4">
            <w:pPr>
              <w:pStyle w:val="TableTextNoSpace"/>
              <w:rPr>
                <w:rFonts w:cs="Arial"/>
                <w:sz w:val="18"/>
                <w:szCs w:val="18"/>
              </w:rPr>
            </w:pPr>
            <w:r w:rsidRPr="008B4F97">
              <w:rPr>
                <w:rFonts w:cs="Arial"/>
                <w:color w:val="000000"/>
                <w:sz w:val="18"/>
                <w:szCs w:val="18"/>
              </w:rPr>
              <w:t>Art. 5.4 (c)</w:t>
            </w:r>
          </w:p>
        </w:tc>
        <w:tc>
          <w:tcPr>
            <w:tcW w:w="178" w:type="pct"/>
            <w:shd w:val="clear" w:color="auto" w:fill="auto"/>
            <w:vAlign w:val="bottom"/>
          </w:tcPr>
          <w:p w14:paraId="7A5EDFFC"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24C3D31D"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0786D016"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59E99995"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71B5CECE"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66CBA154"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2CF91452"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6A8D4A7B"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496F2F78"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497CDFD1"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56A32ADE"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4CB06D99"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27697674"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13F1FAE3"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45329987"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41389953"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335ED15B"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57925F7B" w14:textId="77777777" w:rsidR="000005F4" w:rsidRPr="008B4F97" w:rsidRDefault="000005F4" w:rsidP="000005F4">
            <w:pPr>
              <w:pStyle w:val="TableTextNoSpace"/>
              <w:jc w:val="center"/>
              <w:rPr>
                <w:rFonts w:cs="Arial"/>
                <w:sz w:val="18"/>
                <w:szCs w:val="18"/>
              </w:rPr>
            </w:pPr>
          </w:p>
        </w:tc>
        <w:tc>
          <w:tcPr>
            <w:tcW w:w="178" w:type="pct"/>
            <w:vAlign w:val="bottom"/>
          </w:tcPr>
          <w:p w14:paraId="2565E034" w14:textId="77777777" w:rsidR="000005F4" w:rsidRPr="008B4F97" w:rsidRDefault="000005F4" w:rsidP="000005F4">
            <w:pPr>
              <w:pStyle w:val="TableTextNoSpace"/>
              <w:jc w:val="center"/>
              <w:rPr>
                <w:rFonts w:cs="Arial"/>
                <w:sz w:val="18"/>
                <w:szCs w:val="18"/>
              </w:rPr>
            </w:pPr>
          </w:p>
        </w:tc>
        <w:tc>
          <w:tcPr>
            <w:tcW w:w="178" w:type="pct"/>
            <w:vAlign w:val="bottom"/>
          </w:tcPr>
          <w:p w14:paraId="505701A8" w14:textId="77777777" w:rsidR="000005F4" w:rsidRPr="008B4F97" w:rsidRDefault="000005F4" w:rsidP="000005F4">
            <w:pPr>
              <w:pStyle w:val="TableTextNoSpace"/>
              <w:jc w:val="center"/>
              <w:rPr>
                <w:rFonts w:cs="Arial"/>
                <w:sz w:val="18"/>
                <w:szCs w:val="18"/>
              </w:rPr>
            </w:pPr>
          </w:p>
        </w:tc>
        <w:tc>
          <w:tcPr>
            <w:tcW w:w="178" w:type="pct"/>
            <w:vAlign w:val="bottom"/>
          </w:tcPr>
          <w:p w14:paraId="34E770E9" w14:textId="77777777" w:rsidR="000005F4" w:rsidRPr="008B4F97" w:rsidRDefault="000005F4" w:rsidP="000005F4">
            <w:pPr>
              <w:pStyle w:val="TableTextNoSpace"/>
              <w:jc w:val="center"/>
              <w:rPr>
                <w:rFonts w:cs="Arial"/>
                <w:sz w:val="18"/>
                <w:szCs w:val="18"/>
              </w:rPr>
            </w:pPr>
          </w:p>
        </w:tc>
        <w:tc>
          <w:tcPr>
            <w:tcW w:w="178" w:type="pct"/>
            <w:vAlign w:val="bottom"/>
          </w:tcPr>
          <w:p w14:paraId="2DE35D2F" w14:textId="77777777" w:rsidR="000005F4" w:rsidRPr="008B4F97" w:rsidRDefault="000005F4" w:rsidP="000005F4">
            <w:pPr>
              <w:pStyle w:val="TableTextNoSpace"/>
              <w:jc w:val="center"/>
              <w:rPr>
                <w:rFonts w:cs="Arial"/>
                <w:sz w:val="18"/>
                <w:szCs w:val="18"/>
              </w:rPr>
            </w:pPr>
          </w:p>
        </w:tc>
        <w:tc>
          <w:tcPr>
            <w:tcW w:w="178" w:type="pct"/>
            <w:vAlign w:val="bottom"/>
          </w:tcPr>
          <w:p w14:paraId="067A92F1" w14:textId="77777777" w:rsidR="000005F4" w:rsidRPr="008B4F97" w:rsidRDefault="000005F4" w:rsidP="000005F4">
            <w:pPr>
              <w:pStyle w:val="TableTextNoSpace"/>
              <w:jc w:val="center"/>
              <w:rPr>
                <w:rFonts w:cs="Arial"/>
                <w:sz w:val="18"/>
                <w:szCs w:val="18"/>
              </w:rPr>
            </w:pPr>
          </w:p>
        </w:tc>
        <w:tc>
          <w:tcPr>
            <w:tcW w:w="178" w:type="pct"/>
            <w:vAlign w:val="bottom"/>
          </w:tcPr>
          <w:p w14:paraId="2763EA3D"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3F1DF2F6" w14:textId="77777777" w:rsidR="000005F4" w:rsidRPr="008B4F97" w:rsidRDefault="000005F4" w:rsidP="000005F4">
            <w:pPr>
              <w:pStyle w:val="TableTextNoSpace"/>
              <w:jc w:val="center"/>
              <w:rPr>
                <w:rFonts w:cs="Arial"/>
                <w:sz w:val="18"/>
                <w:szCs w:val="18"/>
              </w:rPr>
            </w:pPr>
          </w:p>
        </w:tc>
      </w:tr>
      <w:tr w:rsidR="000005F4" w14:paraId="15C95FE7" w14:textId="77777777" w:rsidTr="000005F4">
        <w:tc>
          <w:tcPr>
            <w:tcW w:w="553" w:type="pct"/>
            <w:shd w:val="clear" w:color="auto" w:fill="EAF1DD" w:themeFill="accent3" w:themeFillTint="33"/>
            <w:vAlign w:val="bottom"/>
          </w:tcPr>
          <w:p w14:paraId="168693E7" w14:textId="77777777" w:rsidR="000005F4" w:rsidRPr="008B4F97" w:rsidRDefault="000005F4" w:rsidP="000005F4">
            <w:pPr>
              <w:pStyle w:val="TableTextNoSpace"/>
              <w:rPr>
                <w:rFonts w:cs="Arial"/>
                <w:sz w:val="18"/>
                <w:szCs w:val="18"/>
              </w:rPr>
            </w:pPr>
            <w:r w:rsidRPr="008B4F97">
              <w:rPr>
                <w:rFonts w:cs="Arial"/>
                <w:color w:val="000000"/>
                <w:sz w:val="18"/>
                <w:szCs w:val="18"/>
              </w:rPr>
              <w:t>Art. 5.4 (e)</w:t>
            </w:r>
          </w:p>
        </w:tc>
        <w:tc>
          <w:tcPr>
            <w:tcW w:w="178" w:type="pct"/>
            <w:shd w:val="clear" w:color="auto" w:fill="EAF1DD" w:themeFill="accent3" w:themeFillTint="33"/>
            <w:vAlign w:val="bottom"/>
          </w:tcPr>
          <w:p w14:paraId="43E4B865" w14:textId="77777777" w:rsidR="000005F4" w:rsidRPr="008B4F97"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3882CC5D" w14:textId="77777777" w:rsidR="000005F4" w:rsidRPr="008B4F97"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0CE6E52E" w14:textId="77777777" w:rsidR="000005F4" w:rsidRPr="008B4F97"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10F2BD93"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EAF1DD" w:themeFill="accent3" w:themeFillTint="33"/>
            <w:vAlign w:val="bottom"/>
          </w:tcPr>
          <w:p w14:paraId="4B5F7C28"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EAF1DD" w:themeFill="accent3" w:themeFillTint="33"/>
            <w:vAlign w:val="bottom"/>
          </w:tcPr>
          <w:p w14:paraId="292AD683" w14:textId="77777777" w:rsidR="000005F4" w:rsidRPr="008B4F97"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6B741A1B" w14:textId="77777777" w:rsidR="000005F4" w:rsidRPr="008B4F97"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601A78B0"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EAF1DD" w:themeFill="accent3" w:themeFillTint="33"/>
            <w:vAlign w:val="bottom"/>
          </w:tcPr>
          <w:p w14:paraId="7294F3F1" w14:textId="77777777" w:rsidR="000005F4" w:rsidRPr="008B4F97"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575F55FE" w14:textId="77777777" w:rsidR="000005F4" w:rsidRPr="008B4F97"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7F72CB69" w14:textId="77777777" w:rsidR="000005F4" w:rsidRPr="008B4F97"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71F268B0" w14:textId="77777777" w:rsidR="000005F4" w:rsidRPr="008B4F97"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7BA7175A" w14:textId="77777777" w:rsidR="000005F4" w:rsidRPr="008B4F97"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5437DBCB" w14:textId="77777777" w:rsidR="000005F4" w:rsidRPr="008B4F97"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7DF7DD93" w14:textId="77777777" w:rsidR="000005F4" w:rsidRPr="008B4F97"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28FC40A6" w14:textId="77777777" w:rsidR="000005F4" w:rsidRPr="008B4F97"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7048D7AD" w14:textId="77777777" w:rsidR="000005F4" w:rsidRPr="008B4F97"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3586EA9B" w14:textId="77777777" w:rsidR="000005F4" w:rsidRPr="008B4F97"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13E2FF5F" w14:textId="77777777" w:rsidR="000005F4" w:rsidRPr="008B4F97"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066BA8CC" w14:textId="77777777" w:rsidR="000005F4" w:rsidRPr="008B4F97"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6B373FF2" w14:textId="77777777" w:rsidR="000005F4" w:rsidRPr="008B4F97"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419D1CB4" w14:textId="77777777" w:rsidR="000005F4" w:rsidRPr="008B4F97"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4362ED8C" w14:textId="77777777" w:rsidR="000005F4" w:rsidRPr="008B4F97"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453FEAA0" w14:textId="77777777" w:rsidR="000005F4" w:rsidRPr="008B4F97"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4018E300" w14:textId="77777777" w:rsidR="000005F4" w:rsidRPr="008B4F97" w:rsidRDefault="000005F4" w:rsidP="000005F4">
            <w:pPr>
              <w:pStyle w:val="TableTextNoSpace"/>
              <w:jc w:val="center"/>
              <w:rPr>
                <w:rFonts w:cs="Arial"/>
                <w:sz w:val="18"/>
                <w:szCs w:val="18"/>
              </w:rPr>
            </w:pPr>
          </w:p>
        </w:tc>
      </w:tr>
      <w:tr w:rsidR="000005F4" w14:paraId="0CA109AD" w14:textId="77777777" w:rsidTr="000005F4">
        <w:tc>
          <w:tcPr>
            <w:tcW w:w="553" w:type="pct"/>
            <w:shd w:val="clear" w:color="auto" w:fill="auto"/>
            <w:vAlign w:val="bottom"/>
          </w:tcPr>
          <w:p w14:paraId="6970DFC8" w14:textId="77777777" w:rsidR="000005F4" w:rsidRPr="008B4F97" w:rsidRDefault="000005F4" w:rsidP="000005F4">
            <w:pPr>
              <w:pStyle w:val="TableTextNoSpace"/>
              <w:rPr>
                <w:rFonts w:cs="Arial"/>
                <w:sz w:val="18"/>
                <w:szCs w:val="18"/>
              </w:rPr>
            </w:pPr>
            <w:r w:rsidRPr="008B4F97">
              <w:rPr>
                <w:rFonts w:cs="Arial"/>
                <w:color w:val="000000"/>
                <w:sz w:val="18"/>
                <w:szCs w:val="18"/>
              </w:rPr>
              <w:t>Art. 5.5 (a)</w:t>
            </w:r>
          </w:p>
        </w:tc>
        <w:tc>
          <w:tcPr>
            <w:tcW w:w="178" w:type="pct"/>
            <w:shd w:val="clear" w:color="auto" w:fill="auto"/>
            <w:vAlign w:val="bottom"/>
          </w:tcPr>
          <w:p w14:paraId="2A45E4B5"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5663C08E"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4BDEE865"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4186383E"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55287C49"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0D34ED97"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428B7101"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7A7B0136"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5BEA6A41"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4AFB2058"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1F14BCEB"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79A03AE4"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13002D86"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08DF285A"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741BC0C9"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67BFD2C8"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450634EC"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1A291BA7"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vAlign w:val="bottom"/>
          </w:tcPr>
          <w:p w14:paraId="361687F2" w14:textId="77777777" w:rsidR="000005F4" w:rsidRPr="008B4F97" w:rsidRDefault="000005F4" w:rsidP="000005F4">
            <w:pPr>
              <w:pStyle w:val="TableTextNoSpace"/>
              <w:jc w:val="center"/>
              <w:rPr>
                <w:rFonts w:cs="Arial"/>
                <w:sz w:val="18"/>
                <w:szCs w:val="18"/>
              </w:rPr>
            </w:pPr>
          </w:p>
        </w:tc>
        <w:tc>
          <w:tcPr>
            <w:tcW w:w="178" w:type="pct"/>
            <w:vAlign w:val="bottom"/>
          </w:tcPr>
          <w:p w14:paraId="196A242F" w14:textId="77777777" w:rsidR="000005F4" w:rsidRPr="008B4F97" w:rsidRDefault="000005F4" w:rsidP="000005F4">
            <w:pPr>
              <w:pStyle w:val="TableTextNoSpace"/>
              <w:jc w:val="center"/>
              <w:rPr>
                <w:rFonts w:cs="Arial"/>
                <w:sz w:val="18"/>
                <w:szCs w:val="18"/>
              </w:rPr>
            </w:pPr>
          </w:p>
        </w:tc>
        <w:tc>
          <w:tcPr>
            <w:tcW w:w="178" w:type="pct"/>
            <w:vAlign w:val="bottom"/>
          </w:tcPr>
          <w:p w14:paraId="17FAEDAD"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vAlign w:val="bottom"/>
          </w:tcPr>
          <w:p w14:paraId="107CCE15" w14:textId="77777777" w:rsidR="000005F4" w:rsidRPr="008B4F97" w:rsidRDefault="000005F4" w:rsidP="000005F4">
            <w:pPr>
              <w:pStyle w:val="TableTextNoSpace"/>
              <w:jc w:val="center"/>
              <w:rPr>
                <w:rFonts w:cs="Arial"/>
                <w:sz w:val="18"/>
                <w:szCs w:val="18"/>
              </w:rPr>
            </w:pPr>
          </w:p>
        </w:tc>
        <w:tc>
          <w:tcPr>
            <w:tcW w:w="178" w:type="pct"/>
            <w:vAlign w:val="bottom"/>
          </w:tcPr>
          <w:p w14:paraId="1EFAB301"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vAlign w:val="bottom"/>
          </w:tcPr>
          <w:p w14:paraId="12B1E9C2"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4E617A63" w14:textId="77777777" w:rsidR="000005F4" w:rsidRPr="008B4F97" w:rsidRDefault="000005F4" w:rsidP="000005F4">
            <w:pPr>
              <w:pStyle w:val="TableTextNoSpace"/>
              <w:jc w:val="center"/>
              <w:rPr>
                <w:rFonts w:cs="Arial"/>
                <w:sz w:val="18"/>
                <w:szCs w:val="18"/>
              </w:rPr>
            </w:pPr>
          </w:p>
        </w:tc>
      </w:tr>
      <w:tr w:rsidR="000005F4" w14:paraId="7D5015E5" w14:textId="77777777" w:rsidTr="000005F4">
        <w:tc>
          <w:tcPr>
            <w:tcW w:w="553" w:type="pct"/>
            <w:shd w:val="clear" w:color="auto" w:fill="auto"/>
            <w:vAlign w:val="bottom"/>
          </w:tcPr>
          <w:p w14:paraId="18FCDFEE" w14:textId="77777777" w:rsidR="000005F4" w:rsidRPr="008B4F97" w:rsidRDefault="000005F4" w:rsidP="000005F4">
            <w:pPr>
              <w:pStyle w:val="TableTextNoSpace"/>
              <w:rPr>
                <w:rFonts w:cs="Arial"/>
                <w:sz w:val="18"/>
                <w:szCs w:val="18"/>
              </w:rPr>
            </w:pPr>
            <w:r w:rsidRPr="008B4F97">
              <w:rPr>
                <w:rFonts w:cs="Arial"/>
                <w:color w:val="000000"/>
                <w:sz w:val="18"/>
                <w:szCs w:val="18"/>
              </w:rPr>
              <w:t>Art. 5.5 (b)</w:t>
            </w:r>
          </w:p>
        </w:tc>
        <w:tc>
          <w:tcPr>
            <w:tcW w:w="178" w:type="pct"/>
            <w:shd w:val="clear" w:color="auto" w:fill="auto"/>
            <w:vAlign w:val="bottom"/>
          </w:tcPr>
          <w:p w14:paraId="38277C23"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5DD219EA"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6038FF9F"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05B359E5"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4C8C6595"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4121D23B"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498AF7C0"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734F642D"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47C313F9"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21E21A97"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7A22D23E"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24E887FD"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07B5CB4E"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6445335E"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4DD09AA7"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56C9DC06"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190AA67A"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48A1570F"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vAlign w:val="bottom"/>
          </w:tcPr>
          <w:p w14:paraId="7095B1E3" w14:textId="77777777" w:rsidR="000005F4" w:rsidRPr="008B4F97" w:rsidRDefault="000005F4" w:rsidP="000005F4">
            <w:pPr>
              <w:pStyle w:val="TableTextNoSpace"/>
              <w:jc w:val="center"/>
              <w:rPr>
                <w:rFonts w:cs="Arial"/>
                <w:sz w:val="18"/>
                <w:szCs w:val="18"/>
              </w:rPr>
            </w:pPr>
          </w:p>
        </w:tc>
        <w:tc>
          <w:tcPr>
            <w:tcW w:w="178" w:type="pct"/>
            <w:vAlign w:val="bottom"/>
          </w:tcPr>
          <w:p w14:paraId="39D650B2" w14:textId="77777777" w:rsidR="000005F4" w:rsidRPr="008B4F97" w:rsidRDefault="000005F4" w:rsidP="000005F4">
            <w:pPr>
              <w:pStyle w:val="TableTextNoSpace"/>
              <w:jc w:val="center"/>
              <w:rPr>
                <w:rFonts w:cs="Arial"/>
                <w:sz w:val="18"/>
                <w:szCs w:val="18"/>
              </w:rPr>
            </w:pPr>
          </w:p>
        </w:tc>
        <w:tc>
          <w:tcPr>
            <w:tcW w:w="178" w:type="pct"/>
            <w:vAlign w:val="bottom"/>
          </w:tcPr>
          <w:p w14:paraId="6DE2809F"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vAlign w:val="bottom"/>
          </w:tcPr>
          <w:p w14:paraId="256D4A4D" w14:textId="77777777" w:rsidR="000005F4" w:rsidRPr="008B4F97" w:rsidRDefault="000005F4" w:rsidP="000005F4">
            <w:pPr>
              <w:pStyle w:val="TableTextNoSpace"/>
              <w:jc w:val="center"/>
              <w:rPr>
                <w:rFonts w:cs="Arial"/>
                <w:sz w:val="18"/>
                <w:szCs w:val="18"/>
              </w:rPr>
            </w:pPr>
          </w:p>
        </w:tc>
        <w:tc>
          <w:tcPr>
            <w:tcW w:w="178" w:type="pct"/>
            <w:vAlign w:val="bottom"/>
          </w:tcPr>
          <w:p w14:paraId="6CC82D3C"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vAlign w:val="bottom"/>
          </w:tcPr>
          <w:p w14:paraId="567C38A7"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76964132" w14:textId="77777777" w:rsidR="000005F4" w:rsidRPr="008B4F97" w:rsidRDefault="000005F4" w:rsidP="000005F4">
            <w:pPr>
              <w:pStyle w:val="TableTextNoSpace"/>
              <w:jc w:val="center"/>
              <w:rPr>
                <w:rFonts w:cs="Arial"/>
                <w:sz w:val="18"/>
                <w:szCs w:val="18"/>
              </w:rPr>
            </w:pPr>
          </w:p>
        </w:tc>
      </w:tr>
      <w:tr w:rsidR="000005F4" w14:paraId="2B44BC13" w14:textId="77777777" w:rsidTr="000005F4">
        <w:tc>
          <w:tcPr>
            <w:tcW w:w="553" w:type="pct"/>
            <w:shd w:val="clear" w:color="auto" w:fill="auto"/>
            <w:vAlign w:val="bottom"/>
          </w:tcPr>
          <w:p w14:paraId="0464E06A" w14:textId="77777777" w:rsidR="000005F4" w:rsidRPr="008B4F97" w:rsidRDefault="000005F4" w:rsidP="000005F4">
            <w:pPr>
              <w:pStyle w:val="TableTextNoSpace"/>
              <w:rPr>
                <w:rFonts w:cs="Arial"/>
                <w:sz w:val="18"/>
                <w:szCs w:val="18"/>
              </w:rPr>
            </w:pPr>
            <w:r w:rsidRPr="008B4F97">
              <w:rPr>
                <w:rFonts w:cs="Arial"/>
                <w:color w:val="000000"/>
                <w:sz w:val="18"/>
                <w:szCs w:val="18"/>
              </w:rPr>
              <w:t>Art. 5.6 (a)</w:t>
            </w:r>
          </w:p>
        </w:tc>
        <w:tc>
          <w:tcPr>
            <w:tcW w:w="178" w:type="pct"/>
            <w:shd w:val="clear" w:color="auto" w:fill="auto"/>
            <w:vAlign w:val="bottom"/>
          </w:tcPr>
          <w:p w14:paraId="2D01FD7A"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40660949"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257F18CD"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17E73DCD"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1D3AA656"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6E0BE1F1"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58E7DD4D"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5221AB76"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70BBBB8F"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6D175A27"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33EA7817"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450DCFD0"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3DEA4703"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5FB31FDF"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75DA896C"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5BD6E526"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5E21D8D1"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5387A6FC" w14:textId="77777777" w:rsidR="000005F4" w:rsidRPr="008B4F97" w:rsidRDefault="000005F4" w:rsidP="000005F4">
            <w:pPr>
              <w:pStyle w:val="TableTextNoSpace"/>
              <w:jc w:val="center"/>
              <w:rPr>
                <w:rFonts w:cs="Arial"/>
                <w:sz w:val="18"/>
                <w:szCs w:val="18"/>
              </w:rPr>
            </w:pPr>
          </w:p>
        </w:tc>
        <w:tc>
          <w:tcPr>
            <w:tcW w:w="178" w:type="pct"/>
            <w:vAlign w:val="bottom"/>
          </w:tcPr>
          <w:p w14:paraId="161E0251" w14:textId="77777777" w:rsidR="000005F4" w:rsidRPr="008B4F97" w:rsidRDefault="000005F4" w:rsidP="000005F4">
            <w:pPr>
              <w:pStyle w:val="TableTextNoSpace"/>
              <w:jc w:val="center"/>
              <w:rPr>
                <w:rFonts w:cs="Arial"/>
                <w:sz w:val="18"/>
                <w:szCs w:val="18"/>
              </w:rPr>
            </w:pPr>
          </w:p>
        </w:tc>
        <w:tc>
          <w:tcPr>
            <w:tcW w:w="178" w:type="pct"/>
            <w:vAlign w:val="bottom"/>
          </w:tcPr>
          <w:p w14:paraId="184B9F11" w14:textId="77777777" w:rsidR="000005F4" w:rsidRPr="008B4F97" w:rsidRDefault="000005F4" w:rsidP="000005F4">
            <w:pPr>
              <w:pStyle w:val="TableTextNoSpace"/>
              <w:jc w:val="center"/>
              <w:rPr>
                <w:rFonts w:cs="Arial"/>
                <w:sz w:val="18"/>
                <w:szCs w:val="18"/>
              </w:rPr>
            </w:pPr>
          </w:p>
        </w:tc>
        <w:tc>
          <w:tcPr>
            <w:tcW w:w="178" w:type="pct"/>
            <w:vAlign w:val="bottom"/>
          </w:tcPr>
          <w:p w14:paraId="28220726"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vAlign w:val="bottom"/>
          </w:tcPr>
          <w:p w14:paraId="3C790A95" w14:textId="77777777" w:rsidR="000005F4" w:rsidRPr="008B4F97" w:rsidRDefault="000005F4" w:rsidP="000005F4">
            <w:pPr>
              <w:pStyle w:val="TableTextNoSpace"/>
              <w:jc w:val="center"/>
              <w:rPr>
                <w:rFonts w:cs="Arial"/>
                <w:sz w:val="18"/>
                <w:szCs w:val="18"/>
              </w:rPr>
            </w:pPr>
          </w:p>
        </w:tc>
        <w:tc>
          <w:tcPr>
            <w:tcW w:w="178" w:type="pct"/>
            <w:vAlign w:val="bottom"/>
          </w:tcPr>
          <w:p w14:paraId="0A97BE70" w14:textId="77777777" w:rsidR="000005F4" w:rsidRPr="008B4F97" w:rsidRDefault="000005F4" w:rsidP="000005F4">
            <w:pPr>
              <w:pStyle w:val="TableTextNoSpace"/>
              <w:jc w:val="center"/>
              <w:rPr>
                <w:rFonts w:cs="Arial"/>
                <w:sz w:val="18"/>
                <w:szCs w:val="18"/>
              </w:rPr>
            </w:pPr>
          </w:p>
        </w:tc>
        <w:tc>
          <w:tcPr>
            <w:tcW w:w="178" w:type="pct"/>
            <w:vAlign w:val="bottom"/>
          </w:tcPr>
          <w:p w14:paraId="7A718D06"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713C242D" w14:textId="77777777" w:rsidR="000005F4" w:rsidRPr="008B4F97" w:rsidRDefault="000005F4" w:rsidP="000005F4">
            <w:pPr>
              <w:pStyle w:val="TableTextNoSpace"/>
              <w:jc w:val="center"/>
              <w:rPr>
                <w:rFonts w:cs="Arial"/>
                <w:sz w:val="18"/>
                <w:szCs w:val="18"/>
              </w:rPr>
            </w:pPr>
          </w:p>
        </w:tc>
      </w:tr>
      <w:tr w:rsidR="000005F4" w14:paraId="53956A89" w14:textId="77777777" w:rsidTr="000005F4">
        <w:tc>
          <w:tcPr>
            <w:tcW w:w="553" w:type="pct"/>
            <w:shd w:val="clear" w:color="auto" w:fill="EAF1DD" w:themeFill="accent3" w:themeFillTint="33"/>
            <w:vAlign w:val="bottom"/>
          </w:tcPr>
          <w:p w14:paraId="06EFE3C5" w14:textId="77777777" w:rsidR="000005F4" w:rsidRPr="008B4F97" w:rsidRDefault="000005F4" w:rsidP="000005F4">
            <w:pPr>
              <w:pStyle w:val="TableTextNoSpace"/>
              <w:rPr>
                <w:rFonts w:cs="Arial"/>
                <w:sz w:val="18"/>
                <w:szCs w:val="18"/>
              </w:rPr>
            </w:pPr>
            <w:r w:rsidRPr="008B4F97">
              <w:rPr>
                <w:rFonts w:cs="Arial"/>
                <w:color w:val="000000"/>
                <w:sz w:val="18"/>
                <w:szCs w:val="18"/>
              </w:rPr>
              <w:t>Art. 5.6 (c)</w:t>
            </w:r>
          </w:p>
        </w:tc>
        <w:tc>
          <w:tcPr>
            <w:tcW w:w="178" w:type="pct"/>
            <w:shd w:val="clear" w:color="auto" w:fill="EAF1DD" w:themeFill="accent3" w:themeFillTint="33"/>
            <w:vAlign w:val="bottom"/>
          </w:tcPr>
          <w:p w14:paraId="3C01BF41" w14:textId="77777777" w:rsidR="000005F4" w:rsidRPr="008B4F97"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2A12ED6B"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EAF1DD" w:themeFill="accent3" w:themeFillTint="33"/>
            <w:vAlign w:val="bottom"/>
          </w:tcPr>
          <w:p w14:paraId="332ADC51" w14:textId="77777777" w:rsidR="000005F4" w:rsidRPr="008B4F97"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0E52DCFB"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EAF1DD" w:themeFill="accent3" w:themeFillTint="33"/>
            <w:vAlign w:val="bottom"/>
          </w:tcPr>
          <w:p w14:paraId="1BF43C96"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EAF1DD" w:themeFill="accent3" w:themeFillTint="33"/>
            <w:vAlign w:val="bottom"/>
          </w:tcPr>
          <w:p w14:paraId="03C51133"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EAF1DD" w:themeFill="accent3" w:themeFillTint="33"/>
            <w:vAlign w:val="bottom"/>
          </w:tcPr>
          <w:p w14:paraId="3A3188AD"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EAF1DD" w:themeFill="accent3" w:themeFillTint="33"/>
            <w:vAlign w:val="bottom"/>
          </w:tcPr>
          <w:p w14:paraId="195522B3"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EAF1DD" w:themeFill="accent3" w:themeFillTint="33"/>
            <w:vAlign w:val="bottom"/>
          </w:tcPr>
          <w:p w14:paraId="7220FC4C"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EAF1DD" w:themeFill="accent3" w:themeFillTint="33"/>
            <w:vAlign w:val="bottom"/>
          </w:tcPr>
          <w:p w14:paraId="767BF68D" w14:textId="77777777" w:rsidR="000005F4" w:rsidRPr="008B4F97"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0CAE84AC"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EAF1DD" w:themeFill="accent3" w:themeFillTint="33"/>
            <w:vAlign w:val="bottom"/>
          </w:tcPr>
          <w:p w14:paraId="1E24814B" w14:textId="77777777" w:rsidR="000005F4" w:rsidRPr="008B4F97"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7980E6AB" w14:textId="77777777" w:rsidR="000005F4" w:rsidRPr="008B4F97"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611E38D0" w14:textId="77777777" w:rsidR="000005F4" w:rsidRPr="008B4F97"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5F7665CB"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EAF1DD" w:themeFill="accent3" w:themeFillTint="33"/>
            <w:vAlign w:val="bottom"/>
          </w:tcPr>
          <w:p w14:paraId="5C2BFB9B"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EAF1DD" w:themeFill="accent3" w:themeFillTint="33"/>
            <w:vAlign w:val="bottom"/>
          </w:tcPr>
          <w:p w14:paraId="1E604180" w14:textId="77777777" w:rsidR="000005F4" w:rsidRPr="008B4F97"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6DBD9D52"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EAF1DD" w:themeFill="accent3" w:themeFillTint="33"/>
            <w:vAlign w:val="bottom"/>
          </w:tcPr>
          <w:p w14:paraId="1E493A1E" w14:textId="77777777" w:rsidR="000005F4" w:rsidRPr="008B4F97"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7A4756F4" w14:textId="77777777" w:rsidR="000005F4" w:rsidRPr="008B4F97"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1DDFC87A"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EAF1DD" w:themeFill="accent3" w:themeFillTint="33"/>
            <w:vAlign w:val="bottom"/>
          </w:tcPr>
          <w:p w14:paraId="2D1AB149" w14:textId="77777777" w:rsidR="000005F4" w:rsidRPr="008B4F97"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74100380" w14:textId="77777777" w:rsidR="000005F4" w:rsidRPr="008B4F97"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2563385E"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EAF1DD" w:themeFill="accent3" w:themeFillTint="33"/>
            <w:vAlign w:val="bottom"/>
          </w:tcPr>
          <w:p w14:paraId="6A763328" w14:textId="77777777" w:rsidR="000005F4" w:rsidRPr="008B4F97" w:rsidRDefault="000005F4" w:rsidP="000005F4">
            <w:pPr>
              <w:pStyle w:val="TableTextNoSpace"/>
              <w:jc w:val="center"/>
              <w:rPr>
                <w:rFonts w:cs="Arial"/>
                <w:sz w:val="18"/>
                <w:szCs w:val="18"/>
              </w:rPr>
            </w:pPr>
          </w:p>
        </w:tc>
      </w:tr>
      <w:tr w:rsidR="000005F4" w14:paraId="689E89A5" w14:textId="77777777" w:rsidTr="000005F4">
        <w:tc>
          <w:tcPr>
            <w:tcW w:w="553" w:type="pct"/>
            <w:shd w:val="clear" w:color="auto" w:fill="EAF1DD" w:themeFill="accent3" w:themeFillTint="33"/>
            <w:vAlign w:val="bottom"/>
          </w:tcPr>
          <w:p w14:paraId="2624DDEA" w14:textId="77777777" w:rsidR="000005F4" w:rsidRPr="008B4F97" w:rsidRDefault="000005F4" w:rsidP="000005F4">
            <w:pPr>
              <w:pStyle w:val="TableTextNoSpace"/>
              <w:rPr>
                <w:rFonts w:cs="Arial"/>
                <w:sz w:val="18"/>
                <w:szCs w:val="18"/>
              </w:rPr>
            </w:pPr>
            <w:r w:rsidRPr="008B4F97">
              <w:rPr>
                <w:rFonts w:cs="Arial"/>
                <w:color w:val="000000"/>
                <w:sz w:val="18"/>
                <w:szCs w:val="18"/>
              </w:rPr>
              <w:t>Art. 5.6 (d)</w:t>
            </w:r>
          </w:p>
        </w:tc>
        <w:tc>
          <w:tcPr>
            <w:tcW w:w="178" w:type="pct"/>
            <w:shd w:val="clear" w:color="auto" w:fill="EAF1DD" w:themeFill="accent3" w:themeFillTint="33"/>
            <w:vAlign w:val="bottom"/>
          </w:tcPr>
          <w:p w14:paraId="6F62332B" w14:textId="77777777" w:rsidR="000005F4" w:rsidRPr="008B4F97"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2551FEAB"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EAF1DD" w:themeFill="accent3" w:themeFillTint="33"/>
            <w:vAlign w:val="bottom"/>
          </w:tcPr>
          <w:p w14:paraId="55A3BE50" w14:textId="77777777" w:rsidR="000005F4" w:rsidRPr="008B4F97"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05C8D4E3"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EAF1DD" w:themeFill="accent3" w:themeFillTint="33"/>
            <w:vAlign w:val="bottom"/>
          </w:tcPr>
          <w:p w14:paraId="049BC96E"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EAF1DD" w:themeFill="accent3" w:themeFillTint="33"/>
            <w:vAlign w:val="bottom"/>
          </w:tcPr>
          <w:p w14:paraId="678B46F1"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EAF1DD" w:themeFill="accent3" w:themeFillTint="33"/>
            <w:vAlign w:val="bottom"/>
          </w:tcPr>
          <w:p w14:paraId="652D7E6A"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EAF1DD" w:themeFill="accent3" w:themeFillTint="33"/>
            <w:vAlign w:val="bottom"/>
          </w:tcPr>
          <w:p w14:paraId="1D5793CF"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EAF1DD" w:themeFill="accent3" w:themeFillTint="33"/>
            <w:vAlign w:val="bottom"/>
          </w:tcPr>
          <w:p w14:paraId="43CE23DF"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EAF1DD" w:themeFill="accent3" w:themeFillTint="33"/>
            <w:vAlign w:val="bottom"/>
          </w:tcPr>
          <w:p w14:paraId="5642FA47" w14:textId="77777777" w:rsidR="000005F4" w:rsidRPr="008B4F97" w:rsidRDefault="000005F4" w:rsidP="000005F4">
            <w:pPr>
              <w:pStyle w:val="TableTextNoSpace"/>
              <w:jc w:val="center"/>
              <w:rPr>
                <w:rFonts w:cs="Arial"/>
                <w:sz w:val="18"/>
                <w:szCs w:val="18"/>
              </w:rPr>
            </w:pPr>
          </w:p>
        </w:tc>
        <w:tc>
          <w:tcPr>
            <w:tcW w:w="178" w:type="pct"/>
            <w:shd w:val="clear" w:color="auto" w:fill="EAF1DD" w:themeFill="accent3" w:themeFillTint="33"/>
            <w:vAlign w:val="bottom"/>
          </w:tcPr>
          <w:p w14:paraId="62884E95"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EAF1DD" w:themeFill="accent3" w:themeFillTint="33"/>
            <w:vAlign w:val="bottom"/>
          </w:tcPr>
          <w:p w14:paraId="223B8D56"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EAF1DD" w:themeFill="accent3" w:themeFillTint="33"/>
            <w:vAlign w:val="bottom"/>
          </w:tcPr>
          <w:p w14:paraId="61A9E299"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EAF1DD" w:themeFill="accent3" w:themeFillTint="33"/>
            <w:vAlign w:val="bottom"/>
          </w:tcPr>
          <w:p w14:paraId="4D66F6ED"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EAF1DD" w:themeFill="accent3" w:themeFillTint="33"/>
            <w:vAlign w:val="bottom"/>
          </w:tcPr>
          <w:p w14:paraId="021BB8CB"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EAF1DD" w:themeFill="accent3" w:themeFillTint="33"/>
            <w:vAlign w:val="bottom"/>
          </w:tcPr>
          <w:p w14:paraId="7C8CFD4A"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EAF1DD" w:themeFill="accent3" w:themeFillTint="33"/>
            <w:vAlign w:val="bottom"/>
          </w:tcPr>
          <w:p w14:paraId="47DDECE8"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EAF1DD" w:themeFill="accent3" w:themeFillTint="33"/>
            <w:vAlign w:val="bottom"/>
          </w:tcPr>
          <w:p w14:paraId="27D655C7"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EAF1DD" w:themeFill="accent3" w:themeFillTint="33"/>
            <w:vAlign w:val="bottom"/>
          </w:tcPr>
          <w:p w14:paraId="64A5706F"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EAF1DD" w:themeFill="accent3" w:themeFillTint="33"/>
            <w:vAlign w:val="bottom"/>
          </w:tcPr>
          <w:p w14:paraId="39D7348E"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EAF1DD" w:themeFill="accent3" w:themeFillTint="33"/>
            <w:vAlign w:val="bottom"/>
          </w:tcPr>
          <w:p w14:paraId="10080A73"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EAF1DD" w:themeFill="accent3" w:themeFillTint="33"/>
            <w:vAlign w:val="bottom"/>
          </w:tcPr>
          <w:p w14:paraId="1F858F9B"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EAF1DD" w:themeFill="accent3" w:themeFillTint="33"/>
            <w:vAlign w:val="bottom"/>
          </w:tcPr>
          <w:p w14:paraId="61E2FF21"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EAF1DD" w:themeFill="accent3" w:themeFillTint="33"/>
            <w:vAlign w:val="bottom"/>
          </w:tcPr>
          <w:p w14:paraId="5C627C50"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EAF1DD" w:themeFill="accent3" w:themeFillTint="33"/>
            <w:vAlign w:val="bottom"/>
          </w:tcPr>
          <w:p w14:paraId="4947F569"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r>
      <w:tr w:rsidR="000005F4" w14:paraId="5FB81DCE" w14:textId="77777777" w:rsidTr="000005F4">
        <w:tc>
          <w:tcPr>
            <w:tcW w:w="553" w:type="pct"/>
            <w:shd w:val="clear" w:color="auto" w:fill="auto"/>
            <w:vAlign w:val="bottom"/>
          </w:tcPr>
          <w:p w14:paraId="25136A3E" w14:textId="77777777" w:rsidR="000005F4" w:rsidRPr="008B4F97" w:rsidRDefault="000005F4" w:rsidP="000005F4">
            <w:pPr>
              <w:pStyle w:val="TableTextNoSpace"/>
              <w:rPr>
                <w:rFonts w:cs="Arial"/>
                <w:sz w:val="18"/>
                <w:szCs w:val="18"/>
              </w:rPr>
            </w:pPr>
            <w:r w:rsidRPr="008B4F97">
              <w:rPr>
                <w:rFonts w:cs="Arial"/>
                <w:color w:val="000000"/>
                <w:sz w:val="18"/>
                <w:szCs w:val="18"/>
              </w:rPr>
              <w:t>Art. 5.6 (e)</w:t>
            </w:r>
          </w:p>
        </w:tc>
        <w:tc>
          <w:tcPr>
            <w:tcW w:w="178" w:type="pct"/>
            <w:shd w:val="clear" w:color="auto" w:fill="auto"/>
            <w:vAlign w:val="bottom"/>
          </w:tcPr>
          <w:p w14:paraId="74DF8431"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3DDF4A6E"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3A3736E7"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734206B2"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4707BF25"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0F3CB840"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27751F81"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534670CD"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5062599D"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6814C083"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7F2A51AE"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158C763A"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48A045D8"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47A440D7"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03585BFD"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6FCDB141"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4115FB3B"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0353E094"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vAlign w:val="bottom"/>
          </w:tcPr>
          <w:p w14:paraId="43DB2E96" w14:textId="77777777" w:rsidR="000005F4" w:rsidRPr="008B4F97" w:rsidRDefault="000005F4" w:rsidP="000005F4">
            <w:pPr>
              <w:pStyle w:val="TableTextNoSpace"/>
              <w:jc w:val="center"/>
              <w:rPr>
                <w:rFonts w:cs="Arial"/>
                <w:sz w:val="18"/>
                <w:szCs w:val="18"/>
              </w:rPr>
            </w:pPr>
          </w:p>
        </w:tc>
        <w:tc>
          <w:tcPr>
            <w:tcW w:w="178" w:type="pct"/>
            <w:vAlign w:val="bottom"/>
          </w:tcPr>
          <w:p w14:paraId="4A96F966" w14:textId="77777777" w:rsidR="000005F4" w:rsidRPr="008B4F97" w:rsidRDefault="000005F4" w:rsidP="000005F4">
            <w:pPr>
              <w:pStyle w:val="TableTextNoSpace"/>
              <w:jc w:val="center"/>
              <w:rPr>
                <w:rFonts w:cs="Arial"/>
                <w:sz w:val="18"/>
                <w:szCs w:val="18"/>
              </w:rPr>
            </w:pPr>
          </w:p>
        </w:tc>
        <w:tc>
          <w:tcPr>
            <w:tcW w:w="178" w:type="pct"/>
            <w:vAlign w:val="bottom"/>
          </w:tcPr>
          <w:p w14:paraId="1CEAA4C9"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vAlign w:val="bottom"/>
          </w:tcPr>
          <w:p w14:paraId="70C0679E" w14:textId="77777777" w:rsidR="000005F4" w:rsidRPr="008B4F97" w:rsidRDefault="000005F4" w:rsidP="000005F4">
            <w:pPr>
              <w:pStyle w:val="TableTextNoSpace"/>
              <w:jc w:val="center"/>
              <w:rPr>
                <w:rFonts w:cs="Arial"/>
                <w:sz w:val="18"/>
                <w:szCs w:val="18"/>
              </w:rPr>
            </w:pPr>
          </w:p>
        </w:tc>
        <w:tc>
          <w:tcPr>
            <w:tcW w:w="178" w:type="pct"/>
            <w:vAlign w:val="bottom"/>
          </w:tcPr>
          <w:p w14:paraId="205405DF" w14:textId="77777777" w:rsidR="000005F4" w:rsidRPr="008B4F97" w:rsidRDefault="000005F4" w:rsidP="000005F4">
            <w:pPr>
              <w:pStyle w:val="TableTextNoSpace"/>
              <w:jc w:val="center"/>
              <w:rPr>
                <w:rFonts w:cs="Arial"/>
                <w:sz w:val="18"/>
                <w:szCs w:val="18"/>
              </w:rPr>
            </w:pPr>
          </w:p>
        </w:tc>
        <w:tc>
          <w:tcPr>
            <w:tcW w:w="178" w:type="pct"/>
            <w:vAlign w:val="bottom"/>
          </w:tcPr>
          <w:p w14:paraId="5271FE06"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7A2B06FD" w14:textId="77777777" w:rsidR="000005F4" w:rsidRPr="008B4F97" w:rsidRDefault="000005F4" w:rsidP="000005F4">
            <w:pPr>
              <w:pStyle w:val="TableTextNoSpace"/>
              <w:jc w:val="center"/>
              <w:rPr>
                <w:rFonts w:cs="Arial"/>
                <w:sz w:val="18"/>
                <w:szCs w:val="18"/>
              </w:rPr>
            </w:pPr>
          </w:p>
        </w:tc>
      </w:tr>
      <w:tr w:rsidR="000005F4" w14:paraId="67C7EBCA" w14:textId="77777777" w:rsidTr="000005F4">
        <w:tc>
          <w:tcPr>
            <w:tcW w:w="553" w:type="pct"/>
            <w:shd w:val="clear" w:color="auto" w:fill="auto"/>
            <w:vAlign w:val="bottom"/>
          </w:tcPr>
          <w:p w14:paraId="355C5874" w14:textId="77777777" w:rsidR="000005F4" w:rsidRPr="008B4F97" w:rsidRDefault="000005F4" w:rsidP="000005F4">
            <w:pPr>
              <w:pStyle w:val="TableTextNoSpace"/>
              <w:rPr>
                <w:rFonts w:cs="Arial"/>
                <w:sz w:val="18"/>
                <w:szCs w:val="18"/>
              </w:rPr>
            </w:pPr>
            <w:r w:rsidRPr="008B4F97">
              <w:rPr>
                <w:rFonts w:cs="Arial"/>
                <w:color w:val="000000"/>
                <w:sz w:val="18"/>
                <w:szCs w:val="18"/>
              </w:rPr>
              <w:t>Art. 5.7 (c)</w:t>
            </w:r>
          </w:p>
        </w:tc>
        <w:tc>
          <w:tcPr>
            <w:tcW w:w="178" w:type="pct"/>
            <w:shd w:val="clear" w:color="auto" w:fill="auto"/>
            <w:vAlign w:val="bottom"/>
          </w:tcPr>
          <w:p w14:paraId="32BA3435"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2C719578"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1C7FE99F"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7232481C"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0E0541BA"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7AB7313E"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60E90BF6"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677CC0B2"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37F94ED2"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7251A62D"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41610F06"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438A2AA0"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269226FA"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4FEDF90B"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77780BFC"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5370BF74"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276D9730"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324DE24E" w14:textId="77777777" w:rsidR="000005F4" w:rsidRPr="008B4F97" w:rsidRDefault="000005F4" w:rsidP="000005F4">
            <w:pPr>
              <w:pStyle w:val="TableTextNoSpace"/>
              <w:jc w:val="center"/>
              <w:rPr>
                <w:rFonts w:cs="Arial"/>
                <w:sz w:val="18"/>
                <w:szCs w:val="18"/>
              </w:rPr>
            </w:pPr>
          </w:p>
        </w:tc>
        <w:tc>
          <w:tcPr>
            <w:tcW w:w="178" w:type="pct"/>
            <w:vAlign w:val="bottom"/>
          </w:tcPr>
          <w:p w14:paraId="70EFAA51" w14:textId="77777777" w:rsidR="000005F4" w:rsidRPr="008B4F97" w:rsidRDefault="000005F4" w:rsidP="000005F4">
            <w:pPr>
              <w:pStyle w:val="TableTextNoSpace"/>
              <w:jc w:val="center"/>
              <w:rPr>
                <w:rFonts w:cs="Arial"/>
                <w:sz w:val="18"/>
                <w:szCs w:val="18"/>
              </w:rPr>
            </w:pPr>
          </w:p>
        </w:tc>
        <w:tc>
          <w:tcPr>
            <w:tcW w:w="178" w:type="pct"/>
            <w:vAlign w:val="bottom"/>
          </w:tcPr>
          <w:p w14:paraId="3565D96A" w14:textId="77777777" w:rsidR="000005F4" w:rsidRPr="008B4F97" w:rsidRDefault="000005F4" w:rsidP="000005F4">
            <w:pPr>
              <w:pStyle w:val="TableTextNoSpace"/>
              <w:jc w:val="center"/>
              <w:rPr>
                <w:rFonts w:cs="Arial"/>
                <w:sz w:val="18"/>
                <w:szCs w:val="18"/>
              </w:rPr>
            </w:pPr>
          </w:p>
        </w:tc>
        <w:tc>
          <w:tcPr>
            <w:tcW w:w="178" w:type="pct"/>
            <w:vAlign w:val="bottom"/>
          </w:tcPr>
          <w:p w14:paraId="1F52983E" w14:textId="77777777" w:rsidR="000005F4" w:rsidRPr="008B4F97" w:rsidRDefault="000005F4" w:rsidP="000005F4">
            <w:pPr>
              <w:pStyle w:val="TableTextNoSpace"/>
              <w:jc w:val="center"/>
              <w:rPr>
                <w:rFonts w:cs="Arial"/>
                <w:sz w:val="18"/>
                <w:szCs w:val="18"/>
              </w:rPr>
            </w:pPr>
          </w:p>
        </w:tc>
        <w:tc>
          <w:tcPr>
            <w:tcW w:w="178" w:type="pct"/>
            <w:vAlign w:val="bottom"/>
          </w:tcPr>
          <w:p w14:paraId="3EA7491B" w14:textId="77777777" w:rsidR="000005F4" w:rsidRPr="008B4F97" w:rsidRDefault="000005F4" w:rsidP="000005F4">
            <w:pPr>
              <w:pStyle w:val="TableTextNoSpace"/>
              <w:jc w:val="center"/>
              <w:rPr>
                <w:rFonts w:cs="Arial"/>
                <w:sz w:val="18"/>
                <w:szCs w:val="18"/>
              </w:rPr>
            </w:pPr>
          </w:p>
        </w:tc>
        <w:tc>
          <w:tcPr>
            <w:tcW w:w="178" w:type="pct"/>
            <w:vAlign w:val="bottom"/>
          </w:tcPr>
          <w:p w14:paraId="32AC6EB2" w14:textId="77777777" w:rsidR="000005F4" w:rsidRPr="008B4F97" w:rsidRDefault="000005F4" w:rsidP="000005F4">
            <w:pPr>
              <w:pStyle w:val="TableTextNoSpace"/>
              <w:jc w:val="center"/>
              <w:rPr>
                <w:rFonts w:cs="Arial"/>
                <w:sz w:val="18"/>
                <w:szCs w:val="18"/>
              </w:rPr>
            </w:pPr>
          </w:p>
        </w:tc>
        <w:tc>
          <w:tcPr>
            <w:tcW w:w="178" w:type="pct"/>
            <w:vAlign w:val="bottom"/>
          </w:tcPr>
          <w:p w14:paraId="1C1F6CFF"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7CA52D4D" w14:textId="77777777" w:rsidR="000005F4" w:rsidRPr="008B4F97" w:rsidRDefault="000005F4" w:rsidP="000005F4">
            <w:pPr>
              <w:pStyle w:val="TableTextNoSpace"/>
              <w:jc w:val="center"/>
              <w:rPr>
                <w:rFonts w:cs="Arial"/>
                <w:sz w:val="18"/>
                <w:szCs w:val="18"/>
              </w:rPr>
            </w:pPr>
          </w:p>
        </w:tc>
      </w:tr>
      <w:tr w:rsidR="000005F4" w14:paraId="51D93BD0" w14:textId="77777777" w:rsidTr="000005F4">
        <w:tc>
          <w:tcPr>
            <w:tcW w:w="553" w:type="pct"/>
            <w:shd w:val="clear" w:color="auto" w:fill="auto"/>
            <w:vAlign w:val="bottom"/>
          </w:tcPr>
          <w:p w14:paraId="7BAD984B" w14:textId="77777777" w:rsidR="000005F4" w:rsidRPr="008B4F97" w:rsidRDefault="000005F4" w:rsidP="000005F4">
            <w:pPr>
              <w:pStyle w:val="TableTextNoSpace"/>
              <w:rPr>
                <w:rFonts w:cs="Arial"/>
                <w:sz w:val="18"/>
                <w:szCs w:val="18"/>
              </w:rPr>
            </w:pPr>
            <w:r w:rsidRPr="008B4F97">
              <w:rPr>
                <w:rFonts w:cs="Arial"/>
                <w:color w:val="000000"/>
                <w:sz w:val="18"/>
                <w:szCs w:val="18"/>
              </w:rPr>
              <w:t>Art. 5.8 (a)</w:t>
            </w:r>
          </w:p>
        </w:tc>
        <w:tc>
          <w:tcPr>
            <w:tcW w:w="178" w:type="pct"/>
            <w:shd w:val="clear" w:color="auto" w:fill="auto"/>
            <w:vAlign w:val="bottom"/>
          </w:tcPr>
          <w:p w14:paraId="4DB8755F"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387BAEBB"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7BEB0104"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0192E26E"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7B053FB1"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1369702D"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4F012B90"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7AF11C82"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0EDFA855"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35497728"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5E6D0ECC"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18DD9D13"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08DFAA23"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078EB817"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093906C0"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6BC4B6A9"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74A05319"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45A0E0E4" w14:textId="77777777" w:rsidR="000005F4" w:rsidRPr="008B4F97" w:rsidRDefault="000005F4" w:rsidP="000005F4">
            <w:pPr>
              <w:pStyle w:val="TableTextNoSpace"/>
              <w:jc w:val="center"/>
              <w:rPr>
                <w:rFonts w:cs="Arial"/>
                <w:sz w:val="18"/>
                <w:szCs w:val="18"/>
              </w:rPr>
            </w:pPr>
          </w:p>
        </w:tc>
        <w:tc>
          <w:tcPr>
            <w:tcW w:w="178" w:type="pct"/>
            <w:vAlign w:val="bottom"/>
          </w:tcPr>
          <w:p w14:paraId="47E05994" w14:textId="77777777" w:rsidR="000005F4" w:rsidRPr="008B4F97" w:rsidRDefault="000005F4" w:rsidP="000005F4">
            <w:pPr>
              <w:pStyle w:val="TableTextNoSpace"/>
              <w:jc w:val="center"/>
              <w:rPr>
                <w:rFonts w:cs="Arial"/>
                <w:sz w:val="18"/>
                <w:szCs w:val="18"/>
              </w:rPr>
            </w:pPr>
          </w:p>
        </w:tc>
        <w:tc>
          <w:tcPr>
            <w:tcW w:w="178" w:type="pct"/>
            <w:vAlign w:val="bottom"/>
          </w:tcPr>
          <w:p w14:paraId="04D958F0" w14:textId="77777777" w:rsidR="000005F4" w:rsidRPr="008B4F97" w:rsidRDefault="000005F4" w:rsidP="000005F4">
            <w:pPr>
              <w:pStyle w:val="TableTextNoSpace"/>
              <w:jc w:val="center"/>
              <w:rPr>
                <w:rFonts w:cs="Arial"/>
                <w:sz w:val="18"/>
                <w:szCs w:val="18"/>
              </w:rPr>
            </w:pPr>
          </w:p>
        </w:tc>
        <w:tc>
          <w:tcPr>
            <w:tcW w:w="178" w:type="pct"/>
            <w:vAlign w:val="bottom"/>
          </w:tcPr>
          <w:p w14:paraId="21359E52"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vAlign w:val="bottom"/>
          </w:tcPr>
          <w:p w14:paraId="21076CEF"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vAlign w:val="bottom"/>
          </w:tcPr>
          <w:p w14:paraId="34EAC8B1" w14:textId="77777777" w:rsidR="000005F4" w:rsidRPr="008B4F97" w:rsidRDefault="000005F4" w:rsidP="000005F4">
            <w:pPr>
              <w:pStyle w:val="TableTextNoSpace"/>
              <w:jc w:val="center"/>
              <w:rPr>
                <w:rFonts w:cs="Arial"/>
                <w:sz w:val="18"/>
                <w:szCs w:val="18"/>
              </w:rPr>
            </w:pPr>
          </w:p>
        </w:tc>
        <w:tc>
          <w:tcPr>
            <w:tcW w:w="178" w:type="pct"/>
            <w:vAlign w:val="bottom"/>
          </w:tcPr>
          <w:p w14:paraId="2E220D29"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6B5FB615"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r>
      <w:tr w:rsidR="000005F4" w14:paraId="61C497E8" w14:textId="77777777" w:rsidTr="000005F4">
        <w:tc>
          <w:tcPr>
            <w:tcW w:w="553" w:type="pct"/>
            <w:shd w:val="clear" w:color="auto" w:fill="auto"/>
            <w:vAlign w:val="bottom"/>
          </w:tcPr>
          <w:p w14:paraId="15D881E4" w14:textId="77777777" w:rsidR="000005F4" w:rsidRPr="008B4F97" w:rsidRDefault="000005F4" w:rsidP="000005F4">
            <w:pPr>
              <w:pStyle w:val="TableTextNoSpace"/>
              <w:rPr>
                <w:rFonts w:cs="Arial"/>
                <w:sz w:val="18"/>
                <w:szCs w:val="18"/>
              </w:rPr>
            </w:pPr>
            <w:r w:rsidRPr="008B4F97">
              <w:rPr>
                <w:rFonts w:cs="Arial"/>
                <w:color w:val="000000"/>
                <w:sz w:val="18"/>
                <w:szCs w:val="18"/>
              </w:rPr>
              <w:t>Art. 5.9 (a)</w:t>
            </w:r>
          </w:p>
        </w:tc>
        <w:tc>
          <w:tcPr>
            <w:tcW w:w="178" w:type="pct"/>
            <w:shd w:val="clear" w:color="auto" w:fill="auto"/>
            <w:vAlign w:val="bottom"/>
          </w:tcPr>
          <w:p w14:paraId="2DFBCDD0"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30137111"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74E55E1B"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1E583636"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39246798"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44A711FA"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586982E7"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62CFC503"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57C5EFE9"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5F91A618"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719DC87F"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4D21B1E9"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20B32890"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1427EBE4"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5A91398E"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1059F17A"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65919695"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1D4AB3FD" w14:textId="77777777" w:rsidR="000005F4" w:rsidRPr="008B4F97" w:rsidRDefault="000005F4" w:rsidP="000005F4">
            <w:pPr>
              <w:pStyle w:val="TableTextNoSpace"/>
              <w:jc w:val="center"/>
              <w:rPr>
                <w:rFonts w:cs="Arial"/>
                <w:sz w:val="18"/>
                <w:szCs w:val="18"/>
              </w:rPr>
            </w:pPr>
          </w:p>
        </w:tc>
        <w:tc>
          <w:tcPr>
            <w:tcW w:w="178" w:type="pct"/>
            <w:vAlign w:val="bottom"/>
          </w:tcPr>
          <w:p w14:paraId="55E7ACED" w14:textId="77777777" w:rsidR="000005F4" w:rsidRPr="008B4F97" w:rsidRDefault="000005F4" w:rsidP="000005F4">
            <w:pPr>
              <w:pStyle w:val="TableTextNoSpace"/>
              <w:jc w:val="center"/>
              <w:rPr>
                <w:rFonts w:cs="Arial"/>
                <w:sz w:val="18"/>
                <w:szCs w:val="18"/>
              </w:rPr>
            </w:pPr>
          </w:p>
        </w:tc>
        <w:tc>
          <w:tcPr>
            <w:tcW w:w="178" w:type="pct"/>
            <w:vAlign w:val="bottom"/>
          </w:tcPr>
          <w:p w14:paraId="33E1ECE5" w14:textId="77777777" w:rsidR="000005F4" w:rsidRPr="008B4F97" w:rsidRDefault="000005F4" w:rsidP="000005F4">
            <w:pPr>
              <w:pStyle w:val="TableTextNoSpace"/>
              <w:jc w:val="center"/>
              <w:rPr>
                <w:rFonts w:cs="Arial"/>
                <w:sz w:val="18"/>
                <w:szCs w:val="18"/>
              </w:rPr>
            </w:pPr>
          </w:p>
        </w:tc>
        <w:tc>
          <w:tcPr>
            <w:tcW w:w="178" w:type="pct"/>
            <w:vAlign w:val="bottom"/>
          </w:tcPr>
          <w:p w14:paraId="7D49DD23"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vAlign w:val="bottom"/>
          </w:tcPr>
          <w:p w14:paraId="15B580A7"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vAlign w:val="bottom"/>
          </w:tcPr>
          <w:p w14:paraId="6F1540BC" w14:textId="77777777" w:rsidR="000005F4" w:rsidRPr="008B4F97" w:rsidRDefault="000005F4" w:rsidP="000005F4">
            <w:pPr>
              <w:pStyle w:val="TableTextNoSpace"/>
              <w:jc w:val="center"/>
              <w:rPr>
                <w:rFonts w:cs="Arial"/>
                <w:sz w:val="18"/>
                <w:szCs w:val="18"/>
              </w:rPr>
            </w:pPr>
          </w:p>
        </w:tc>
        <w:tc>
          <w:tcPr>
            <w:tcW w:w="178" w:type="pct"/>
            <w:vAlign w:val="bottom"/>
          </w:tcPr>
          <w:p w14:paraId="1D6163BC"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3C3BEB74"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r>
      <w:tr w:rsidR="000005F4" w14:paraId="4D0F5B1A" w14:textId="77777777" w:rsidTr="000005F4">
        <w:tc>
          <w:tcPr>
            <w:tcW w:w="553" w:type="pct"/>
            <w:shd w:val="clear" w:color="auto" w:fill="auto"/>
            <w:vAlign w:val="bottom"/>
          </w:tcPr>
          <w:p w14:paraId="4E048628" w14:textId="77777777" w:rsidR="000005F4" w:rsidRPr="008B4F97" w:rsidRDefault="000005F4" w:rsidP="000005F4">
            <w:pPr>
              <w:pStyle w:val="TableTextNoSpace"/>
              <w:rPr>
                <w:rFonts w:cs="Arial"/>
                <w:sz w:val="18"/>
                <w:szCs w:val="18"/>
              </w:rPr>
            </w:pPr>
            <w:r w:rsidRPr="008B4F97">
              <w:rPr>
                <w:rFonts w:cs="Arial"/>
                <w:color w:val="000000"/>
                <w:sz w:val="18"/>
                <w:szCs w:val="18"/>
              </w:rPr>
              <w:t>Art. 5.9 (b)</w:t>
            </w:r>
          </w:p>
        </w:tc>
        <w:tc>
          <w:tcPr>
            <w:tcW w:w="178" w:type="pct"/>
            <w:shd w:val="clear" w:color="auto" w:fill="auto"/>
            <w:vAlign w:val="bottom"/>
          </w:tcPr>
          <w:p w14:paraId="1E9B956F"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51C08230"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614F547C"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3B690C36"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4806546D"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35E1A726"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2CD63692"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30F849BE"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4031DB89"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53BFE49F"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03B2770A"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708D74D9"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7DC8AE33"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16CFE705"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40DE7479"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31270EA4"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42696466"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603D6715" w14:textId="77777777" w:rsidR="000005F4" w:rsidRPr="008B4F97" w:rsidRDefault="000005F4" w:rsidP="000005F4">
            <w:pPr>
              <w:pStyle w:val="TableTextNoSpace"/>
              <w:jc w:val="center"/>
              <w:rPr>
                <w:rFonts w:cs="Arial"/>
                <w:sz w:val="18"/>
                <w:szCs w:val="18"/>
              </w:rPr>
            </w:pPr>
          </w:p>
        </w:tc>
        <w:tc>
          <w:tcPr>
            <w:tcW w:w="178" w:type="pct"/>
            <w:vAlign w:val="bottom"/>
          </w:tcPr>
          <w:p w14:paraId="2EA87C27" w14:textId="77777777" w:rsidR="000005F4" w:rsidRPr="008B4F97" w:rsidRDefault="000005F4" w:rsidP="000005F4">
            <w:pPr>
              <w:pStyle w:val="TableTextNoSpace"/>
              <w:jc w:val="center"/>
              <w:rPr>
                <w:rFonts w:cs="Arial"/>
                <w:sz w:val="18"/>
                <w:szCs w:val="18"/>
              </w:rPr>
            </w:pPr>
          </w:p>
        </w:tc>
        <w:tc>
          <w:tcPr>
            <w:tcW w:w="178" w:type="pct"/>
            <w:vAlign w:val="bottom"/>
          </w:tcPr>
          <w:p w14:paraId="10AFB0BF"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vAlign w:val="bottom"/>
          </w:tcPr>
          <w:p w14:paraId="3F1C5B4A"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vAlign w:val="bottom"/>
          </w:tcPr>
          <w:p w14:paraId="3DE6FFCC"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vAlign w:val="bottom"/>
          </w:tcPr>
          <w:p w14:paraId="61F00DBF"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vAlign w:val="bottom"/>
          </w:tcPr>
          <w:p w14:paraId="514C5405"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7840126A"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r>
      <w:tr w:rsidR="000005F4" w14:paraId="23D3FDDF" w14:textId="77777777" w:rsidTr="000005F4">
        <w:tc>
          <w:tcPr>
            <w:tcW w:w="553" w:type="pct"/>
            <w:shd w:val="clear" w:color="auto" w:fill="auto"/>
            <w:vAlign w:val="bottom"/>
          </w:tcPr>
          <w:p w14:paraId="6126D22E" w14:textId="77777777" w:rsidR="000005F4" w:rsidRPr="008B4F97" w:rsidRDefault="000005F4" w:rsidP="000005F4">
            <w:pPr>
              <w:pStyle w:val="TableTextNoSpace"/>
              <w:rPr>
                <w:rFonts w:cs="Arial"/>
                <w:sz w:val="18"/>
                <w:szCs w:val="18"/>
              </w:rPr>
            </w:pPr>
            <w:r w:rsidRPr="008B4F97">
              <w:rPr>
                <w:rFonts w:cs="Arial"/>
                <w:color w:val="000000"/>
                <w:sz w:val="18"/>
                <w:szCs w:val="18"/>
              </w:rPr>
              <w:t>Art. 5.9 (c)</w:t>
            </w:r>
          </w:p>
        </w:tc>
        <w:tc>
          <w:tcPr>
            <w:tcW w:w="178" w:type="pct"/>
            <w:shd w:val="clear" w:color="auto" w:fill="auto"/>
            <w:vAlign w:val="bottom"/>
          </w:tcPr>
          <w:p w14:paraId="295A1178"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7F5CEB80"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2AC39592"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2C4DD67C"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412A21B9"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085C8569"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6076C065"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46BFC5D2"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4614EF0B"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2C234619"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60450366"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52A0437C"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6949C74F"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4E7004AE"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3A705F07"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03FA64E4"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37FD2E09"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06DBD362" w14:textId="77777777" w:rsidR="000005F4" w:rsidRPr="008B4F97" w:rsidRDefault="000005F4" w:rsidP="000005F4">
            <w:pPr>
              <w:pStyle w:val="TableTextNoSpace"/>
              <w:jc w:val="center"/>
              <w:rPr>
                <w:rFonts w:cs="Arial"/>
                <w:sz w:val="18"/>
                <w:szCs w:val="18"/>
              </w:rPr>
            </w:pPr>
          </w:p>
        </w:tc>
        <w:tc>
          <w:tcPr>
            <w:tcW w:w="178" w:type="pct"/>
            <w:vAlign w:val="bottom"/>
          </w:tcPr>
          <w:p w14:paraId="3A490E59" w14:textId="77777777" w:rsidR="000005F4" w:rsidRPr="008B4F97" w:rsidRDefault="000005F4" w:rsidP="000005F4">
            <w:pPr>
              <w:pStyle w:val="TableTextNoSpace"/>
              <w:jc w:val="center"/>
              <w:rPr>
                <w:rFonts w:cs="Arial"/>
                <w:sz w:val="18"/>
                <w:szCs w:val="18"/>
              </w:rPr>
            </w:pPr>
          </w:p>
        </w:tc>
        <w:tc>
          <w:tcPr>
            <w:tcW w:w="178" w:type="pct"/>
            <w:vAlign w:val="bottom"/>
          </w:tcPr>
          <w:p w14:paraId="1FB84B91"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vAlign w:val="bottom"/>
          </w:tcPr>
          <w:p w14:paraId="7C37CE57"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vAlign w:val="bottom"/>
          </w:tcPr>
          <w:p w14:paraId="03F3E98D"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vAlign w:val="bottom"/>
          </w:tcPr>
          <w:p w14:paraId="3F538922" w14:textId="77777777" w:rsidR="000005F4" w:rsidRPr="008B4F97" w:rsidRDefault="000005F4" w:rsidP="000005F4">
            <w:pPr>
              <w:pStyle w:val="TableTextNoSpace"/>
              <w:jc w:val="center"/>
              <w:rPr>
                <w:rFonts w:cs="Arial"/>
                <w:sz w:val="18"/>
                <w:szCs w:val="18"/>
              </w:rPr>
            </w:pPr>
          </w:p>
        </w:tc>
        <w:tc>
          <w:tcPr>
            <w:tcW w:w="178" w:type="pct"/>
            <w:vAlign w:val="bottom"/>
          </w:tcPr>
          <w:p w14:paraId="02C0BF10"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376E76E5" w14:textId="77777777" w:rsidR="000005F4" w:rsidRPr="008B4F97" w:rsidRDefault="000005F4" w:rsidP="000005F4">
            <w:pPr>
              <w:pStyle w:val="TableTextNoSpace"/>
              <w:jc w:val="center"/>
              <w:rPr>
                <w:rFonts w:cs="Arial"/>
                <w:sz w:val="18"/>
                <w:szCs w:val="18"/>
              </w:rPr>
            </w:pPr>
          </w:p>
        </w:tc>
      </w:tr>
      <w:tr w:rsidR="000005F4" w14:paraId="66A90DE3" w14:textId="77777777" w:rsidTr="000005F4">
        <w:tc>
          <w:tcPr>
            <w:tcW w:w="553" w:type="pct"/>
            <w:shd w:val="clear" w:color="auto" w:fill="auto"/>
            <w:vAlign w:val="bottom"/>
          </w:tcPr>
          <w:p w14:paraId="16BF13DA" w14:textId="77777777" w:rsidR="000005F4" w:rsidRPr="008B4F97" w:rsidRDefault="000005F4" w:rsidP="000005F4">
            <w:pPr>
              <w:pStyle w:val="TableTextNoSpace"/>
              <w:rPr>
                <w:rFonts w:cs="Arial"/>
                <w:sz w:val="18"/>
                <w:szCs w:val="18"/>
              </w:rPr>
            </w:pPr>
            <w:r w:rsidRPr="008B4F97">
              <w:rPr>
                <w:rFonts w:cs="Arial"/>
                <w:color w:val="000000"/>
                <w:sz w:val="18"/>
                <w:szCs w:val="18"/>
              </w:rPr>
              <w:t>Art. 5.10</w:t>
            </w:r>
          </w:p>
        </w:tc>
        <w:tc>
          <w:tcPr>
            <w:tcW w:w="178" w:type="pct"/>
            <w:shd w:val="clear" w:color="auto" w:fill="auto"/>
            <w:vAlign w:val="bottom"/>
          </w:tcPr>
          <w:p w14:paraId="3B6962BE"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54FDF6FA"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2DF8BA80"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3A1786A2"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3394CF4B"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6EE12CEF"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4F85D1F9"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5BD50EC1"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17A3DF07"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04AFCC04"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673258F8"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118BFFAF"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42DC8B08"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21CE7D10"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09A08969"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6EC43644"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7862C696"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00695A50" w14:textId="77777777" w:rsidR="000005F4" w:rsidRPr="008B4F97" w:rsidRDefault="000005F4" w:rsidP="000005F4">
            <w:pPr>
              <w:pStyle w:val="TableTextNoSpace"/>
              <w:jc w:val="center"/>
              <w:rPr>
                <w:rFonts w:cs="Arial"/>
                <w:sz w:val="18"/>
                <w:szCs w:val="18"/>
              </w:rPr>
            </w:pPr>
          </w:p>
        </w:tc>
        <w:tc>
          <w:tcPr>
            <w:tcW w:w="178" w:type="pct"/>
            <w:vAlign w:val="bottom"/>
          </w:tcPr>
          <w:p w14:paraId="64BA5F3D"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vAlign w:val="bottom"/>
          </w:tcPr>
          <w:p w14:paraId="5CE49F7F" w14:textId="77777777" w:rsidR="000005F4" w:rsidRPr="008B4F97" w:rsidRDefault="000005F4" w:rsidP="000005F4">
            <w:pPr>
              <w:pStyle w:val="TableTextNoSpace"/>
              <w:jc w:val="center"/>
              <w:rPr>
                <w:rFonts w:cs="Arial"/>
                <w:sz w:val="18"/>
                <w:szCs w:val="18"/>
              </w:rPr>
            </w:pPr>
          </w:p>
        </w:tc>
        <w:tc>
          <w:tcPr>
            <w:tcW w:w="178" w:type="pct"/>
            <w:vAlign w:val="bottom"/>
          </w:tcPr>
          <w:p w14:paraId="49C7A86C"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vAlign w:val="bottom"/>
          </w:tcPr>
          <w:p w14:paraId="0B95168C"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vAlign w:val="bottom"/>
          </w:tcPr>
          <w:p w14:paraId="718EAE21" w14:textId="77777777" w:rsidR="000005F4" w:rsidRPr="008B4F97" w:rsidRDefault="000005F4" w:rsidP="000005F4">
            <w:pPr>
              <w:pStyle w:val="TableTextNoSpace"/>
              <w:jc w:val="center"/>
              <w:rPr>
                <w:rFonts w:cs="Arial"/>
                <w:sz w:val="18"/>
                <w:szCs w:val="18"/>
              </w:rPr>
            </w:pPr>
          </w:p>
        </w:tc>
        <w:tc>
          <w:tcPr>
            <w:tcW w:w="178" w:type="pct"/>
            <w:vAlign w:val="bottom"/>
          </w:tcPr>
          <w:p w14:paraId="09BB2DD0"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6CD947EC"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r>
      <w:tr w:rsidR="000005F4" w14:paraId="669D3C36" w14:textId="77777777" w:rsidTr="000005F4">
        <w:tc>
          <w:tcPr>
            <w:tcW w:w="553" w:type="pct"/>
            <w:shd w:val="clear" w:color="auto" w:fill="auto"/>
            <w:vAlign w:val="bottom"/>
          </w:tcPr>
          <w:p w14:paraId="7E869FB1" w14:textId="77777777" w:rsidR="000005F4" w:rsidRPr="008B4F97" w:rsidRDefault="000005F4" w:rsidP="000005F4">
            <w:pPr>
              <w:pStyle w:val="TableTextNoSpace"/>
              <w:rPr>
                <w:rFonts w:cs="Arial"/>
                <w:sz w:val="18"/>
                <w:szCs w:val="18"/>
              </w:rPr>
            </w:pPr>
            <w:r w:rsidRPr="008B4F97">
              <w:rPr>
                <w:rFonts w:cs="Arial"/>
                <w:color w:val="000000"/>
                <w:sz w:val="18"/>
                <w:szCs w:val="18"/>
              </w:rPr>
              <w:t>Art. 5.11</w:t>
            </w:r>
          </w:p>
        </w:tc>
        <w:tc>
          <w:tcPr>
            <w:tcW w:w="178" w:type="pct"/>
            <w:shd w:val="clear" w:color="auto" w:fill="auto"/>
            <w:vAlign w:val="bottom"/>
          </w:tcPr>
          <w:p w14:paraId="0DA94E87"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33364305"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43B5F693"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36C1447D"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2F6D3625"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0BC2EEE7"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5053D601"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3B45C625"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7ECF54DA"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72F7201C"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0D97C830"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12E79037"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589438FD"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495B25CA"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48C59518"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5EF583F9"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0BD4C186"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7C10F1E4" w14:textId="77777777" w:rsidR="000005F4" w:rsidRPr="008B4F97" w:rsidRDefault="000005F4" w:rsidP="000005F4">
            <w:pPr>
              <w:pStyle w:val="TableTextNoSpace"/>
              <w:jc w:val="center"/>
              <w:rPr>
                <w:rFonts w:cs="Arial"/>
                <w:sz w:val="18"/>
                <w:szCs w:val="18"/>
              </w:rPr>
            </w:pPr>
          </w:p>
        </w:tc>
        <w:tc>
          <w:tcPr>
            <w:tcW w:w="178" w:type="pct"/>
            <w:vAlign w:val="bottom"/>
          </w:tcPr>
          <w:p w14:paraId="311CAB38" w14:textId="77777777" w:rsidR="000005F4" w:rsidRPr="008B4F97" w:rsidRDefault="000005F4" w:rsidP="000005F4">
            <w:pPr>
              <w:pStyle w:val="TableTextNoSpace"/>
              <w:jc w:val="center"/>
              <w:rPr>
                <w:rFonts w:cs="Arial"/>
                <w:sz w:val="18"/>
                <w:szCs w:val="18"/>
              </w:rPr>
            </w:pPr>
          </w:p>
        </w:tc>
        <w:tc>
          <w:tcPr>
            <w:tcW w:w="178" w:type="pct"/>
            <w:vAlign w:val="bottom"/>
          </w:tcPr>
          <w:p w14:paraId="33E152B2"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vAlign w:val="bottom"/>
          </w:tcPr>
          <w:p w14:paraId="662E37DA"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vAlign w:val="bottom"/>
          </w:tcPr>
          <w:p w14:paraId="16218116" w14:textId="77777777" w:rsidR="000005F4" w:rsidRPr="008B4F97" w:rsidRDefault="000005F4" w:rsidP="000005F4">
            <w:pPr>
              <w:pStyle w:val="TableTextNoSpace"/>
              <w:jc w:val="center"/>
              <w:rPr>
                <w:rFonts w:cs="Arial"/>
                <w:sz w:val="18"/>
                <w:szCs w:val="18"/>
              </w:rPr>
            </w:pPr>
          </w:p>
        </w:tc>
        <w:tc>
          <w:tcPr>
            <w:tcW w:w="178" w:type="pct"/>
            <w:vAlign w:val="bottom"/>
          </w:tcPr>
          <w:p w14:paraId="1E61E922" w14:textId="77777777" w:rsidR="000005F4" w:rsidRPr="008B4F97" w:rsidRDefault="000005F4" w:rsidP="000005F4">
            <w:pPr>
              <w:pStyle w:val="TableTextNoSpace"/>
              <w:jc w:val="center"/>
              <w:rPr>
                <w:rFonts w:cs="Arial"/>
                <w:sz w:val="18"/>
                <w:szCs w:val="18"/>
              </w:rPr>
            </w:pPr>
          </w:p>
        </w:tc>
        <w:tc>
          <w:tcPr>
            <w:tcW w:w="178" w:type="pct"/>
            <w:vAlign w:val="bottom"/>
          </w:tcPr>
          <w:p w14:paraId="2D398369"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1273269E" w14:textId="77777777" w:rsidR="000005F4" w:rsidRPr="008B4F97" w:rsidRDefault="000005F4" w:rsidP="000005F4">
            <w:pPr>
              <w:pStyle w:val="TableTextNoSpace"/>
              <w:jc w:val="center"/>
              <w:rPr>
                <w:rFonts w:cs="Arial"/>
                <w:sz w:val="18"/>
                <w:szCs w:val="18"/>
              </w:rPr>
            </w:pPr>
          </w:p>
        </w:tc>
      </w:tr>
      <w:tr w:rsidR="000005F4" w14:paraId="12435F3B" w14:textId="77777777" w:rsidTr="000005F4">
        <w:tc>
          <w:tcPr>
            <w:tcW w:w="553" w:type="pct"/>
            <w:shd w:val="clear" w:color="auto" w:fill="auto"/>
            <w:vAlign w:val="bottom"/>
          </w:tcPr>
          <w:p w14:paraId="391BC207" w14:textId="77777777" w:rsidR="000005F4" w:rsidRPr="008B4F97" w:rsidRDefault="000005F4" w:rsidP="000005F4">
            <w:pPr>
              <w:pStyle w:val="TableTextNoSpace"/>
              <w:rPr>
                <w:rFonts w:cs="Arial"/>
                <w:sz w:val="18"/>
                <w:szCs w:val="18"/>
              </w:rPr>
            </w:pPr>
            <w:r w:rsidRPr="008B4F97">
              <w:rPr>
                <w:rFonts w:cs="Arial"/>
                <w:color w:val="000000"/>
                <w:sz w:val="18"/>
                <w:szCs w:val="18"/>
              </w:rPr>
              <w:t>Art. 6 a</w:t>
            </w:r>
          </w:p>
        </w:tc>
        <w:tc>
          <w:tcPr>
            <w:tcW w:w="178" w:type="pct"/>
            <w:shd w:val="clear" w:color="auto" w:fill="auto"/>
            <w:vAlign w:val="bottom"/>
          </w:tcPr>
          <w:p w14:paraId="78EF5B49"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118DEA12"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0C597368"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5EAD1F77"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329D0B65"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4DCB0280"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002BB60E"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27F3EA7D"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5377881D"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2BADAC6F"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40BCE761"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2A0551E6"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2923C058"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5B96B700"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3FF75C55"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0F9E00D9"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3B9341C0"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1B4E3014" w14:textId="77777777" w:rsidR="000005F4" w:rsidRPr="008B4F97" w:rsidRDefault="000005F4" w:rsidP="000005F4">
            <w:pPr>
              <w:pStyle w:val="TableTextNoSpace"/>
              <w:jc w:val="center"/>
              <w:rPr>
                <w:rFonts w:cs="Arial"/>
                <w:sz w:val="18"/>
                <w:szCs w:val="18"/>
              </w:rPr>
            </w:pPr>
          </w:p>
        </w:tc>
        <w:tc>
          <w:tcPr>
            <w:tcW w:w="178" w:type="pct"/>
            <w:vAlign w:val="bottom"/>
          </w:tcPr>
          <w:p w14:paraId="21973420" w14:textId="77777777" w:rsidR="000005F4" w:rsidRPr="008B4F97" w:rsidRDefault="000005F4" w:rsidP="000005F4">
            <w:pPr>
              <w:pStyle w:val="TableTextNoSpace"/>
              <w:jc w:val="center"/>
              <w:rPr>
                <w:rFonts w:cs="Arial"/>
                <w:sz w:val="18"/>
                <w:szCs w:val="18"/>
              </w:rPr>
            </w:pPr>
          </w:p>
        </w:tc>
        <w:tc>
          <w:tcPr>
            <w:tcW w:w="178" w:type="pct"/>
            <w:vAlign w:val="bottom"/>
          </w:tcPr>
          <w:p w14:paraId="40B786B1" w14:textId="77777777" w:rsidR="000005F4" w:rsidRPr="008B4F97" w:rsidRDefault="000005F4" w:rsidP="000005F4">
            <w:pPr>
              <w:pStyle w:val="TableTextNoSpace"/>
              <w:jc w:val="center"/>
              <w:rPr>
                <w:rFonts w:cs="Arial"/>
                <w:sz w:val="18"/>
                <w:szCs w:val="18"/>
              </w:rPr>
            </w:pPr>
          </w:p>
        </w:tc>
        <w:tc>
          <w:tcPr>
            <w:tcW w:w="178" w:type="pct"/>
            <w:vAlign w:val="bottom"/>
          </w:tcPr>
          <w:p w14:paraId="5BB710B0"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vAlign w:val="bottom"/>
          </w:tcPr>
          <w:p w14:paraId="1908085B" w14:textId="77777777" w:rsidR="000005F4" w:rsidRPr="008B4F97" w:rsidRDefault="000005F4" w:rsidP="000005F4">
            <w:pPr>
              <w:pStyle w:val="TableTextNoSpace"/>
              <w:jc w:val="center"/>
              <w:rPr>
                <w:rFonts w:cs="Arial"/>
                <w:sz w:val="18"/>
                <w:szCs w:val="18"/>
              </w:rPr>
            </w:pPr>
          </w:p>
        </w:tc>
        <w:tc>
          <w:tcPr>
            <w:tcW w:w="178" w:type="pct"/>
            <w:vAlign w:val="bottom"/>
          </w:tcPr>
          <w:p w14:paraId="64354B6C" w14:textId="77777777" w:rsidR="000005F4" w:rsidRPr="008B4F97" w:rsidRDefault="000005F4" w:rsidP="000005F4">
            <w:pPr>
              <w:pStyle w:val="TableTextNoSpace"/>
              <w:jc w:val="center"/>
              <w:rPr>
                <w:rFonts w:cs="Arial"/>
                <w:sz w:val="18"/>
                <w:szCs w:val="18"/>
              </w:rPr>
            </w:pPr>
          </w:p>
        </w:tc>
        <w:tc>
          <w:tcPr>
            <w:tcW w:w="178" w:type="pct"/>
            <w:vAlign w:val="bottom"/>
          </w:tcPr>
          <w:p w14:paraId="6B9B4932"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3F53F0A2" w14:textId="77777777" w:rsidR="000005F4" w:rsidRPr="008B4F97" w:rsidRDefault="000005F4" w:rsidP="000005F4">
            <w:pPr>
              <w:pStyle w:val="TableTextNoSpace"/>
              <w:jc w:val="center"/>
              <w:rPr>
                <w:rFonts w:cs="Arial"/>
                <w:sz w:val="18"/>
                <w:szCs w:val="18"/>
              </w:rPr>
            </w:pPr>
          </w:p>
        </w:tc>
      </w:tr>
      <w:tr w:rsidR="000005F4" w14:paraId="1BBE47FD" w14:textId="77777777" w:rsidTr="000005F4">
        <w:tc>
          <w:tcPr>
            <w:tcW w:w="553" w:type="pct"/>
            <w:shd w:val="clear" w:color="auto" w:fill="auto"/>
            <w:vAlign w:val="bottom"/>
          </w:tcPr>
          <w:p w14:paraId="3DA90EE2" w14:textId="77777777" w:rsidR="000005F4" w:rsidRPr="008B4F97" w:rsidRDefault="000005F4" w:rsidP="000005F4">
            <w:pPr>
              <w:pStyle w:val="TableTextNoSpace"/>
              <w:rPr>
                <w:rFonts w:cs="Arial"/>
                <w:sz w:val="18"/>
                <w:szCs w:val="18"/>
              </w:rPr>
            </w:pPr>
            <w:r w:rsidRPr="008B4F97">
              <w:rPr>
                <w:rFonts w:cs="Arial"/>
                <w:color w:val="000000"/>
                <w:sz w:val="18"/>
                <w:szCs w:val="18"/>
              </w:rPr>
              <w:t>Art. 6 b</w:t>
            </w:r>
          </w:p>
        </w:tc>
        <w:tc>
          <w:tcPr>
            <w:tcW w:w="178" w:type="pct"/>
            <w:shd w:val="clear" w:color="auto" w:fill="auto"/>
            <w:vAlign w:val="bottom"/>
          </w:tcPr>
          <w:p w14:paraId="19ACD3A3"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163FDE66"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2B439BCA"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5BBC58B7"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63A4577E"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32BD7602"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29650085"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22D1C755"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64D8D9A0"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6E21AF7B"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1D55F227"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05378E60"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3F5DA1F0"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061A3C59"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3789D2BD"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3D665D2D"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1B1149E3"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014C4855" w14:textId="77777777" w:rsidR="000005F4" w:rsidRPr="008B4F97" w:rsidRDefault="000005F4" w:rsidP="000005F4">
            <w:pPr>
              <w:pStyle w:val="TableTextNoSpace"/>
              <w:jc w:val="center"/>
              <w:rPr>
                <w:rFonts w:cs="Arial"/>
                <w:sz w:val="18"/>
                <w:szCs w:val="18"/>
              </w:rPr>
            </w:pPr>
          </w:p>
        </w:tc>
        <w:tc>
          <w:tcPr>
            <w:tcW w:w="178" w:type="pct"/>
            <w:vAlign w:val="bottom"/>
          </w:tcPr>
          <w:p w14:paraId="667FA790" w14:textId="77777777" w:rsidR="000005F4" w:rsidRPr="008B4F97" w:rsidRDefault="000005F4" w:rsidP="000005F4">
            <w:pPr>
              <w:pStyle w:val="TableTextNoSpace"/>
              <w:jc w:val="center"/>
              <w:rPr>
                <w:rFonts w:cs="Arial"/>
                <w:sz w:val="18"/>
                <w:szCs w:val="18"/>
              </w:rPr>
            </w:pPr>
          </w:p>
        </w:tc>
        <w:tc>
          <w:tcPr>
            <w:tcW w:w="178" w:type="pct"/>
            <w:vAlign w:val="bottom"/>
          </w:tcPr>
          <w:p w14:paraId="4A4C327A" w14:textId="77777777" w:rsidR="000005F4" w:rsidRPr="008B4F97" w:rsidRDefault="000005F4" w:rsidP="000005F4">
            <w:pPr>
              <w:pStyle w:val="TableTextNoSpace"/>
              <w:jc w:val="center"/>
              <w:rPr>
                <w:rFonts w:cs="Arial"/>
                <w:sz w:val="18"/>
                <w:szCs w:val="18"/>
              </w:rPr>
            </w:pPr>
          </w:p>
        </w:tc>
        <w:tc>
          <w:tcPr>
            <w:tcW w:w="178" w:type="pct"/>
            <w:vAlign w:val="bottom"/>
          </w:tcPr>
          <w:p w14:paraId="68395E97" w14:textId="77777777" w:rsidR="000005F4" w:rsidRPr="008B4F97" w:rsidRDefault="000005F4" w:rsidP="000005F4">
            <w:pPr>
              <w:pStyle w:val="TableTextNoSpace"/>
              <w:jc w:val="center"/>
              <w:rPr>
                <w:rFonts w:cs="Arial"/>
                <w:sz w:val="18"/>
                <w:szCs w:val="18"/>
              </w:rPr>
            </w:pPr>
          </w:p>
        </w:tc>
        <w:tc>
          <w:tcPr>
            <w:tcW w:w="178" w:type="pct"/>
            <w:vAlign w:val="bottom"/>
          </w:tcPr>
          <w:p w14:paraId="7BEEB2C0" w14:textId="77777777" w:rsidR="000005F4" w:rsidRPr="008B4F97" w:rsidRDefault="000005F4" w:rsidP="000005F4">
            <w:pPr>
              <w:pStyle w:val="TableTextNoSpace"/>
              <w:jc w:val="center"/>
              <w:rPr>
                <w:rFonts w:cs="Arial"/>
                <w:sz w:val="18"/>
                <w:szCs w:val="18"/>
              </w:rPr>
            </w:pPr>
          </w:p>
        </w:tc>
        <w:tc>
          <w:tcPr>
            <w:tcW w:w="178" w:type="pct"/>
            <w:vAlign w:val="bottom"/>
          </w:tcPr>
          <w:p w14:paraId="0F4C5F2C" w14:textId="77777777" w:rsidR="000005F4" w:rsidRPr="008B4F97" w:rsidRDefault="000005F4" w:rsidP="000005F4">
            <w:pPr>
              <w:pStyle w:val="TableTextNoSpace"/>
              <w:jc w:val="center"/>
              <w:rPr>
                <w:rFonts w:cs="Arial"/>
                <w:sz w:val="18"/>
                <w:szCs w:val="18"/>
              </w:rPr>
            </w:pPr>
          </w:p>
        </w:tc>
        <w:tc>
          <w:tcPr>
            <w:tcW w:w="178" w:type="pct"/>
            <w:vAlign w:val="bottom"/>
          </w:tcPr>
          <w:p w14:paraId="7FEBD25A"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14F1CFD1" w14:textId="77777777" w:rsidR="000005F4" w:rsidRPr="008B4F97" w:rsidRDefault="000005F4" w:rsidP="000005F4">
            <w:pPr>
              <w:pStyle w:val="TableTextNoSpace"/>
              <w:jc w:val="center"/>
              <w:rPr>
                <w:rFonts w:cs="Arial"/>
                <w:sz w:val="18"/>
                <w:szCs w:val="18"/>
              </w:rPr>
            </w:pPr>
          </w:p>
        </w:tc>
      </w:tr>
      <w:tr w:rsidR="000005F4" w14:paraId="4380BC69" w14:textId="77777777" w:rsidTr="000005F4">
        <w:tc>
          <w:tcPr>
            <w:tcW w:w="553" w:type="pct"/>
            <w:shd w:val="clear" w:color="auto" w:fill="auto"/>
            <w:vAlign w:val="bottom"/>
          </w:tcPr>
          <w:p w14:paraId="6DDC7E30" w14:textId="77777777" w:rsidR="000005F4" w:rsidRPr="008B4F97" w:rsidRDefault="000005F4" w:rsidP="000005F4">
            <w:pPr>
              <w:pStyle w:val="TableTextNoSpace"/>
              <w:rPr>
                <w:rFonts w:cs="Arial"/>
                <w:sz w:val="18"/>
                <w:szCs w:val="18"/>
              </w:rPr>
            </w:pPr>
            <w:r w:rsidRPr="008B4F97">
              <w:rPr>
                <w:rFonts w:cs="Arial"/>
                <w:color w:val="000000"/>
                <w:sz w:val="18"/>
                <w:szCs w:val="18"/>
              </w:rPr>
              <w:t>Art. 7, 8, 9</w:t>
            </w:r>
          </w:p>
        </w:tc>
        <w:tc>
          <w:tcPr>
            <w:tcW w:w="178" w:type="pct"/>
            <w:shd w:val="clear" w:color="auto" w:fill="auto"/>
            <w:vAlign w:val="bottom"/>
          </w:tcPr>
          <w:p w14:paraId="3EE1EA01"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7BDAF7DC"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1A63A869"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7C4096C9"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54E5AAA2"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09CFEE62"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08F8DDCD"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4E61BDCA"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16BAD0B1"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17E4D5C5"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40E99446"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5BEA13A0"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3DFFC4EE"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1832B634"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6C84B743"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3A778565"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16453781"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786F1219" w14:textId="77777777" w:rsidR="000005F4" w:rsidRPr="008B4F97" w:rsidRDefault="000005F4" w:rsidP="000005F4">
            <w:pPr>
              <w:pStyle w:val="TableTextNoSpace"/>
              <w:jc w:val="center"/>
              <w:rPr>
                <w:rFonts w:cs="Arial"/>
                <w:sz w:val="18"/>
                <w:szCs w:val="18"/>
              </w:rPr>
            </w:pPr>
          </w:p>
        </w:tc>
        <w:tc>
          <w:tcPr>
            <w:tcW w:w="178" w:type="pct"/>
            <w:vAlign w:val="bottom"/>
          </w:tcPr>
          <w:p w14:paraId="581638CD" w14:textId="77777777" w:rsidR="000005F4" w:rsidRPr="008B4F97" w:rsidRDefault="000005F4" w:rsidP="000005F4">
            <w:pPr>
              <w:pStyle w:val="TableTextNoSpace"/>
              <w:jc w:val="center"/>
              <w:rPr>
                <w:rFonts w:cs="Arial"/>
                <w:sz w:val="18"/>
                <w:szCs w:val="18"/>
              </w:rPr>
            </w:pPr>
          </w:p>
        </w:tc>
        <w:tc>
          <w:tcPr>
            <w:tcW w:w="178" w:type="pct"/>
            <w:vAlign w:val="bottom"/>
          </w:tcPr>
          <w:p w14:paraId="678DE3B7"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vAlign w:val="bottom"/>
          </w:tcPr>
          <w:p w14:paraId="4965DC1D"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vAlign w:val="bottom"/>
          </w:tcPr>
          <w:p w14:paraId="63BA2F4E"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vAlign w:val="bottom"/>
          </w:tcPr>
          <w:p w14:paraId="78B5BD51" w14:textId="77777777" w:rsidR="000005F4" w:rsidRPr="008B4F97" w:rsidRDefault="000005F4" w:rsidP="000005F4">
            <w:pPr>
              <w:pStyle w:val="TableTextNoSpace"/>
              <w:jc w:val="center"/>
              <w:rPr>
                <w:rFonts w:cs="Arial"/>
                <w:sz w:val="18"/>
                <w:szCs w:val="18"/>
              </w:rPr>
            </w:pPr>
          </w:p>
        </w:tc>
        <w:tc>
          <w:tcPr>
            <w:tcW w:w="178" w:type="pct"/>
            <w:vAlign w:val="bottom"/>
          </w:tcPr>
          <w:p w14:paraId="6F2CC189"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c>
          <w:tcPr>
            <w:tcW w:w="178" w:type="pct"/>
            <w:shd w:val="clear" w:color="auto" w:fill="auto"/>
            <w:vAlign w:val="bottom"/>
          </w:tcPr>
          <w:p w14:paraId="2309A161" w14:textId="77777777" w:rsidR="000005F4" w:rsidRPr="008B4F97" w:rsidRDefault="000005F4" w:rsidP="000005F4">
            <w:pPr>
              <w:pStyle w:val="TableTextNoSpace"/>
              <w:jc w:val="center"/>
              <w:rPr>
                <w:rFonts w:cs="Arial"/>
                <w:sz w:val="18"/>
                <w:szCs w:val="18"/>
              </w:rPr>
            </w:pPr>
            <w:r w:rsidRPr="008B4F97">
              <w:rPr>
                <w:rFonts w:cs="Arial"/>
                <w:color w:val="000000"/>
                <w:sz w:val="18"/>
                <w:szCs w:val="18"/>
              </w:rPr>
              <w:t>x</w:t>
            </w:r>
          </w:p>
        </w:tc>
      </w:tr>
      <w:tr w:rsidR="000005F4" w14:paraId="03DDD387" w14:textId="77777777" w:rsidTr="000005F4">
        <w:tc>
          <w:tcPr>
            <w:tcW w:w="553" w:type="pct"/>
            <w:shd w:val="clear" w:color="auto" w:fill="auto"/>
            <w:vAlign w:val="bottom"/>
          </w:tcPr>
          <w:p w14:paraId="3CC8EE7F" w14:textId="77777777" w:rsidR="000005F4" w:rsidRPr="008B4F97" w:rsidRDefault="000005F4" w:rsidP="000005F4">
            <w:pPr>
              <w:pStyle w:val="TableTextNoSpace"/>
              <w:rPr>
                <w:rFonts w:cs="Arial"/>
                <w:sz w:val="18"/>
                <w:szCs w:val="18"/>
              </w:rPr>
            </w:pPr>
            <w:r w:rsidRPr="008B4F97">
              <w:rPr>
                <w:rFonts w:cs="Arial"/>
                <w:color w:val="000000"/>
                <w:sz w:val="18"/>
                <w:szCs w:val="18"/>
              </w:rPr>
              <w:t>Art. 10</w:t>
            </w:r>
          </w:p>
        </w:tc>
        <w:tc>
          <w:tcPr>
            <w:tcW w:w="178" w:type="pct"/>
            <w:shd w:val="clear" w:color="auto" w:fill="auto"/>
            <w:vAlign w:val="bottom"/>
          </w:tcPr>
          <w:p w14:paraId="03725CA0"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55581B79"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3022D763"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43ADB00E"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7947E0AD"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558333A6"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2561493D"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20436C26"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5598B01E"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5DA93F38"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40EB3CC2"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1B86AA28"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183A858B"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1821E424"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6739E6DB"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335A5F16"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2CFEAEAD"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417FFAF7" w14:textId="77777777" w:rsidR="000005F4" w:rsidRPr="008B4F97" w:rsidRDefault="000005F4" w:rsidP="000005F4">
            <w:pPr>
              <w:pStyle w:val="TableTextNoSpace"/>
              <w:jc w:val="center"/>
              <w:rPr>
                <w:rFonts w:cs="Arial"/>
                <w:sz w:val="18"/>
                <w:szCs w:val="18"/>
              </w:rPr>
            </w:pPr>
          </w:p>
        </w:tc>
        <w:tc>
          <w:tcPr>
            <w:tcW w:w="178" w:type="pct"/>
            <w:vAlign w:val="bottom"/>
          </w:tcPr>
          <w:p w14:paraId="65CBA095" w14:textId="77777777" w:rsidR="000005F4" w:rsidRPr="008B4F97" w:rsidRDefault="000005F4" w:rsidP="000005F4">
            <w:pPr>
              <w:pStyle w:val="TableTextNoSpace"/>
              <w:jc w:val="center"/>
              <w:rPr>
                <w:rFonts w:cs="Arial"/>
                <w:sz w:val="18"/>
                <w:szCs w:val="18"/>
              </w:rPr>
            </w:pPr>
          </w:p>
        </w:tc>
        <w:tc>
          <w:tcPr>
            <w:tcW w:w="178" w:type="pct"/>
            <w:vAlign w:val="bottom"/>
          </w:tcPr>
          <w:p w14:paraId="4FDC5F93" w14:textId="77777777" w:rsidR="000005F4" w:rsidRPr="008B4F97" w:rsidRDefault="000005F4" w:rsidP="000005F4">
            <w:pPr>
              <w:pStyle w:val="TableTextNoSpace"/>
              <w:jc w:val="center"/>
              <w:rPr>
                <w:rFonts w:cs="Arial"/>
                <w:sz w:val="18"/>
                <w:szCs w:val="18"/>
              </w:rPr>
            </w:pPr>
          </w:p>
        </w:tc>
        <w:tc>
          <w:tcPr>
            <w:tcW w:w="178" w:type="pct"/>
            <w:vAlign w:val="bottom"/>
          </w:tcPr>
          <w:p w14:paraId="544B7660" w14:textId="77777777" w:rsidR="000005F4" w:rsidRPr="008B4F97" w:rsidRDefault="000005F4" w:rsidP="000005F4">
            <w:pPr>
              <w:pStyle w:val="TableTextNoSpace"/>
              <w:jc w:val="center"/>
              <w:rPr>
                <w:rFonts w:cs="Arial"/>
                <w:sz w:val="18"/>
                <w:szCs w:val="18"/>
              </w:rPr>
            </w:pPr>
          </w:p>
        </w:tc>
        <w:tc>
          <w:tcPr>
            <w:tcW w:w="178" w:type="pct"/>
            <w:vAlign w:val="bottom"/>
          </w:tcPr>
          <w:p w14:paraId="6E0910E5" w14:textId="77777777" w:rsidR="000005F4" w:rsidRPr="008B4F97" w:rsidRDefault="000005F4" w:rsidP="000005F4">
            <w:pPr>
              <w:pStyle w:val="TableTextNoSpace"/>
              <w:jc w:val="center"/>
              <w:rPr>
                <w:rFonts w:cs="Arial"/>
                <w:sz w:val="18"/>
                <w:szCs w:val="18"/>
              </w:rPr>
            </w:pPr>
          </w:p>
        </w:tc>
        <w:tc>
          <w:tcPr>
            <w:tcW w:w="178" w:type="pct"/>
            <w:vAlign w:val="bottom"/>
          </w:tcPr>
          <w:p w14:paraId="6CDA2117" w14:textId="77777777" w:rsidR="000005F4" w:rsidRPr="008B4F97" w:rsidRDefault="000005F4" w:rsidP="000005F4">
            <w:pPr>
              <w:pStyle w:val="TableTextNoSpace"/>
              <w:jc w:val="center"/>
              <w:rPr>
                <w:rFonts w:cs="Arial"/>
                <w:sz w:val="18"/>
                <w:szCs w:val="18"/>
              </w:rPr>
            </w:pPr>
          </w:p>
        </w:tc>
        <w:tc>
          <w:tcPr>
            <w:tcW w:w="178" w:type="pct"/>
            <w:vAlign w:val="bottom"/>
          </w:tcPr>
          <w:p w14:paraId="073471F6" w14:textId="77777777" w:rsidR="000005F4" w:rsidRPr="008B4F97" w:rsidRDefault="000005F4" w:rsidP="000005F4">
            <w:pPr>
              <w:pStyle w:val="TableTextNoSpace"/>
              <w:jc w:val="center"/>
              <w:rPr>
                <w:rFonts w:cs="Arial"/>
                <w:sz w:val="18"/>
                <w:szCs w:val="18"/>
              </w:rPr>
            </w:pPr>
          </w:p>
        </w:tc>
        <w:tc>
          <w:tcPr>
            <w:tcW w:w="178" w:type="pct"/>
            <w:shd w:val="clear" w:color="auto" w:fill="auto"/>
            <w:vAlign w:val="bottom"/>
          </w:tcPr>
          <w:p w14:paraId="02048E90" w14:textId="77777777" w:rsidR="000005F4" w:rsidRPr="008B4F97" w:rsidRDefault="000005F4" w:rsidP="000005F4">
            <w:pPr>
              <w:pStyle w:val="TableTextNoSpace"/>
              <w:jc w:val="center"/>
              <w:rPr>
                <w:rFonts w:cs="Arial"/>
                <w:sz w:val="18"/>
                <w:szCs w:val="18"/>
              </w:rPr>
            </w:pPr>
          </w:p>
        </w:tc>
      </w:tr>
      <w:tr w:rsidR="000005F4" w14:paraId="03A9303B" w14:textId="77777777" w:rsidTr="000005F4">
        <w:tc>
          <w:tcPr>
            <w:tcW w:w="553" w:type="pct"/>
            <w:shd w:val="clear" w:color="auto" w:fill="auto"/>
            <w:vAlign w:val="bottom"/>
          </w:tcPr>
          <w:p w14:paraId="700891C6" w14:textId="77777777" w:rsidR="000005F4" w:rsidRPr="008B4F97" w:rsidRDefault="000005F4" w:rsidP="000005F4">
            <w:pPr>
              <w:pStyle w:val="TableTextNoSpace"/>
              <w:rPr>
                <w:rFonts w:cs="Arial"/>
                <w:color w:val="000000"/>
                <w:sz w:val="18"/>
                <w:szCs w:val="18"/>
              </w:rPr>
            </w:pPr>
            <w:r>
              <w:rPr>
                <w:rFonts w:cs="Arial"/>
                <w:color w:val="000000"/>
                <w:sz w:val="18"/>
                <w:szCs w:val="18"/>
              </w:rPr>
              <w:t>Overall</w:t>
            </w:r>
          </w:p>
        </w:tc>
        <w:tc>
          <w:tcPr>
            <w:tcW w:w="178" w:type="pct"/>
            <w:shd w:val="clear" w:color="auto" w:fill="auto"/>
            <w:vAlign w:val="bottom"/>
          </w:tcPr>
          <w:p w14:paraId="13CD3E74" w14:textId="77777777" w:rsidR="000005F4" w:rsidRPr="008B4F97" w:rsidRDefault="000005F4" w:rsidP="000005F4">
            <w:pPr>
              <w:pStyle w:val="TableTextNoSpace"/>
              <w:jc w:val="center"/>
              <w:rPr>
                <w:rFonts w:cs="Arial"/>
                <w:sz w:val="18"/>
                <w:szCs w:val="18"/>
              </w:rPr>
            </w:pPr>
            <w:r>
              <w:rPr>
                <w:rFonts w:cs="Arial"/>
                <w:sz w:val="18"/>
                <w:szCs w:val="18"/>
              </w:rPr>
              <w:t>x</w:t>
            </w:r>
          </w:p>
        </w:tc>
        <w:tc>
          <w:tcPr>
            <w:tcW w:w="178" w:type="pct"/>
            <w:shd w:val="clear" w:color="auto" w:fill="auto"/>
          </w:tcPr>
          <w:p w14:paraId="43E19120" w14:textId="77777777" w:rsidR="000005F4" w:rsidRPr="007C1E76" w:rsidRDefault="000005F4" w:rsidP="000005F4">
            <w:pPr>
              <w:pStyle w:val="TableTextNoSpace"/>
              <w:jc w:val="center"/>
              <w:rPr>
                <w:rFonts w:cs="Arial"/>
                <w:b/>
                <w:sz w:val="18"/>
                <w:szCs w:val="18"/>
              </w:rPr>
            </w:pPr>
            <w:r w:rsidRPr="007C1E76">
              <w:rPr>
                <w:rFonts w:cs="Arial"/>
                <w:b/>
                <w:sz w:val="18"/>
                <w:szCs w:val="18"/>
              </w:rPr>
              <w:t>x</w:t>
            </w:r>
          </w:p>
        </w:tc>
        <w:tc>
          <w:tcPr>
            <w:tcW w:w="178" w:type="pct"/>
            <w:shd w:val="clear" w:color="auto" w:fill="auto"/>
          </w:tcPr>
          <w:p w14:paraId="3F89602D" w14:textId="77777777" w:rsidR="000005F4" w:rsidRPr="008B4F97" w:rsidRDefault="000005F4" w:rsidP="000005F4">
            <w:pPr>
              <w:pStyle w:val="TableTextNoSpace"/>
              <w:jc w:val="center"/>
              <w:rPr>
                <w:rFonts w:cs="Arial"/>
                <w:sz w:val="18"/>
                <w:szCs w:val="18"/>
              </w:rPr>
            </w:pPr>
            <w:r w:rsidRPr="00B423CE">
              <w:rPr>
                <w:rFonts w:cs="Arial"/>
                <w:sz w:val="18"/>
                <w:szCs w:val="18"/>
              </w:rPr>
              <w:t>x</w:t>
            </w:r>
          </w:p>
        </w:tc>
        <w:tc>
          <w:tcPr>
            <w:tcW w:w="178" w:type="pct"/>
            <w:shd w:val="clear" w:color="auto" w:fill="auto"/>
          </w:tcPr>
          <w:p w14:paraId="143B793D" w14:textId="77777777" w:rsidR="000005F4" w:rsidRPr="007C1E76" w:rsidRDefault="000005F4" w:rsidP="000005F4">
            <w:pPr>
              <w:pStyle w:val="TableTextNoSpace"/>
              <w:jc w:val="center"/>
              <w:rPr>
                <w:rFonts w:cs="Arial"/>
                <w:b/>
                <w:sz w:val="18"/>
                <w:szCs w:val="18"/>
              </w:rPr>
            </w:pPr>
            <w:r w:rsidRPr="007C1E76">
              <w:rPr>
                <w:rFonts w:cs="Arial"/>
                <w:b/>
                <w:sz w:val="18"/>
                <w:szCs w:val="18"/>
              </w:rPr>
              <w:t>x</w:t>
            </w:r>
          </w:p>
        </w:tc>
        <w:tc>
          <w:tcPr>
            <w:tcW w:w="178" w:type="pct"/>
            <w:shd w:val="clear" w:color="auto" w:fill="auto"/>
          </w:tcPr>
          <w:p w14:paraId="48A6D94C" w14:textId="77777777" w:rsidR="000005F4" w:rsidRPr="007C1E76" w:rsidRDefault="000005F4" w:rsidP="000005F4">
            <w:pPr>
              <w:pStyle w:val="TableTextNoSpace"/>
              <w:jc w:val="center"/>
              <w:rPr>
                <w:rFonts w:cs="Arial"/>
                <w:b/>
                <w:sz w:val="18"/>
                <w:szCs w:val="18"/>
              </w:rPr>
            </w:pPr>
            <w:r w:rsidRPr="007C1E76">
              <w:rPr>
                <w:rFonts w:cs="Arial"/>
                <w:b/>
                <w:sz w:val="18"/>
                <w:szCs w:val="18"/>
              </w:rPr>
              <w:t>x</w:t>
            </w:r>
          </w:p>
        </w:tc>
        <w:tc>
          <w:tcPr>
            <w:tcW w:w="178" w:type="pct"/>
            <w:shd w:val="clear" w:color="auto" w:fill="auto"/>
          </w:tcPr>
          <w:p w14:paraId="43EB2508" w14:textId="77777777" w:rsidR="000005F4" w:rsidRPr="007C1E76" w:rsidRDefault="000005F4" w:rsidP="000005F4">
            <w:pPr>
              <w:pStyle w:val="TableTextNoSpace"/>
              <w:jc w:val="center"/>
              <w:rPr>
                <w:rFonts w:cs="Arial"/>
                <w:b/>
                <w:sz w:val="18"/>
                <w:szCs w:val="18"/>
              </w:rPr>
            </w:pPr>
            <w:r w:rsidRPr="007C1E76">
              <w:rPr>
                <w:rFonts w:cs="Arial"/>
                <w:b/>
                <w:sz w:val="18"/>
                <w:szCs w:val="18"/>
              </w:rPr>
              <w:t>x</w:t>
            </w:r>
          </w:p>
        </w:tc>
        <w:tc>
          <w:tcPr>
            <w:tcW w:w="178" w:type="pct"/>
            <w:shd w:val="clear" w:color="auto" w:fill="auto"/>
          </w:tcPr>
          <w:p w14:paraId="2EF87761" w14:textId="77777777" w:rsidR="000005F4" w:rsidRPr="007C1E76" w:rsidRDefault="000005F4" w:rsidP="000005F4">
            <w:pPr>
              <w:pStyle w:val="TableTextNoSpace"/>
              <w:jc w:val="center"/>
              <w:rPr>
                <w:rFonts w:cs="Arial"/>
                <w:b/>
                <w:sz w:val="18"/>
                <w:szCs w:val="18"/>
              </w:rPr>
            </w:pPr>
            <w:r w:rsidRPr="007C1E76">
              <w:rPr>
                <w:rFonts w:cs="Arial"/>
                <w:b/>
                <w:sz w:val="18"/>
                <w:szCs w:val="18"/>
              </w:rPr>
              <w:t>x</w:t>
            </w:r>
          </w:p>
        </w:tc>
        <w:tc>
          <w:tcPr>
            <w:tcW w:w="178" w:type="pct"/>
            <w:shd w:val="clear" w:color="auto" w:fill="auto"/>
          </w:tcPr>
          <w:p w14:paraId="0D08850E" w14:textId="77777777" w:rsidR="000005F4" w:rsidRPr="007C1E76" w:rsidRDefault="000005F4" w:rsidP="000005F4">
            <w:pPr>
              <w:pStyle w:val="TableTextNoSpace"/>
              <w:jc w:val="center"/>
              <w:rPr>
                <w:rFonts w:cs="Arial"/>
                <w:b/>
                <w:sz w:val="18"/>
                <w:szCs w:val="18"/>
              </w:rPr>
            </w:pPr>
            <w:r w:rsidRPr="007C1E76">
              <w:rPr>
                <w:rFonts w:cs="Arial"/>
                <w:b/>
                <w:sz w:val="18"/>
                <w:szCs w:val="18"/>
              </w:rPr>
              <w:t>x</w:t>
            </w:r>
          </w:p>
        </w:tc>
        <w:tc>
          <w:tcPr>
            <w:tcW w:w="178" w:type="pct"/>
            <w:shd w:val="clear" w:color="auto" w:fill="auto"/>
          </w:tcPr>
          <w:p w14:paraId="1AE52223" w14:textId="77777777" w:rsidR="000005F4" w:rsidRPr="007C1E76" w:rsidRDefault="000005F4" w:rsidP="000005F4">
            <w:pPr>
              <w:pStyle w:val="TableTextNoSpace"/>
              <w:jc w:val="center"/>
              <w:rPr>
                <w:rFonts w:cs="Arial"/>
                <w:b/>
                <w:sz w:val="18"/>
                <w:szCs w:val="18"/>
              </w:rPr>
            </w:pPr>
            <w:r w:rsidRPr="007C1E76">
              <w:rPr>
                <w:rFonts w:cs="Arial"/>
                <w:b/>
                <w:sz w:val="18"/>
                <w:szCs w:val="18"/>
              </w:rPr>
              <w:t>x</w:t>
            </w:r>
          </w:p>
        </w:tc>
        <w:tc>
          <w:tcPr>
            <w:tcW w:w="178" w:type="pct"/>
            <w:shd w:val="clear" w:color="auto" w:fill="auto"/>
          </w:tcPr>
          <w:p w14:paraId="635B4718" w14:textId="77777777" w:rsidR="000005F4" w:rsidRPr="008B4F97" w:rsidRDefault="000005F4" w:rsidP="000005F4">
            <w:pPr>
              <w:pStyle w:val="TableTextNoSpace"/>
              <w:jc w:val="center"/>
              <w:rPr>
                <w:rFonts w:cs="Arial"/>
                <w:sz w:val="18"/>
                <w:szCs w:val="18"/>
              </w:rPr>
            </w:pPr>
            <w:r w:rsidRPr="00B423CE">
              <w:rPr>
                <w:rFonts w:cs="Arial"/>
                <w:sz w:val="18"/>
                <w:szCs w:val="18"/>
              </w:rPr>
              <w:t>x</w:t>
            </w:r>
          </w:p>
        </w:tc>
        <w:tc>
          <w:tcPr>
            <w:tcW w:w="178" w:type="pct"/>
            <w:shd w:val="clear" w:color="auto" w:fill="auto"/>
          </w:tcPr>
          <w:p w14:paraId="3FC34E44" w14:textId="77777777" w:rsidR="000005F4" w:rsidRPr="007C1E76" w:rsidRDefault="000005F4" w:rsidP="000005F4">
            <w:pPr>
              <w:pStyle w:val="TableTextNoSpace"/>
              <w:jc w:val="center"/>
              <w:rPr>
                <w:rFonts w:cs="Arial"/>
                <w:b/>
                <w:sz w:val="18"/>
                <w:szCs w:val="18"/>
              </w:rPr>
            </w:pPr>
            <w:r w:rsidRPr="007C1E76">
              <w:rPr>
                <w:rFonts w:cs="Arial"/>
                <w:b/>
                <w:sz w:val="18"/>
                <w:szCs w:val="18"/>
              </w:rPr>
              <w:t>x</w:t>
            </w:r>
          </w:p>
        </w:tc>
        <w:tc>
          <w:tcPr>
            <w:tcW w:w="178" w:type="pct"/>
            <w:shd w:val="clear" w:color="auto" w:fill="auto"/>
          </w:tcPr>
          <w:p w14:paraId="429E6BC8" w14:textId="77777777" w:rsidR="000005F4" w:rsidRPr="007C1E76" w:rsidRDefault="000005F4" w:rsidP="000005F4">
            <w:pPr>
              <w:pStyle w:val="TableTextNoSpace"/>
              <w:jc w:val="center"/>
              <w:rPr>
                <w:rFonts w:cs="Arial"/>
                <w:b/>
                <w:sz w:val="18"/>
                <w:szCs w:val="18"/>
              </w:rPr>
            </w:pPr>
            <w:r w:rsidRPr="007C1E76">
              <w:rPr>
                <w:rFonts w:cs="Arial"/>
                <w:b/>
                <w:sz w:val="18"/>
                <w:szCs w:val="18"/>
              </w:rPr>
              <w:t>x</w:t>
            </w:r>
          </w:p>
        </w:tc>
        <w:tc>
          <w:tcPr>
            <w:tcW w:w="178" w:type="pct"/>
            <w:shd w:val="clear" w:color="auto" w:fill="auto"/>
          </w:tcPr>
          <w:p w14:paraId="5299B2C5" w14:textId="77777777" w:rsidR="000005F4" w:rsidRPr="007C1E76" w:rsidRDefault="000005F4" w:rsidP="000005F4">
            <w:pPr>
              <w:pStyle w:val="TableTextNoSpace"/>
              <w:jc w:val="center"/>
              <w:rPr>
                <w:rFonts w:cs="Arial"/>
                <w:b/>
                <w:sz w:val="18"/>
                <w:szCs w:val="18"/>
              </w:rPr>
            </w:pPr>
            <w:r w:rsidRPr="007C1E76">
              <w:rPr>
                <w:rFonts w:cs="Arial"/>
                <w:b/>
                <w:sz w:val="18"/>
                <w:szCs w:val="18"/>
              </w:rPr>
              <w:t>x</w:t>
            </w:r>
          </w:p>
        </w:tc>
        <w:tc>
          <w:tcPr>
            <w:tcW w:w="178" w:type="pct"/>
            <w:shd w:val="clear" w:color="auto" w:fill="auto"/>
          </w:tcPr>
          <w:p w14:paraId="6D6C049C" w14:textId="77777777" w:rsidR="000005F4" w:rsidRPr="007C1E76" w:rsidRDefault="000005F4" w:rsidP="000005F4">
            <w:pPr>
              <w:pStyle w:val="TableTextNoSpace"/>
              <w:jc w:val="center"/>
              <w:rPr>
                <w:rFonts w:cs="Arial"/>
                <w:b/>
                <w:sz w:val="18"/>
                <w:szCs w:val="18"/>
              </w:rPr>
            </w:pPr>
            <w:r w:rsidRPr="007C1E76">
              <w:rPr>
                <w:rFonts w:cs="Arial"/>
                <w:b/>
                <w:sz w:val="18"/>
                <w:szCs w:val="18"/>
              </w:rPr>
              <w:t>x</w:t>
            </w:r>
          </w:p>
        </w:tc>
        <w:tc>
          <w:tcPr>
            <w:tcW w:w="178" w:type="pct"/>
            <w:shd w:val="clear" w:color="auto" w:fill="auto"/>
          </w:tcPr>
          <w:p w14:paraId="63F9B4BA" w14:textId="77777777" w:rsidR="000005F4" w:rsidRPr="007C1E76" w:rsidRDefault="000005F4" w:rsidP="000005F4">
            <w:pPr>
              <w:pStyle w:val="TableTextNoSpace"/>
              <w:jc w:val="center"/>
              <w:rPr>
                <w:rFonts w:cs="Arial"/>
                <w:b/>
                <w:sz w:val="18"/>
                <w:szCs w:val="18"/>
              </w:rPr>
            </w:pPr>
            <w:r w:rsidRPr="007C1E76">
              <w:rPr>
                <w:rFonts w:cs="Arial"/>
                <w:b/>
                <w:sz w:val="18"/>
                <w:szCs w:val="18"/>
              </w:rPr>
              <w:t>x</w:t>
            </w:r>
          </w:p>
        </w:tc>
        <w:tc>
          <w:tcPr>
            <w:tcW w:w="178" w:type="pct"/>
            <w:shd w:val="clear" w:color="auto" w:fill="auto"/>
          </w:tcPr>
          <w:p w14:paraId="7D973EAD" w14:textId="77777777" w:rsidR="000005F4" w:rsidRPr="007C1E76" w:rsidRDefault="000005F4" w:rsidP="000005F4">
            <w:pPr>
              <w:pStyle w:val="TableTextNoSpace"/>
              <w:jc w:val="center"/>
              <w:rPr>
                <w:rFonts w:cs="Arial"/>
                <w:b/>
                <w:sz w:val="18"/>
                <w:szCs w:val="18"/>
              </w:rPr>
            </w:pPr>
            <w:r w:rsidRPr="007C1E76">
              <w:rPr>
                <w:rFonts w:cs="Arial"/>
                <w:b/>
                <w:sz w:val="18"/>
                <w:szCs w:val="18"/>
              </w:rPr>
              <w:t>x</w:t>
            </w:r>
          </w:p>
        </w:tc>
        <w:tc>
          <w:tcPr>
            <w:tcW w:w="178" w:type="pct"/>
            <w:shd w:val="clear" w:color="auto" w:fill="auto"/>
          </w:tcPr>
          <w:p w14:paraId="2E4C5D66" w14:textId="77777777" w:rsidR="000005F4" w:rsidRPr="007C1E76" w:rsidRDefault="000005F4" w:rsidP="000005F4">
            <w:pPr>
              <w:pStyle w:val="TableTextNoSpace"/>
              <w:jc w:val="center"/>
              <w:rPr>
                <w:rFonts w:cs="Arial"/>
                <w:b/>
                <w:sz w:val="18"/>
                <w:szCs w:val="18"/>
              </w:rPr>
            </w:pPr>
            <w:r w:rsidRPr="007C1E76">
              <w:rPr>
                <w:rFonts w:cs="Arial"/>
                <w:b/>
                <w:sz w:val="18"/>
                <w:szCs w:val="18"/>
              </w:rPr>
              <w:t>x</w:t>
            </w:r>
          </w:p>
        </w:tc>
        <w:tc>
          <w:tcPr>
            <w:tcW w:w="178" w:type="pct"/>
            <w:shd w:val="clear" w:color="auto" w:fill="auto"/>
          </w:tcPr>
          <w:p w14:paraId="42A7D0EB" w14:textId="77777777" w:rsidR="000005F4" w:rsidRPr="007C1E76" w:rsidRDefault="000005F4" w:rsidP="000005F4">
            <w:pPr>
              <w:pStyle w:val="TableTextNoSpace"/>
              <w:jc w:val="center"/>
              <w:rPr>
                <w:rFonts w:cs="Arial"/>
                <w:b/>
                <w:sz w:val="18"/>
                <w:szCs w:val="18"/>
              </w:rPr>
            </w:pPr>
            <w:r w:rsidRPr="007C1E76">
              <w:rPr>
                <w:rFonts w:cs="Arial"/>
                <w:b/>
                <w:sz w:val="18"/>
                <w:szCs w:val="18"/>
              </w:rPr>
              <w:t>x</w:t>
            </w:r>
          </w:p>
        </w:tc>
        <w:tc>
          <w:tcPr>
            <w:tcW w:w="178" w:type="pct"/>
          </w:tcPr>
          <w:p w14:paraId="3B06B06C" w14:textId="77777777" w:rsidR="000005F4" w:rsidRPr="007C1E76" w:rsidRDefault="000005F4" w:rsidP="000005F4">
            <w:pPr>
              <w:pStyle w:val="TableTextNoSpace"/>
              <w:jc w:val="center"/>
              <w:rPr>
                <w:rFonts w:cs="Arial"/>
                <w:b/>
                <w:sz w:val="18"/>
                <w:szCs w:val="18"/>
              </w:rPr>
            </w:pPr>
            <w:r w:rsidRPr="007C1E76">
              <w:rPr>
                <w:rFonts w:cs="Arial"/>
                <w:b/>
                <w:sz w:val="18"/>
                <w:szCs w:val="18"/>
              </w:rPr>
              <w:t>x</w:t>
            </w:r>
          </w:p>
        </w:tc>
        <w:tc>
          <w:tcPr>
            <w:tcW w:w="178" w:type="pct"/>
          </w:tcPr>
          <w:p w14:paraId="0AAAEC0A" w14:textId="77777777" w:rsidR="000005F4" w:rsidRPr="007C1E76" w:rsidRDefault="000005F4" w:rsidP="000005F4">
            <w:pPr>
              <w:pStyle w:val="TableTextNoSpace"/>
              <w:jc w:val="center"/>
              <w:rPr>
                <w:rFonts w:cs="Arial"/>
                <w:b/>
                <w:sz w:val="18"/>
                <w:szCs w:val="18"/>
              </w:rPr>
            </w:pPr>
            <w:r w:rsidRPr="007C1E76">
              <w:rPr>
                <w:rFonts w:cs="Arial"/>
                <w:b/>
                <w:sz w:val="18"/>
                <w:szCs w:val="18"/>
              </w:rPr>
              <w:t>x</w:t>
            </w:r>
          </w:p>
        </w:tc>
        <w:tc>
          <w:tcPr>
            <w:tcW w:w="178" w:type="pct"/>
          </w:tcPr>
          <w:p w14:paraId="5A2DF613" w14:textId="77777777" w:rsidR="000005F4" w:rsidRPr="007C1E76" w:rsidRDefault="000005F4" w:rsidP="000005F4">
            <w:pPr>
              <w:pStyle w:val="TableTextNoSpace"/>
              <w:jc w:val="center"/>
              <w:rPr>
                <w:rFonts w:cs="Arial"/>
                <w:b/>
                <w:sz w:val="18"/>
                <w:szCs w:val="18"/>
              </w:rPr>
            </w:pPr>
            <w:r w:rsidRPr="007C1E76">
              <w:rPr>
                <w:rFonts w:cs="Arial"/>
                <w:b/>
                <w:sz w:val="18"/>
                <w:szCs w:val="18"/>
              </w:rPr>
              <w:t>x</w:t>
            </w:r>
          </w:p>
        </w:tc>
        <w:tc>
          <w:tcPr>
            <w:tcW w:w="178" w:type="pct"/>
          </w:tcPr>
          <w:p w14:paraId="30462AD1" w14:textId="77777777" w:rsidR="000005F4" w:rsidRPr="007C1E76" w:rsidRDefault="000005F4" w:rsidP="000005F4">
            <w:pPr>
              <w:pStyle w:val="TableTextNoSpace"/>
              <w:jc w:val="center"/>
              <w:rPr>
                <w:rFonts w:cs="Arial"/>
                <w:b/>
                <w:sz w:val="18"/>
                <w:szCs w:val="18"/>
              </w:rPr>
            </w:pPr>
            <w:r w:rsidRPr="007C1E76">
              <w:rPr>
                <w:rFonts w:cs="Arial"/>
                <w:b/>
                <w:sz w:val="18"/>
                <w:szCs w:val="18"/>
              </w:rPr>
              <w:t>x</w:t>
            </w:r>
          </w:p>
        </w:tc>
        <w:tc>
          <w:tcPr>
            <w:tcW w:w="178" w:type="pct"/>
          </w:tcPr>
          <w:p w14:paraId="0EE56DB1" w14:textId="77777777" w:rsidR="000005F4" w:rsidRPr="007C1E76" w:rsidRDefault="000005F4" w:rsidP="000005F4">
            <w:pPr>
              <w:pStyle w:val="TableTextNoSpace"/>
              <w:jc w:val="center"/>
              <w:rPr>
                <w:rFonts w:cs="Arial"/>
                <w:b/>
                <w:sz w:val="18"/>
                <w:szCs w:val="18"/>
              </w:rPr>
            </w:pPr>
            <w:r w:rsidRPr="007C1E76">
              <w:rPr>
                <w:rFonts w:cs="Arial"/>
                <w:b/>
                <w:sz w:val="18"/>
                <w:szCs w:val="18"/>
              </w:rPr>
              <w:t>x</w:t>
            </w:r>
          </w:p>
        </w:tc>
        <w:tc>
          <w:tcPr>
            <w:tcW w:w="178" w:type="pct"/>
          </w:tcPr>
          <w:p w14:paraId="12ADEA02" w14:textId="77777777" w:rsidR="000005F4" w:rsidRPr="007C1E76" w:rsidRDefault="000005F4" w:rsidP="000005F4">
            <w:pPr>
              <w:pStyle w:val="TableTextNoSpace"/>
              <w:jc w:val="center"/>
              <w:rPr>
                <w:rFonts w:cs="Arial"/>
                <w:b/>
                <w:sz w:val="18"/>
                <w:szCs w:val="18"/>
              </w:rPr>
            </w:pPr>
            <w:r w:rsidRPr="007C1E76">
              <w:rPr>
                <w:rFonts w:cs="Arial"/>
                <w:b/>
                <w:sz w:val="18"/>
                <w:szCs w:val="18"/>
              </w:rPr>
              <w:t>x</w:t>
            </w:r>
          </w:p>
        </w:tc>
        <w:tc>
          <w:tcPr>
            <w:tcW w:w="178" w:type="pct"/>
            <w:shd w:val="clear" w:color="auto" w:fill="auto"/>
          </w:tcPr>
          <w:p w14:paraId="34F705E0" w14:textId="77777777" w:rsidR="000005F4" w:rsidRPr="007C1E76" w:rsidRDefault="000005F4" w:rsidP="000005F4">
            <w:pPr>
              <w:pStyle w:val="TableTextNoSpace"/>
              <w:jc w:val="center"/>
              <w:rPr>
                <w:rFonts w:cs="Arial"/>
                <w:b/>
                <w:sz w:val="18"/>
                <w:szCs w:val="18"/>
              </w:rPr>
            </w:pPr>
            <w:r w:rsidRPr="007C1E76">
              <w:rPr>
                <w:rFonts w:cs="Arial"/>
                <w:b/>
                <w:sz w:val="18"/>
                <w:szCs w:val="18"/>
              </w:rPr>
              <w:t>x</w:t>
            </w:r>
          </w:p>
        </w:tc>
      </w:tr>
    </w:tbl>
    <w:p w14:paraId="0CABF059" w14:textId="77777777" w:rsidR="000005F4" w:rsidRDefault="000005F4" w:rsidP="000005F4">
      <w:pPr>
        <w:pStyle w:val="Heading2NoNumb"/>
      </w:pPr>
      <w:bookmarkStart w:id="407" w:name="_Toc408094045"/>
      <w:bookmarkStart w:id="408" w:name="_Toc408138046"/>
      <w:bookmarkStart w:id="409" w:name="_Toc408851035"/>
      <w:bookmarkStart w:id="410" w:name="_Toc421880711"/>
      <w:r>
        <w:t>ESF</w:t>
      </w:r>
      <w:bookmarkEnd w:id="407"/>
      <w:bookmarkEnd w:id="408"/>
      <w:bookmarkEnd w:id="409"/>
      <w:bookmarkEnd w:id="410"/>
      <w:r>
        <w:t xml:space="preserve"> </w:t>
      </w:r>
    </w:p>
    <w:p w14:paraId="3B30408D" w14:textId="77777777" w:rsidR="000005F4" w:rsidRPr="00C03A23" w:rsidRDefault="000005F4" w:rsidP="000005F4">
      <w:r w:rsidRPr="00C03A23">
        <w:t xml:space="preserve">Note: Articles most directly relevant for Natura 2000 actions are highlighted. </w:t>
      </w:r>
    </w:p>
    <w:p w14:paraId="4529403B" w14:textId="77777777" w:rsidR="000005F4" w:rsidRDefault="000005F4" w:rsidP="000005F4">
      <w:pPr>
        <w:pStyle w:val="AnnexFigure"/>
      </w:pPr>
      <w:bookmarkStart w:id="411" w:name="_Toc407942733"/>
      <w:bookmarkStart w:id="412" w:name="_Toc408094138"/>
      <w:bookmarkStart w:id="413" w:name="_Toc408851122"/>
      <w:r>
        <w:t>Summary of Wales-relevant articles in the ESF</w:t>
      </w:r>
      <w:bookmarkEnd w:id="411"/>
      <w:bookmarkEnd w:id="412"/>
      <w:bookmarkEnd w:id="413"/>
    </w:p>
    <w:tbl>
      <w:tblPr>
        <w:tblW w:w="9071" w:type="dxa"/>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Layout w:type="fixed"/>
        <w:tblCellMar>
          <w:top w:w="57" w:type="dxa"/>
          <w:left w:w="0" w:type="dxa"/>
          <w:bottom w:w="28" w:type="dxa"/>
          <w:right w:w="0" w:type="dxa"/>
        </w:tblCellMar>
        <w:tblLook w:val="0000" w:firstRow="0" w:lastRow="0" w:firstColumn="0" w:lastColumn="0" w:noHBand="0" w:noVBand="0"/>
      </w:tblPr>
      <w:tblGrid>
        <w:gridCol w:w="2265"/>
        <w:gridCol w:w="6806"/>
      </w:tblGrid>
      <w:tr w:rsidR="000005F4" w14:paraId="37E180E8" w14:textId="77777777" w:rsidTr="000005F4">
        <w:trPr>
          <w:cantSplit/>
        </w:trPr>
        <w:tc>
          <w:tcPr>
            <w:tcW w:w="2265" w:type="dxa"/>
            <w:shd w:val="clear" w:color="auto" w:fill="auto"/>
          </w:tcPr>
          <w:p w14:paraId="5A91FD8F" w14:textId="77777777" w:rsidR="000005F4" w:rsidRDefault="000005F4" w:rsidP="000005F4">
            <w:pPr>
              <w:pStyle w:val="TableHeading"/>
            </w:pPr>
            <w:r>
              <w:t>Article Title</w:t>
            </w:r>
          </w:p>
        </w:tc>
        <w:tc>
          <w:tcPr>
            <w:tcW w:w="6806" w:type="dxa"/>
            <w:shd w:val="solid" w:color="0067AB" w:fill="0067AB"/>
          </w:tcPr>
          <w:p w14:paraId="2DB946E5" w14:textId="77777777" w:rsidR="000005F4" w:rsidRDefault="000005F4" w:rsidP="000005F4">
            <w:pPr>
              <w:pStyle w:val="TableHeadingWhite"/>
            </w:pPr>
            <w:r>
              <w:t>Article Detail</w:t>
            </w:r>
          </w:p>
        </w:tc>
      </w:tr>
      <w:tr w:rsidR="000005F4" w14:paraId="08BE9778" w14:textId="77777777" w:rsidTr="000005F4">
        <w:tc>
          <w:tcPr>
            <w:tcW w:w="2265" w:type="dxa"/>
            <w:shd w:val="clear" w:color="auto" w:fill="auto"/>
          </w:tcPr>
          <w:p w14:paraId="611B0338" w14:textId="77777777" w:rsidR="000005F4" w:rsidRDefault="000005F4" w:rsidP="000005F4">
            <w:pPr>
              <w:pStyle w:val="TableTextNoSpace"/>
            </w:pPr>
            <w:r w:rsidRPr="00543591">
              <w:t>Article 3.1a</w:t>
            </w:r>
          </w:p>
        </w:tc>
        <w:tc>
          <w:tcPr>
            <w:tcW w:w="6806" w:type="dxa"/>
            <w:shd w:val="clear" w:color="auto" w:fill="auto"/>
          </w:tcPr>
          <w:p w14:paraId="64576B5C" w14:textId="77777777" w:rsidR="000005F4" w:rsidRDefault="000005F4" w:rsidP="000005F4">
            <w:pPr>
              <w:pStyle w:val="TableTextNoSpace"/>
            </w:pPr>
            <w:r w:rsidRPr="005468A0">
              <w:t xml:space="preserve">Promoting employment and supporting labour mobility </w:t>
            </w:r>
          </w:p>
        </w:tc>
      </w:tr>
      <w:tr w:rsidR="000005F4" w14:paraId="7E3FC84A" w14:textId="77777777" w:rsidTr="000005F4">
        <w:tc>
          <w:tcPr>
            <w:tcW w:w="2265" w:type="dxa"/>
            <w:shd w:val="clear" w:color="auto" w:fill="auto"/>
          </w:tcPr>
          <w:p w14:paraId="12C5916A" w14:textId="77777777" w:rsidR="000005F4" w:rsidRDefault="000005F4" w:rsidP="000005F4">
            <w:pPr>
              <w:pStyle w:val="TableTextNoSpace"/>
            </w:pPr>
            <w:r w:rsidRPr="00543591">
              <w:t>Article 3.1b</w:t>
            </w:r>
          </w:p>
        </w:tc>
        <w:tc>
          <w:tcPr>
            <w:tcW w:w="6806" w:type="dxa"/>
            <w:shd w:val="clear" w:color="auto" w:fill="auto"/>
          </w:tcPr>
          <w:p w14:paraId="4068598A" w14:textId="77777777" w:rsidR="000005F4" w:rsidRDefault="000005F4" w:rsidP="000005F4">
            <w:pPr>
              <w:pStyle w:val="TableTextNoSpace"/>
              <w:ind w:left="0"/>
            </w:pPr>
            <w:r>
              <w:t xml:space="preserve"> </w:t>
            </w:r>
            <w:r w:rsidRPr="005468A0">
              <w:t xml:space="preserve">Investing in education, skills and life-long learning </w:t>
            </w:r>
          </w:p>
        </w:tc>
      </w:tr>
      <w:tr w:rsidR="000005F4" w14:paraId="71095C50" w14:textId="77777777" w:rsidTr="000005F4">
        <w:tc>
          <w:tcPr>
            <w:tcW w:w="2265" w:type="dxa"/>
            <w:shd w:val="clear" w:color="auto" w:fill="EAF1DD" w:themeFill="accent3" w:themeFillTint="33"/>
          </w:tcPr>
          <w:p w14:paraId="6FF3B1D2" w14:textId="77777777" w:rsidR="000005F4" w:rsidRDefault="000005F4" w:rsidP="000005F4">
            <w:pPr>
              <w:pStyle w:val="TableTextNoSpace"/>
            </w:pPr>
            <w:r w:rsidRPr="00543591">
              <w:t>Article 3.1c</w:t>
            </w:r>
          </w:p>
        </w:tc>
        <w:tc>
          <w:tcPr>
            <w:tcW w:w="6806" w:type="dxa"/>
            <w:shd w:val="clear" w:color="auto" w:fill="EAF1DD" w:themeFill="accent3" w:themeFillTint="33"/>
          </w:tcPr>
          <w:p w14:paraId="72F9B7B4" w14:textId="77777777" w:rsidR="000005F4" w:rsidRDefault="000005F4" w:rsidP="000005F4">
            <w:pPr>
              <w:pStyle w:val="TableTextNoSpace"/>
            </w:pPr>
            <w:r w:rsidRPr="005468A0">
              <w:t xml:space="preserve">Promoting social inclusion and combating poverty </w:t>
            </w:r>
          </w:p>
        </w:tc>
      </w:tr>
      <w:tr w:rsidR="000005F4" w14:paraId="696F0AA2" w14:textId="77777777" w:rsidTr="000005F4">
        <w:tc>
          <w:tcPr>
            <w:tcW w:w="2265" w:type="dxa"/>
            <w:shd w:val="clear" w:color="auto" w:fill="EAF1DD" w:themeFill="accent3" w:themeFillTint="33"/>
          </w:tcPr>
          <w:p w14:paraId="0F2766DF" w14:textId="77777777" w:rsidR="000005F4" w:rsidRDefault="000005F4" w:rsidP="000005F4">
            <w:pPr>
              <w:pStyle w:val="TableTextNoSpace"/>
            </w:pPr>
            <w:r w:rsidRPr="00543591">
              <w:t xml:space="preserve">Article 3.1d </w:t>
            </w:r>
          </w:p>
        </w:tc>
        <w:tc>
          <w:tcPr>
            <w:tcW w:w="6806" w:type="dxa"/>
            <w:shd w:val="clear" w:color="auto" w:fill="EAF1DD" w:themeFill="accent3" w:themeFillTint="33"/>
          </w:tcPr>
          <w:p w14:paraId="75A22B96" w14:textId="77777777" w:rsidR="000005F4" w:rsidRDefault="000005F4" w:rsidP="000005F4">
            <w:pPr>
              <w:pStyle w:val="TableTextNoSpace"/>
            </w:pPr>
            <w:r w:rsidRPr="005468A0">
              <w:t xml:space="preserve">Enhancing institutional capacity and efficient public administration </w:t>
            </w:r>
          </w:p>
        </w:tc>
      </w:tr>
      <w:tr w:rsidR="000005F4" w14:paraId="7CC3A719" w14:textId="77777777" w:rsidTr="000005F4">
        <w:tc>
          <w:tcPr>
            <w:tcW w:w="2265" w:type="dxa"/>
            <w:shd w:val="clear" w:color="auto" w:fill="EAF1DD" w:themeFill="accent3" w:themeFillTint="33"/>
          </w:tcPr>
          <w:p w14:paraId="63F7CD7A" w14:textId="77777777" w:rsidR="000005F4" w:rsidRDefault="000005F4" w:rsidP="000005F4">
            <w:pPr>
              <w:pStyle w:val="TableTextNoSpace"/>
            </w:pPr>
            <w:r w:rsidRPr="00543591">
              <w:t xml:space="preserve">Article 3.2a </w:t>
            </w:r>
          </w:p>
        </w:tc>
        <w:tc>
          <w:tcPr>
            <w:tcW w:w="6806" w:type="dxa"/>
            <w:shd w:val="clear" w:color="auto" w:fill="EAF1DD" w:themeFill="accent3" w:themeFillTint="33"/>
          </w:tcPr>
          <w:p w14:paraId="3492BF5A" w14:textId="77777777" w:rsidR="000005F4" w:rsidRDefault="000005F4" w:rsidP="000005F4">
            <w:pPr>
              <w:pStyle w:val="TableTextNoSpace"/>
            </w:pPr>
            <w:r w:rsidRPr="005468A0">
              <w:t xml:space="preserve">Supporting the shift towards and environmentally-sustainable, resource efficiency, low-carbon economy </w:t>
            </w:r>
          </w:p>
        </w:tc>
      </w:tr>
      <w:tr w:rsidR="000005F4" w14:paraId="5B88D178" w14:textId="77777777" w:rsidTr="000005F4">
        <w:tc>
          <w:tcPr>
            <w:tcW w:w="2265" w:type="dxa"/>
            <w:shd w:val="clear" w:color="auto" w:fill="auto"/>
          </w:tcPr>
          <w:p w14:paraId="78EE6E41" w14:textId="77777777" w:rsidR="000005F4" w:rsidRDefault="000005F4" w:rsidP="000005F4">
            <w:pPr>
              <w:pStyle w:val="TableTextNoSpace"/>
            </w:pPr>
            <w:r w:rsidRPr="00543591">
              <w:t>Article 3.2b</w:t>
            </w:r>
          </w:p>
        </w:tc>
        <w:tc>
          <w:tcPr>
            <w:tcW w:w="6806" w:type="dxa"/>
            <w:shd w:val="clear" w:color="auto" w:fill="auto"/>
          </w:tcPr>
          <w:p w14:paraId="6E089D56" w14:textId="77777777" w:rsidR="000005F4" w:rsidRDefault="000005F4" w:rsidP="000005F4">
            <w:pPr>
              <w:pStyle w:val="TableTextNoSpace"/>
            </w:pPr>
            <w:r w:rsidRPr="005468A0">
              <w:t xml:space="preserve">Enhancing accessibility of information and communication technologies </w:t>
            </w:r>
          </w:p>
        </w:tc>
      </w:tr>
      <w:tr w:rsidR="000005F4" w14:paraId="1D7E8AB9" w14:textId="77777777" w:rsidTr="000005F4">
        <w:tc>
          <w:tcPr>
            <w:tcW w:w="2265" w:type="dxa"/>
            <w:shd w:val="clear" w:color="auto" w:fill="auto"/>
          </w:tcPr>
          <w:p w14:paraId="2AD8D1B8" w14:textId="77777777" w:rsidR="000005F4" w:rsidRDefault="000005F4" w:rsidP="000005F4">
            <w:pPr>
              <w:pStyle w:val="TableTextNoSpace"/>
            </w:pPr>
            <w:r w:rsidRPr="00543591">
              <w:t>Article 3.2c</w:t>
            </w:r>
          </w:p>
        </w:tc>
        <w:tc>
          <w:tcPr>
            <w:tcW w:w="6806" w:type="dxa"/>
            <w:shd w:val="clear" w:color="auto" w:fill="auto"/>
          </w:tcPr>
          <w:p w14:paraId="5AF2539D" w14:textId="77777777" w:rsidR="000005F4" w:rsidRDefault="000005F4" w:rsidP="000005F4">
            <w:pPr>
              <w:pStyle w:val="TableTextNoSpace"/>
            </w:pPr>
            <w:r w:rsidRPr="005468A0">
              <w:t>Strengthening research, technological development and innovation</w:t>
            </w:r>
          </w:p>
        </w:tc>
      </w:tr>
      <w:tr w:rsidR="000005F4" w14:paraId="3EC0CAAE" w14:textId="77777777" w:rsidTr="000005F4">
        <w:tc>
          <w:tcPr>
            <w:tcW w:w="2265" w:type="dxa"/>
            <w:shd w:val="clear" w:color="auto" w:fill="auto"/>
          </w:tcPr>
          <w:p w14:paraId="1A9CA923" w14:textId="77777777" w:rsidR="000005F4" w:rsidRDefault="000005F4" w:rsidP="000005F4">
            <w:pPr>
              <w:pStyle w:val="TableTextNoSpace"/>
            </w:pPr>
            <w:r w:rsidRPr="00543591">
              <w:t xml:space="preserve">Article 3.2d </w:t>
            </w:r>
          </w:p>
        </w:tc>
        <w:tc>
          <w:tcPr>
            <w:tcW w:w="6806" w:type="dxa"/>
            <w:shd w:val="clear" w:color="auto" w:fill="auto"/>
          </w:tcPr>
          <w:p w14:paraId="07115399" w14:textId="77777777" w:rsidR="000005F4" w:rsidRDefault="000005F4" w:rsidP="000005F4">
            <w:pPr>
              <w:pStyle w:val="TableTextNoSpace"/>
            </w:pPr>
            <w:r w:rsidRPr="005468A0">
              <w:t xml:space="preserve">Enhancing competitiveness of SMEs </w:t>
            </w:r>
          </w:p>
        </w:tc>
      </w:tr>
    </w:tbl>
    <w:p w14:paraId="052C5499" w14:textId="77777777" w:rsidR="000005F4" w:rsidRDefault="000005F4" w:rsidP="000005F4">
      <w:pPr>
        <w:pStyle w:val="AnnexTable"/>
      </w:pPr>
      <w:bookmarkStart w:id="414" w:name="_Toc407942727"/>
      <w:bookmarkStart w:id="415" w:name="_Toc408094133"/>
      <w:bookmarkStart w:id="416" w:name="_Toc408851117"/>
      <w:r>
        <w:t>Summary of Wales-relevant articles in ESF</w:t>
      </w:r>
      <w:bookmarkEnd w:id="414"/>
      <w:bookmarkEnd w:id="415"/>
      <w:bookmarkEnd w:id="416"/>
    </w:p>
    <w:tbl>
      <w:tblPr>
        <w:tblW w:w="5000" w:type="pct"/>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CellMar>
          <w:top w:w="57" w:type="dxa"/>
          <w:left w:w="0" w:type="dxa"/>
          <w:bottom w:w="28" w:type="dxa"/>
          <w:right w:w="0" w:type="dxa"/>
        </w:tblCellMar>
        <w:tblLook w:val="0000" w:firstRow="0" w:lastRow="0" w:firstColumn="0" w:lastColumn="0" w:noHBand="0" w:noVBand="0"/>
      </w:tblPr>
      <w:tblGrid>
        <w:gridCol w:w="1002"/>
        <w:gridCol w:w="322"/>
        <w:gridCol w:w="322"/>
        <w:gridCol w:w="322"/>
        <w:gridCol w:w="322"/>
        <w:gridCol w:w="322"/>
        <w:gridCol w:w="322"/>
        <w:gridCol w:w="322"/>
        <w:gridCol w:w="322"/>
        <w:gridCol w:w="322"/>
        <w:gridCol w:w="322"/>
        <w:gridCol w:w="322"/>
        <w:gridCol w:w="323"/>
        <w:gridCol w:w="323"/>
        <w:gridCol w:w="323"/>
        <w:gridCol w:w="323"/>
        <w:gridCol w:w="323"/>
        <w:gridCol w:w="323"/>
        <w:gridCol w:w="323"/>
        <w:gridCol w:w="323"/>
        <w:gridCol w:w="323"/>
        <w:gridCol w:w="323"/>
        <w:gridCol w:w="323"/>
        <w:gridCol w:w="323"/>
        <w:gridCol w:w="323"/>
        <w:gridCol w:w="322"/>
      </w:tblGrid>
      <w:tr w:rsidR="000005F4" w14:paraId="45931DDC" w14:textId="77777777" w:rsidTr="000005F4">
        <w:trPr>
          <w:cantSplit/>
        </w:trPr>
        <w:tc>
          <w:tcPr>
            <w:tcW w:w="553" w:type="pct"/>
            <w:shd w:val="clear" w:color="auto" w:fill="auto"/>
          </w:tcPr>
          <w:p w14:paraId="10B62DD4" w14:textId="77777777" w:rsidR="000005F4" w:rsidRDefault="000005F4" w:rsidP="000005F4">
            <w:pPr>
              <w:pStyle w:val="TableHeading"/>
            </w:pPr>
          </w:p>
        </w:tc>
        <w:tc>
          <w:tcPr>
            <w:tcW w:w="4447" w:type="pct"/>
            <w:gridSpan w:val="25"/>
            <w:tcBorders>
              <w:bottom w:val="single" w:sz="2" w:space="0" w:color="FFFFFF" w:themeColor="background1"/>
            </w:tcBorders>
            <w:shd w:val="solid" w:color="0067AB" w:fill="0067AB"/>
          </w:tcPr>
          <w:p w14:paraId="3808D2FE" w14:textId="77777777" w:rsidR="000005F4" w:rsidRDefault="000005F4" w:rsidP="000005F4">
            <w:pPr>
              <w:pStyle w:val="TableHeadingWhite"/>
              <w:jc w:val="center"/>
            </w:pPr>
            <w:r>
              <w:t>Management Action</w:t>
            </w:r>
          </w:p>
        </w:tc>
      </w:tr>
      <w:tr w:rsidR="000005F4" w14:paraId="69A963C8" w14:textId="77777777" w:rsidTr="000005F4">
        <w:trPr>
          <w:cantSplit/>
        </w:trPr>
        <w:tc>
          <w:tcPr>
            <w:tcW w:w="553" w:type="pct"/>
            <w:shd w:val="clear" w:color="auto" w:fill="auto"/>
          </w:tcPr>
          <w:p w14:paraId="37ED549E" w14:textId="77777777" w:rsidR="000005F4" w:rsidRDefault="000005F4" w:rsidP="000005F4">
            <w:pPr>
              <w:pStyle w:val="TableHeading"/>
            </w:pPr>
            <w:r>
              <w:t>Article</w:t>
            </w:r>
          </w:p>
        </w:tc>
        <w:tc>
          <w:tcPr>
            <w:tcW w:w="178" w:type="pct"/>
            <w:tcBorders>
              <w:top w:val="single" w:sz="2" w:space="0" w:color="FFFFFF" w:themeColor="background1"/>
              <w:right w:val="single" w:sz="2" w:space="0" w:color="0067AB"/>
            </w:tcBorders>
            <w:shd w:val="solid" w:color="0067AB" w:fill="0067AB"/>
          </w:tcPr>
          <w:p w14:paraId="26D4071E" w14:textId="77777777" w:rsidR="000005F4" w:rsidRDefault="000005F4" w:rsidP="000005F4">
            <w:pPr>
              <w:pStyle w:val="TableHeadingWhite"/>
            </w:pPr>
            <w:r>
              <w:t>1</w:t>
            </w:r>
          </w:p>
        </w:tc>
        <w:tc>
          <w:tcPr>
            <w:tcW w:w="178" w:type="pct"/>
            <w:tcBorders>
              <w:top w:val="single" w:sz="2" w:space="0" w:color="FFFFFF" w:themeColor="background1"/>
              <w:left w:val="single" w:sz="2" w:space="0" w:color="0067AB"/>
              <w:right w:val="single" w:sz="2" w:space="0" w:color="0067AB"/>
            </w:tcBorders>
            <w:shd w:val="solid" w:color="0067AB" w:fill="0067AB"/>
          </w:tcPr>
          <w:p w14:paraId="2F21DBF2" w14:textId="77777777" w:rsidR="000005F4" w:rsidRDefault="000005F4" w:rsidP="000005F4">
            <w:pPr>
              <w:pStyle w:val="TableHeadingWhite"/>
            </w:pPr>
            <w:r>
              <w:t>2</w:t>
            </w:r>
          </w:p>
        </w:tc>
        <w:tc>
          <w:tcPr>
            <w:tcW w:w="178" w:type="pct"/>
            <w:tcBorders>
              <w:top w:val="single" w:sz="2" w:space="0" w:color="FFFFFF" w:themeColor="background1"/>
              <w:left w:val="single" w:sz="2" w:space="0" w:color="0067AB"/>
              <w:right w:val="single" w:sz="2" w:space="0" w:color="0067AB"/>
            </w:tcBorders>
            <w:shd w:val="solid" w:color="0067AB" w:fill="0067AB"/>
          </w:tcPr>
          <w:p w14:paraId="40FFA8C8" w14:textId="77777777" w:rsidR="000005F4" w:rsidRDefault="000005F4" w:rsidP="000005F4">
            <w:pPr>
              <w:pStyle w:val="TableHeadingWhite"/>
            </w:pPr>
            <w:r>
              <w:t>3</w:t>
            </w:r>
          </w:p>
        </w:tc>
        <w:tc>
          <w:tcPr>
            <w:tcW w:w="178" w:type="pct"/>
            <w:tcBorders>
              <w:top w:val="single" w:sz="2" w:space="0" w:color="FFFFFF" w:themeColor="background1"/>
              <w:left w:val="single" w:sz="2" w:space="0" w:color="0067AB"/>
              <w:right w:val="single" w:sz="2" w:space="0" w:color="0067AB"/>
            </w:tcBorders>
            <w:shd w:val="solid" w:color="0067AB" w:fill="0067AB"/>
          </w:tcPr>
          <w:p w14:paraId="2AFAE0A4" w14:textId="77777777" w:rsidR="000005F4" w:rsidRDefault="000005F4" w:rsidP="000005F4">
            <w:pPr>
              <w:pStyle w:val="TableHeadingWhite"/>
            </w:pPr>
            <w:r>
              <w:t>4</w:t>
            </w:r>
          </w:p>
        </w:tc>
        <w:tc>
          <w:tcPr>
            <w:tcW w:w="178" w:type="pct"/>
            <w:tcBorders>
              <w:top w:val="single" w:sz="2" w:space="0" w:color="FFFFFF" w:themeColor="background1"/>
              <w:left w:val="single" w:sz="2" w:space="0" w:color="0067AB"/>
              <w:right w:val="single" w:sz="2" w:space="0" w:color="0067AB"/>
            </w:tcBorders>
            <w:shd w:val="solid" w:color="0067AB" w:fill="0067AB"/>
          </w:tcPr>
          <w:p w14:paraId="7588C133" w14:textId="77777777" w:rsidR="000005F4" w:rsidRDefault="000005F4" w:rsidP="000005F4">
            <w:pPr>
              <w:pStyle w:val="TableHeadingWhite"/>
            </w:pPr>
            <w:r>
              <w:t>5</w:t>
            </w:r>
          </w:p>
        </w:tc>
        <w:tc>
          <w:tcPr>
            <w:tcW w:w="178" w:type="pct"/>
            <w:tcBorders>
              <w:top w:val="single" w:sz="2" w:space="0" w:color="FFFFFF" w:themeColor="background1"/>
              <w:left w:val="single" w:sz="2" w:space="0" w:color="0067AB"/>
              <w:right w:val="single" w:sz="2" w:space="0" w:color="0067AB"/>
            </w:tcBorders>
            <w:shd w:val="solid" w:color="0067AB" w:fill="0067AB"/>
          </w:tcPr>
          <w:p w14:paraId="1A68C8A0" w14:textId="77777777" w:rsidR="000005F4" w:rsidRDefault="000005F4" w:rsidP="000005F4">
            <w:pPr>
              <w:pStyle w:val="TableHeadingWhite"/>
            </w:pPr>
            <w:r>
              <w:t>6</w:t>
            </w:r>
          </w:p>
        </w:tc>
        <w:tc>
          <w:tcPr>
            <w:tcW w:w="178" w:type="pct"/>
            <w:tcBorders>
              <w:top w:val="single" w:sz="2" w:space="0" w:color="FFFFFF" w:themeColor="background1"/>
              <w:left w:val="single" w:sz="2" w:space="0" w:color="0067AB"/>
              <w:right w:val="single" w:sz="2" w:space="0" w:color="0067AB"/>
            </w:tcBorders>
            <w:shd w:val="solid" w:color="0067AB" w:fill="0067AB"/>
          </w:tcPr>
          <w:p w14:paraId="40E568C8" w14:textId="77777777" w:rsidR="000005F4" w:rsidRDefault="000005F4" w:rsidP="000005F4">
            <w:pPr>
              <w:pStyle w:val="TableHeadingWhite"/>
            </w:pPr>
            <w:r>
              <w:t>7</w:t>
            </w:r>
          </w:p>
        </w:tc>
        <w:tc>
          <w:tcPr>
            <w:tcW w:w="178" w:type="pct"/>
            <w:tcBorders>
              <w:top w:val="single" w:sz="2" w:space="0" w:color="FFFFFF" w:themeColor="background1"/>
              <w:left w:val="single" w:sz="2" w:space="0" w:color="0067AB"/>
              <w:right w:val="single" w:sz="2" w:space="0" w:color="0067AB"/>
            </w:tcBorders>
            <w:shd w:val="solid" w:color="0067AB" w:fill="0067AB"/>
          </w:tcPr>
          <w:p w14:paraId="3BF1A583" w14:textId="77777777" w:rsidR="000005F4" w:rsidRDefault="000005F4" w:rsidP="000005F4">
            <w:pPr>
              <w:pStyle w:val="TableHeadingWhite"/>
            </w:pPr>
            <w:r>
              <w:t>8</w:t>
            </w:r>
          </w:p>
        </w:tc>
        <w:tc>
          <w:tcPr>
            <w:tcW w:w="178" w:type="pct"/>
            <w:tcBorders>
              <w:top w:val="single" w:sz="2" w:space="0" w:color="FFFFFF" w:themeColor="background1"/>
              <w:left w:val="single" w:sz="2" w:space="0" w:color="0067AB"/>
              <w:right w:val="single" w:sz="2" w:space="0" w:color="0067AB"/>
            </w:tcBorders>
            <w:shd w:val="solid" w:color="0067AB" w:fill="0067AB"/>
          </w:tcPr>
          <w:p w14:paraId="406758CC" w14:textId="77777777" w:rsidR="000005F4" w:rsidRDefault="000005F4" w:rsidP="000005F4">
            <w:pPr>
              <w:pStyle w:val="TableHeadingWhite"/>
            </w:pPr>
            <w:r>
              <w:t>9</w:t>
            </w:r>
          </w:p>
        </w:tc>
        <w:tc>
          <w:tcPr>
            <w:tcW w:w="178" w:type="pct"/>
            <w:tcBorders>
              <w:top w:val="single" w:sz="2" w:space="0" w:color="FFFFFF" w:themeColor="background1"/>
              <w:left w:val="single" w:sz="2" w:space="0" w:color="0067AB"/>
              <w:right w:val="single" w:sz="2" w:space="0" w:color="0067AB"/>
            </w:tcBorders>
            <w:shd w:val="solid" w:color="0067AB" w:fill="0067AB"/>
          </w:tcPr>
          <w:p w14:paraId="57C66B84" w14:textId="77777777" w:rsidR="000005F4" w:rsidRDefault="000005F4" w:rsidP="000005F4">
            <w:pPr>
              <w:pStyle w:val="TableHeadingWhite"/>
            </w:pPr>
            <w:r>
              <w:t>10</w:t>
            </w:r>
          </w:p>
        </w:tc>
        <w:tc>
          <w:tcPr>
            <w:tcW w:w="178" w:type="pct"/>
            <w:tcBorders>
              <w:top w:val="single" w:sz="2" w:space="0" w:color="FFFFFF" w:themeColor="background1"/>
              <w:left w:val="single" w:sz="2" w:space="0" w:color="0067AB"/>
              <w:right w:val="single" w:sz="2" w:space="0" w:color="0067AB"/>
            </w:tcBorders>
            <w:shd w:val="solid" w:color="0067AB" w:fill="0067AB"/>
          </w:tcPr>
          <w:p w14:paraId="721785E2" w14:textId="77777777" w:rsidR="000005F4" w:rsidRDefault="000005F4" w:rsidP="000005F4">
            <w:pPr>
              <w:pStyle w:val="TableHeadingWhite"/>
            </w:pPr>
            <w:r>
              <w:t>11</w:t>
            </w:r>
          </w:p>
        </w:tc>
        <w:tc>
          <w:tcPr>
            <w:tcW w:w="178" w:type="pct"/>
            <w:tcBorders>
              <w:top w:val="single" w:sz="2" w:space="0" w:color="FFFFFF" w:themeColor="background1"/>
              <w:left w:val="single" w:sz="2" w:space="0" w:color="0067AB"/>
              <w:right w:val="single" w:sz="2" w:space="0" w:color="0067AB"/>
            </w:tcBorders>
            <w:shd w:val="solid" w:color="0067AB" w:fill="0067AB"/>
          </w:tcPr>
          <w:p w14:paraId="0B7834A1" w14:textId="77777777" w:rsidR="000005F4" w:rsidRDefault="000005F4" w:rsidP="000005F4">
            <w:pPr>
              <w:pStyle w:val="TableHeadingWhite"/>
            </w:pPr>
            <w:r>
              <w:t>12</w:t>
            </w:r>
          </w:p>
        </w:tc>
        <w:tc>
          <w:tcPr>
            <w:tcW w:w="178" w:type="pct"/>
            <w:tcBorders>
              <w:top w:val="single" w:sz="2" w:space="0" w:color="FFFFFF" w:themeColor="background1"/>
              <w:left w:val="single" w:sz="2" w:space="0" w:color="0067AB"/>
              <w:right w:val="single" w:sz="2" w:space="0" w:color="0067AB"/>
            </w:tcBorders>
            <w:shd w:val="solid" w:color="0067AB" w:fill="0067AB"/>
          </w:tcPr>
          <w:p w14:paraId="1D87ABFA" w14:textId="77777777" w:rsidR="000005F4" w:rsidRDefault="000005F4" w:rsidP="000005F4">
            <w:pPr>
              <w:pStyle w:val="TableHeadingWhite"/>
            </w:pPr>
            <w:r>
              <w:t>13</w:t>
            </w:r>
          </w:p>
        </w:tc>
        <w:tc>
          <w:tcPr>
            <w:tcW w:w="178" w:type="pct"/>
            <w:tcBorders>
              <w:top w:val="single" w:sz="2" w:space="0" w:color="FFFFFF" w:themeColor="background1"/>
              <w:left w:val="single" w:sz="2" w:space="0" w:color="0067AB"/>
              <w:right w:val="single" w:sz="2" w:space="0" w:color="0067AB"/>
            </w:tcBorders>
            <w:shd w:val="solid" w:color="0067AB" w:fill="0067AB"/>
          </w:tcPr>
          <w:p w14:paraId="78DD6517" w14:textId="77777777" w:rsidR="000005F4" w:rsidRDefault="000005F4" w:rsidP="000005F4">
            <w:pPr>
              <w:pStyle w:val="TableHeadingWhite"/>
            </w:pPr>
            <w:r>
              <w:t>14</w:t>
            </w:r>
          </w:p>
        </w:tc>
        <w:tc>
          <w:tcPr>
            <w:tcW w:w="178" w:type="pct"/>
            <w:tcBorders>
              <w:top w:val="single" w:sz="2" w:space="0" w:color="FFFFFF" w:themeColor="background1"/>
              <w:left w:val="single" w:sz="2" w:space="0" w:color="0067AB"/>
              <w:right w:val="single" w:sz="2" w:space="0" w:color="0067AB"/>
            </w:tcBorders>
            <w:shd w:val="solid" w:color="0067AB" w:fill="0067AB"/>
          </w:tcPr>
          <w:p w14:paraId="607C2A4D" w14:textId="77777777" w:rsidR="000005F4" w:rsidRDefault="000005F4" w:rsidP="000005F4">
            <w:pPr>
              <w:pStyle w:val="TableHeadingWhite"/>
            </w:pPr>
            <w:r>
              <w:t>15</w:t>
            </w:r>
          </w:p>
        </w:tc>
        <w:tc>
          <w:tcPr>
            <w:tcW w:w="178" w:type="pct"/>
            <w:tcBorders>
              <w:top w:val="single" w:sz="2" w:space="0" w:color="FFFFFF" w:themeColor="background1"/>
              <w:left w:val="single" w:sz="2" w:space="0" w:color="0067AB"/>
              <w:right w:val="single" w:sz="2" w:space="0" w:color="0067AB"/>
            </w:tcBorders>
            <w:shd w:val="solid" w:color="0067AB" w:fill="0067AB"/>
          </w:tcPr>
          <w:p w14:paraId="166FAB0F" w14:textId="77777777" w:rsidR="000005F4" w:rsidRDefault="000005F4" w:rsidP="000005F4">
            <w:pPr>
              <w:pStyle w:val="TableHeadingWhite"/>
            </w:pPr>
            <w:r>
              <w:t>16</w:t>
            </w:r>
          </w:p>
        </w:tc>
        <w:tc>
          <w:tcPr>
            <w:tcW w:w="178" w:type="pct"/>
            <w:tcBorders>
              <w:top w:val="single" w:sz="2" w:space="0" w:color="FFFFFF" w:themeColor="background1"/>
              <w:left w:val="single" w:sz="2" w:space="0" w:color="0067AB"/>
              <w:right w:val="single" w:sz="2" w:space="0" w:color="0067AB"/>
            </w:tcBorders>
            <w:shd w:val="solid" w:color="0067AB" w:fill="0067AB"/>
          </w:tcPr>
          <w:p w14:paraId="5502252E" w14:textId="77777777" w:rsidR="000005F4" w:rsidRDefault="000005F4" w:rsidP="000005F4">
            <w:pPr>
              <w:pStyle w:val="TableHeadingWhite"/>
            </w:pPr>
            <w:r>
              <w:t>17</w:t>
            </w:r>
          </w:p>
        </w:tc>
        <w:tc>
          <w:tcPr>
            <w:tcW w:w="178" w:type="pct"/>
            <w:tcBorders>
              <w:top w:val="single" w:sz="2" w:space="0" w:color="FFFFFF" w:themeColor="background1"/>
              <w:left w:val="single" w:sz="2" w:space="0" w:color="0067AB"/>
              <w:right w:val="single" w:sz="2" w:space="0" w:color="0067AB"/>
            </w:tcBorders>
            <w:shd w:val="solid" w:color="0067AB" w:fill="0067AB"/>
          </w:tcPr>
          <w:p w14:paraId="4E594188" w14:textId="77777777" w:rsidR="000005F4" w:rsidRDefault="000005F4" w:rsidP="000005F4">
            <w:pPr>
              <w:pStyle w:val="TableHeadingWhite"/>
            </w:pPr>
            <w:r>
              <w:t>18</w:t>
            </w:r>
          </w:p>
        </w:tc>
        <w:tc>
          <w:tcPr>
            <w:tcW w:w="178" w:type="pct"/>
            <w:tcBorders>
              <w:top w:val="single" w:sz="2" w:space="0" w:color="FFFFFF" w:themeColor="background1"/>
              <w:left w:val="single" w:sz="2" w:space="0" w:color="0067AB"/>
              <w:right w:val="single" w:sz="2" w:space="0" w:color="0067AB"/>
            </w:tcBorders>
            <w:shd w:val="solid" w:color="0067AB" w:fill="0067AB"/>
          </w:tcPr>
          <w:p w14:paraId="5133E6DB" w14:textId="77777777" w:rsidR="000005F4" w:rsidRDefault="000005F4" w:rsidP="000005F4">
            <w:pPr>
              <w:pStyle w:val="TableHeadingWhite"/>
            </w:pPr>
            <w:r>
              <w:t>19</w:t>
            </w:r>
          </w:p>
        </w:tc>
        <w:tc>
          <w:tcPr>
            <w:tcW w:w="178" w:type="pct"/>
            <w:tcBorders>
              <w:top w:val="single" w:sz="2" w:space="0" w:color="FFFFFF" w:themeColor="background1"/>
              <w:left w:val="single" w:sz="2" w:space="0" w:color="0067AB"/>
              <w:right w:val="single" w:sz="2" w:space="0" w:color="0067AB"/>
            </w:tcBorders>
            <w:shd w:val="solid" w:color="0067AB" w:fill="0067AB"/>
          </w:tcPr>
          <w:p w14:paraId="4F2C4157" w14:textId="77777777" w:rsidR="000005F4" w:rsidRDefault="000005F4" w:rsidP="000005F4">
            <w:pPr>
              <w:pStyle w:val="TableHeadingWhite"/>
            </w:pPr>
            <w:r>
              <w:t>20</w:t>
            </w:r>
          </w:p>
        </w:tc>
        <w:tc>
          <w:tcPr>
            <w:tcW w:w="178" w:type="pct"/>
            <w:tcBorders>
              <w:top w:val="single" w:sz="2" w:space="0" w:color="FFFFFF" w:themeColor="background1"/>
              <w:left w:val="single" w:sz="2" w:space="0" w:color="0067AB"/>
              <w:right w:val="single" w:sz="2" w:space="0" w:color="0067AB"/>
            </w:tcBorders>
            <w:shd w:val="solid" w:color="0067AB" w:fill="0067AB"/>
          </w:tcPr>
          <w:p w14:paraId="6FD38204" w14:textId="77777777" w:rsidR="000005F4" w:rsidRDefault="000005F4" w:rsidP="000005F4">
            <w:pPr>
              <w:pStyle w:val="TableHeadingWhite"/>
            </w:pPr>
            <w:r>
              <w:t>21</w:t>
            </w:r>
          </w:p>
        </w:tc>
        <w:tc>
          <w:tcPr>
            <w:tcW w:w="178" w:type="pct"/>
            <w:tcBorders>
              <w:top w:val="single" w:sz="2" w:space="0" w:color="FFFFFF" w:themeColor="background1"/>
              <w:left w:val="single" w:sz="2" w:space="0" w:color="0067AB"/>
              <w:right w:val="single" w:sz="2" w:space="0" w:color="0067AB"/>
            </w:tcBorders>
            <w:shd w:val="solid" w:color="0067AB" w:fill="0067AB"/>
          </w:tcPr>
          <w:p w14:paraId="202FC45F" w14:textId="77777777" w:rsidR="000005F4" w:rsidRDefault="000005F4" w:rsidP="000005F4">
            <w:pPr>
              <w:pStyle w:val="TableHeadingWhite"/>
            </w:pPr>
            <w:r>
              <w:t>22</w:t>
            </w:r>
          </w:p>
        </w:tc>
        <w:tc>
          <w:tcPr>
            <w:tcW w:w="178" w:type="pct"/>
            <w:tcBorders>
              <w:top w:val="single" w:sz="2" w:space="0" w:color="FFFFFF" w:themeColor="background1"/>
              <w:left w:val="single" w:sz="2" w:space="0" w:color="0067AB"/>
              <w:right w:val="single" w:sz="2" w:space="0" w:color="0067AB"/>
            </w:tcBorders>
            <w:shd w:val="solid" w:color="0067AB" w:fill="0067AB"/>
          </w:tcPr>
          <w:p w14:paraId="638D4029" w14:textId="77777777" w:rsidR="000005F4" w:rsidRDefault="000005F4" w:rsidP="000005F4">
            <w:pPr>
              <w:pStyle w:val="TableHeadingWhite"/>
            </w:pPr>
            <w:r>
              <w:t>23</w:t>
            </w:r>
          </w:p>
        </w:tc>
        <w:tc>
          <w:tcPr>
            <w:tcW w:w="178" w:type="pct"/>
            <w:tcBorders>
              <w:top w:val="single" w:sz="2" w:space="0" w:color="FFFFFF" w:themeColor="background1"/>
              <w:left w:val="single" w:sz="2" w:space="0" w:color="0067AB"/>
              <w:right w:val="single" w:sz="2" w:space="0" w:color="0067AB"/>
            </w:tcBorders>
            <w:shd w:val="solid" w:color="0067AB" w:fill="0067AB"/>
          </w:tcPr>
          <w:p w14:paraId="3CE341F5" w14:textId="77777777" w:rsidR="000005F4" w:rsidRDefault="000005F4" w:rsidP="000005F4">
            <w:pPr>
              <w:pStyle w:val="TableHeadingWhite"/>
            </w:pPr>
            <w:r>
              <w:t>24</w:t>
            </w:r>
          </w:p>
        </w:tc>
        <w:tc>
          <w:tcPr>
            <w:tcW w:w="178" w:type="pct"/>
            <w:tcBorders>
              <w:top w:val="single" w:sz="2" w:space="0" w:color="FFFFFF" w:themeColor="background1"/>
              <w:left w:val="single" w:sz="2" w:space="0" w:color="0067AB"/>
            </w:tcBorders>
            <w:shd w:val="solid" w:color="0067AB" w:fill="0067AB"/>
          </w:tcPr>
          <w:p w14:paraId="75661E68" w14:textId="77777777" w:rsidR="000005F4" w:rsidRDefault="000005F4" w:rsidP="000005F4">
            <w:pPr>
              <w:pStyle w:val="TableHeadingWhite"/>
            </w:pPr>
            <w:r>
              <w:t>25</w:t>
            </w:r>
          </w:p>
        </w:tc>
      </w:tr>
      <w:tr w:rsidR="000005F4" w14:paraId="75D495BD" w14:textId="77777777" w:rsidTr="000005F4">
        <w:tc>
          <w:tcPr>
            <w:tcW w:w="553" w:type="pct"/>
            <w:shd w:val="clear" w:color="auto" w:fill="auto"/>
          </w:tcPr>
          <w:p w14:paraId="2265CDFE" w14:textId="77777777" w:rsidR="000005F4" w:rsidRPr="00B3321C" w:rsidRDefault="000005F4" w:rsidP="000005F4">
            <w:pPr>
              <w:pStyle w:val="TableTextNoSpace"/>
              <w:ind w:right="-358"/>
              <w:rPr>
                <w:sz w:val="16"/>
              </w:rPr>
            </w:pPr>
            <w:r w:rsidRPr="00B3321C">
              <w:rPr>
                <w:sz w:val="16"/>
              </w:rPr>
              <w:t>Article 3.1a</w:t>
            </w:r>
          </w:p>
        </w:tc>
        <w:tc>
          <w:tcPr>
            <w:tcW w:w="178" w:type="pct"/>
            <w:shd w:val="clear" w:color="auto" w:fill="auto"/>
          </w:tcPr>
          <w:p w14:paraId="369C570D" w14:textId="77777777" w:rsidR="000005F4" w:rsidRDefault="000005F4" w:rsidP="000005F4">
            <w:pPr>
              <w:pStyle w:val="TableTextNoSpace"/>
            </w:pPr>
          </w:p>
        </w:tc>
        <w:tc>
          <w:tcPr>
            <w:tcW w:w="178" w:type="pct"/>
            <w:shd w:val="clear" w:color="auto" w:fill="auto"/>
          </w:tcPr>
          <w:p w14:paraId="26C45608" w14:textId="77777777" w:rsidR="000005F4" w:rsidRDefault="000005F4" w:rsidP="000005F4">
            <w:pPr>
              <w:pStyle w:val="TableTextNoSpace"/>
            </w:pPr>
          </w:p>
        </w:tc>
        <w:tc>
          <w:tcPr>
            <w:tcW w:w="178" w:type="pct"/>
            <w:shd w:val="clear" w:color="auto" w:fill="auto"/>
          </w:tcPr>
          <w:p w14:paraId="55252F3F" w14:textId="77777777" w:rsidR="000005F4" w:rsidRDefault="000005F4" w:rsidP="000005F4">
            <w:pPr>
              <w:pStyle w:val="TableTextNoSpace"/>
            </w:pPr>
          </w:p>
        </w:tc>
        <w:tc>
          <w:tcPr>
            <w:tcW w:w="178" w:type="pct"/>
            <w:shd w:val="clear" w:color="auto" w:fill="auto"/>
          </w:tcPr>
          <w:p w14:paraId="0E926286" w14:textId="77777777" w:rsidR="000005F4" w:rsidRDefault="000005F4" w:rsidP="000005F4">
            <w:pPr>
              <w:pStyle w:val="TableTextNoSpace"/>
            </w:pPr>
          </w:p>
        </w:tc>
        <w:tc>
          <w:tcPr>
            <w:tcW w:w="178" w:type="pct"/>
            <w:shd w:val="clear" w:color="auto" w:fill="auto"/>
          </w:tcPr>
          <w:p w14:paraId="20DA71F8" w14:textId="77777777" w:rsidR="000005F4" w:rsidRDefault="000005F4" w:rsidP="000005F4">
            <w:pPr>
              <w:pStyle w:val="TableTextNoSpace"/>
            </w:pPr>
          </w:p>
        </w:tc>
        <w:tc>
          <w:tcPr>
            <w:tcW w:w="178" w:type="pct"/>
            <w:shd w:val="clear" w:color="auto" w:fill="auto"/>
          </w:tcPr>
          <w:p w14:paraId="7752EEEA" w14:textId="77777777" w:rsidR="000005F4" w:rsidRDefault="000005F4" w:rsidP="000005F4">
            <w:pPr>
              <w:pStyle w:val="TableTextNoSpace"/>
            </w:pPr>
          </w:p>
        </w:tc>
        <w:tc>
          <w:tcPr>
            <w:tcW w:w="178" w:type="pct"/>
            <w:shd w:val="clear" w:color="auto" w:fill="auto"/>
          </w:tcPr>
          <w:p w14:paraId="43A46D36" w14:textId="77777777" w:rsidR="000005F4" w:rsidRDefault="000005F4" w:rsidP="000005F4">
            <w:pPr>
              <w:pStyle w:val="TableTextNoSpace"/>
            </w:pPr>
          </w:p>
        </w:tc>
        <w:tc>
          <w:tcPr>
            <w:tcW w:w="178" w:type="pct"/>
            <w:shd w:val="clear" w:color="auto" w:fill="auto"/>
          </w:tcPr>
          <w:p w14:paraId="15FE812B" w14:textId="77777777" w:rsidR="000005F4" w:rsidRDefault="000005F4" w:rsidP="000005F4">
            <w:pPr>
              <w:pStyle w:val="TableTextNoSpace"/>
            </w:pPr>
          </w:p>
        </w:tc>
        <w:tc>
          <w:tcPr>
            <w:tcW w:w="178" w:type="pct"/>
            <w:shd w:val="clear" w:color="auto" w:fill="auto"/>
          </w:tcPr>
          <w:p w14:paraId="5FAE0C36" w14:textId="77777777" w:rsidR="000005F4" w:rsidRDefault="000005F4" w:rsidP="000005F4">
            <w:pPr>
              <w:pStyle w:val="TableTextNoSpace"/>
            </w:pPr>
            <w:r>
              <w:t>x</w:t>
            </w:r>
          </w:p>
        </w:tc>
        <w:tc>
          <w:tcPr>
            <w:tcW w:w="178" w:type="pct"/>
            <w:shd w:val="clear" w:color="auto" w:fill="auto"/>
          </w:tcPr>
          <w:p w14:paraId="3317594C" w14:textId="77777777" w:rsidR="000005F4" w:rsidRDefault="000005F4" w:rsidP="000005F4">
            <w:pPr>
              <w:pStyle w:val="TableTextNoSpace"/>
            </w:pPr>
          </w:p>
        </w:tc>
        <w:tc>
          <w:tcPr>
            <w:tcW w:w="178" w:type="pct"/>
            <w:shd w:val="clear" w:color="auto" w:fill="auto"/>
          </w:tcPr>
          <w:p w14:paraId="21C97EBF" w14:textId="77777777" w:rsidR="000005F4" w:rsidRDefault="000005F4" w:rsidP="000005F4">
            <w:pPr>
              <w:pStyle w:val="TableTextNoSpace"/>
            </w:pPr>
            <w:r>
              <w:t>x</w:t>
            </w:r>
          </w:p>
        </w:tc>
        <w:tc>
          <w:tcPr>
            <w:tcW w:w="178" w:type="pct"/>
            <w:shd w:val="clear" w:color="auto" w:fill="auto"/>
          </w:tcPr>
          <w:p w14:paraId="4A101976" w14:textId="77777777" w:rsidR="000005F4" w:rsidRDefault="000005F4" w:rsidP="000005F4">
            <w:pPr>
              <w:pStyle w:val="TableTextNoSpace"/>
            </w:pPr>
          </w:p>
        </w:tc>
        <w:tc>
          <w:tcPr>
            <w:tcW w:w="178" w:type="pct"/>
            <w:shd w:val="clear" w:color="auto" w:fill="auto"/>
          </w:tcPr>
          <w:p w14:paraId="66ADA6EC" w14:textId="77777777" w:rsidR="000005F4" w:rsidRDefault="000005F4" w:rsidP="000005F4">
            <w:pPr>
              <w:pStyle w:val="TableTextNoSpace"/>
            </w:pPr>
          </w:p>
        </w:tc>
        <w:tc>
          <w:tcPr>
            <w:tcW w:w="178" w:type="pct"/>
            <w:shd w:val="clear" w:color="auto" w:fill="auto"/>
          </w:tcPr>
          <w:p w14:paraId="2EE98A85" w14:textId="77777777" w:rsidR="000005F4" w:rsidRDefault="000005F4" w:rsidP="000005F4">
            <w:pPr>
              <w:pStyle w:val="TableTextNoSpace"/>
            </w:pPr>
          </w:p>
        </w:tc>
        <w:tc>
          <w:tcPr>
            <w:tcW w:w="178" w:type="pct"/>
            <w:shd w:val="clear" w:color="auto" w:fill="auto"/>
          </w:tcPr>
          <w:p w14:paraId="5073E18A" w14:textId="77777777" w:rsidR="000005F4" w:rsidRDefault="000005F4" w:rsidP="000005F4">
            <w:pPr>
              <w:pStyle w:val="TableTextNoSpace"/>
            </w:pPr>
          </w:p>
        </w:tc>
        <w:tc>
          <w:tcPr>
            <w:tcW w:w="178" w:type="pct"/>
            <w:shd w:val="clear" w:color="auto" w:fill="auto"/>
          </w:tcPr>
          <w:p w14:paraId="08A04114" w14:textId="77777777" w:rsidR="000005F4" w:rsidRDefault="000005F4" w:rsidP="000005F4">
            <w:pPr>
              <w:pStyle w:val="TableTextNoSpace"/>
            </w:pPr>
          </w:p>
        </w:tc>
        <w:tc>
          <w:tcPr>
            <w:tcW w:w="178" w:type="pct"/>
            <w:shd w:val="clear" w:color="auto" w:fill="auto"/>
          </w:tcPr>
          <w:p w14:paraId="06ED5CDC" w14:textId="77777777" w:rsidR="000005F4" w:rsidRDefault="000005F4" w:rsidP="000005F4">
            <w:pPr>
              <w:pStyle w:val="TableTextNoSpace"/>
            </w:pPr>
          </w:p>
        </w:tc>
        <w:tc>
          <w:tcPr>
            <w:tcW w:w="178" w:type="pct"/>
            <w:shd w:val="clear" w:color="auto" w:fill="auto"/>
          </w:tcPr>
          <w:p w14:paraId="5B100710" w14:textId="77777777" w:rsidR="000005F4" w:rsidRDefault="000005F4" w:rsidP="000005F4">
            <w:pPr>
              <w:pStyle w:val="TableTextNoSpace"/>
            </w:pPr>
          </w:p>
        </w:tc>
        <w:tc>
          <w:tcPr>
            <w:tcW w:w="178" w:type="pct"/>
          </w:tcPr>
          <w:p w14:paraId="10EBD1EC" w14:textId="77777777" w:rsidR="000005F4" w:rsidRDefault="000005F4" w:rsidP="000005F4">
            <w:pPr>
              <w:pStyle w:val="TableTextNoSpace"/>
            </w:pPr>
          </w:p>
        </w:tc>
        <w:tc>
          <w:tcPr>
            <w:tcW w:w="178" w:type="pct"/>
          </w:tcPr>
          <w:p w14:paraId="41E10DCC" w14:textId="77777777" w:rsidR="000005F4" w:rsidRDefault="000005F4" w:rsidP="000005F4">
            <w:pPr>
              <w:pStyle w:val="TableTextNoSpace"/>
            </w:pPr>
          </w:p>
        </w:tc>
        <w:tc>
          <w:tcPr>
            <w:tcW w:w="178" w:type="pct"/>
          </w:tcPr>
          <w:p w14:paraId="71DB1463" w14:textId="77777777" w:rsidR="000005F4" w:rsidRDefault="000005F4" w:rsidP="000005F4">
            <w:pPr>
              <w:pStyle w:val="TableTextNoSpace"/>
            </w:pPr>
            <w:r>
              <w:t>x</w:t>
            </w:r>
          </w:p>
        </w:tc>
        <w:tc>
          <w:tcPr>
            <w:tcW w:w="178" w:type="pct"/>
          </w:tcPr>
          <w:p w14:paraId="7CAA0C87" w14:textId="77777777" w:rsidR="000005F4" w:rsidRDefault="000005F4" w:rsidP="000005F4">
            <w:pPr>
              <w:pStyle w:val="TableTextNoSpace"/>
            </w:pPr>
            <w:r>
              <w:t>x</w:t>
            </w:r>
          </w:p>
        </w:tc>
        <w:tc>
          <w:tcPr>
            <w:tcW w:w="178" w:type="pct"/>
          </w:tcPr>
          <w:p w14:paraId="22AF8CE8" w14:textId="77777777" w:rsidR="000005F4" w:rsidRDefault="000005F4" w:rsidP="000005F4">
            <w:pPr>
              <w:pStyle w:val="TableTextNoSpace"/>
            </w:pPr>
          </w:p>
        </w:tc>
        <w:tc>
          <w:tcPr>
            <w:tcW w:w="178" w:type="pct"/>
          </w:tcPr>
          <w:p w14:paraId="43BD6F7B" w14:textId="77777777" w:rsidR="000005F4" w:rsidRDefault="000005F4" w:rsidP="000005F4">
            <w:pPr>
              <w:pStyle w:val="TableTextNoSpace"/>
            </w:pPr>
          </w:p>
        </w:tc>
        <w:tc>
          <w:tcPr>
            <w:tcW w:w="178" w:type="pct"/>
            <w:shd w:val="clear" w:color="auto" w:fill="auto"/>
          </w:tcPr>
          <w:p w14:paraId="556A9B4C" w14:textId="77777777" w:rsidR="000005F4" w:rsidRDefault="000005F4" w:rsidP="000005F4">
            <w:pPr>
              <w:pStyle w:val="TableTextNoSpace"/>
            </w:pPr>
          </w:p>
        </w:tc>
      </w:tr>
      <w:tr w:rsidR="000005F4" w14:paraId="6F7D7612" w14:textId="77777777" w:rsidTr="000005F4">
        <w:tc>
          <w:tcPr>
            <w:tcW w:w="553" w:type="pct"/>
            <w:shd w:val="clear" w:color="auto" w:fill="auto"/>
          </w:tcPr>
          <w:p w14:paraId="77815969" w14:textId="77777777" w:rsidR="000005F4" w:rsidRPr="00B3321C" w:rsidRDefault="000005F4" w:rsidP="000005F4">
            <w:pPr>
              <w:pStyle w:val="TableTextNoSpace"/>
              <w:rPr>
                <w:sz w:val="16"/>
              </w:rPr>
            </w:pPr>
            <w:r w:rsidRPr="00B3321C">
              <w:rPr>
                <w:sz w:val="16"/>
              </w:rPr>
              <w:t>Article 3.1b</w:t>
            </w:r>
          </w:p>
        </w:tc>
        <w:tc>
          <w:tcPr>
            <w:tcW w:w="178" w:type="pct"/>
            <w:shd w:val="clear" w:color="auto" w:fill="auto"/>
          </w:tcPr>
          <w:p w14:paraId="385004C2" w14:textId="77777777" w:rsidR="000005F4" w:rsidRDefault="000005F4" w:rsidP="000005F4">
            <w:pPr>
              <w:pStyle w:val="TableTextNoSpace"/>
            </w:pPr>
          </w:p>
        </w:tc>
        <w:tc>
          <w:tcPr>
            <w:tcW w:w="178" w:type="pct"/>
            <w:shd w:val="clear" w:color="auto" w:fill="auto"/>
          </w:tcPr>
          <w:p w14:paraId="70D36ACE" w14:textId="77777777" w:rsidR="000005F4" w:rsidRDefault="000005F4" w:rsidP="000005F4">
            <w:pPr>
              <w:pStyle w:val="TableTextNoSpace"/>
            </w:pPr>
          </w:p>
        </w:tc>
        <w:tc>
          <w:tcPr>
            <w:tcW w:w="178" w:type="pct"/>
            <w:shd w:val="clear" w:color="auto" w:fill="auto"/>
          </w:tcPr>
          <w:p w14:paraId="79B542FD" w14:textId="77777777" w:rsidR="000005F4" w:rsidRDefault="000005F4" w:rsidP="000005F4">
            <w:pPr>
              <w:pStyle w:val="TableTextNoSpace"/>
            </w:pPr>
          </w:p>
        </w:tc>
        <w:tc>
          <w:tcPr>
            <w:tcW w:w="178" w:type="pct"/>
            <w:shd w:val="clear" w:color="auto" w:fill="auto"/>
          </w:tcPr>
          <w:p w14:paraId="39D7E251" w14:textId="77777777" w:rsidR="000005F4" w:rsidRDefault="000005F4" w:rsidP="000005F4">
            <w:pPr>
              <w:pStyle w:val="TableTextNoSpace"/>
            </w:pPr>
          </w:p>
        </w:tc>
        <w:tc>
          <w:tcPr>
            <w:tcW w:w="178" w:type="pct"/>
            <w:shd w:val="clear" w:color="auto" w:fill="auto"/>
          </w:tcPr>
          <w:p w14:paraId="2A120163" w14:textId="77777777" w:rsidR="000005F4" w:rsidRDefault="000005F4" w:rsidP="000005F4">
            <w:pPr>
              <w:pStyle w:val="TableTextNoSpace"/>
            </w:pPr>
          </w:p>
        </w:tc>
        <w:tc>
          <w:tcPr>
            <w:tcW w:w="178" w:type="pct"/>
            <w:shd w:val="clear" w:color="auto" w:fill="auto"/>
          </w:tcPr>
          <w:p w14:paraId="0FCC0324" w14:textId="77777777" w:rsidR="000005F4" w:rsidRDefault="000005F4" w:rsidP="000005F4">
            <w:pPr>
              <w:pStyle w:val="TableTextNoSpace"/>
            </w:pPr>
          </w:p>
        </w:tc>
        <w:tc>
          <w:tcPr>
            <w:tcW w:w="178" w:type="pct"/>
            <w:shd w:val="clear" w:color="auto" w:fill="auto"/>
          </w:tcPr>
          <w:p w14:paraId="20A13D31" w14:textId="77777777" w:rsidR="000005F4" w:rsidRDefault="000005F4" w:rsidP="000005F4">
            <w:pPr>
              <w:pStyle w:val="TableTextNoSpace"/>
            </w:pPr>
          </w:p>
        </w:tc>
        <w:tc>
          <w:tcPr>
            <w:tcW w:w="178" w:type="pct"/>
            <w:shd w:val="clear" w:color="auto" w:fill="auto"/>
          </w:tcPr>
          <w:p w14:paraId="64B554B8" w14:textId="77777777" w:rsidR="000005F4" w:rsidRDefault="000005F4" w:rsidP="000005F4">
            <w:pPr>
              <w:pStyle w:val="TableTextNoSpace"/>
            </w:pPr>
          </w:p>
        </w:tc>
        <w:tc>
          <w:tcPr>
            <w:tcW w:w="178" w:type="pct"/>
            <w:shd w:val="clear" w:color="auto" w:fill="auto"/>
          </w:tcPr>
          <w:p w14:paraId="1B800178" w14:textId="77777777" w:rsidR="000005F4" w:rsidRDefault="000005F4" w:rsidP="000005F4">
            <w:pPr>
              <w:pStyle w:val="TableTextNoSpace"/>
            </w:pPr>
            <w:r>
              <w:t>x</w:t>
            </w:r>
          </w:p>
        </w:tc>
        <w:tc>
          <w:tcPr>
            <w:tcW w:w="178" w:type="pct"/>
            <w:shd w:val="clear" w:color="auto" w:fill="auto"/>
          </w:tcPr>
          <w:p w14:paraId="18C51E48" w14:textId="77777777" w:rsidR="000005F4" w:rsidRDefault="000005F4" w:rsidP="000005F4">
            <w:pPr>
              <w:pStyle w:val="TableTextNoSpace"/>
            </w:pPr>
          </w:p>
        </w:tc>
        <w:tc>
          <w:tcPr>
            <w:tcW w:w="178" w:type="pct"/>
            <w:shd w:val="clear" w:color="auto" w:fill="auto"/>
          </w:tcPr>
          <w:p w14:paraId="5D2760C9" w14:textId="77777777" w:rsidR="000005F4" w:rsidRDefault="000005F4" w:rsidP="000005F4">
            <w:pPr>
              <w:pStyle w:val="TableTextNoSpace"/>
            </w:pPr>
            <w:r>
              <w:t>x</w:t>
            </w:r>
          </w:p>
        </w:tc>
        <w:tc>
          <w:tcPr>
            <w:tcW w:w="178" w:type="pct"/>
            <w:shd w:val="clear" w:color="auto" w:fill="auto"/>
          </w:tcPr>
          <w:p w14:paraId="4AB8D470" w14:textId="77777777" w:rsidR="000005F4" w:rsidRDefault="000005F4" w:rsidP="000005F4">
            <w:pPr>
              <w:pStyle w:val="TableTextNoSpace"/>
            </w:pPr>
          </w:p>
        </w:tc>
        <w:tc>
          <w:tcPr>
            <w:tcW w:w="178" w:type="pct"/>
            <w:shd w:val="clear" w:color="auto" w:fill="auto"/>
          </w:tcPr>
          <w:p w14:paraId="2FBAA93A" w14:textId="77777777" w:rsidR="000005F4" w:rsidRDefault="000005F4" w:rsidP="000005F4">
            <w:pPr>
              <w:pStyle w:val="TableTextNoSpace"/>
            </w:pPr>
          </w:p>
        </w:tc>
        <w:tc>
          <w:tcPr>
            <w:tcW w:w="178" w:type="pct"/>
            <w:shd w:val="clear" w:color="auto" w:fill="auto"/>
          </w:tcPr>
          <w:p w14:paraId="26FAD610" w14:textId="77777777" w:rsidR="000005F4" w:rsidRDefault="000005F4" w:rsidP="000005F4">
            <w:pPr>
              <w:pStyle w:val="TableTextNoSpace"/>
            </w:pPr>
          </w:p>
        </w:tc>
        <w:tc>
          <w:tcPr>
            <w:tcW w:w="178" w:type="pct"/>
            <w:shd w:val="clear" w:color="auto" w:fill="auto"/>
          </w:tcPr>
          <w:p w14:paraId="7FF2DBEE" w14:textId="77777777" w:rsidR="000005F4" w:rsidRDefault="000005F4" w:rsidP="000005F4">
            <w:pPr>
              <w:pStyle w:val="TableTextNoSpace"/>
            </w:pPr>
          </w:p>
        </w:tc>
        <w:tc>
          <w:tcPr>
            <w:tcW w:w="178" w:type="pct"/>
            <w:shd w:val="clear" w:color="auto" w:fill="auto"/>
          </w:tcPr>
          <w:p w14:paraId="22EC3B8A" w14:textId="77777777" w:rsidR="000005F4" w:rsidRDefault="000005F4" w:rsidP="000005F4">
            <w:pPr>
              <w:pStyle w:val="TableTextNoSpace"/>
            </w:pPr>
          </w:p>
        </w:tc>
        <w:tc>
          <w:tcPr>
            <w:tcW w:w="178" w:type="pct"/>
            <w:shd w:val="clear" w:color="auto" w:fill="auto"/>
          </w:tcPr>
          <w:p w14:paraId="5BB4DD32" w14:textId="77777777" w:rsidR="000005F4" w:rsidRDefault="000005F4" w:rsidP="000005F4">
            <w:pPr>
              <w:pStyle w:val="TableTextNoSpace"/>
            </w:pPr>
          </w:p>
        </w:tc>
        <w:tc>
          <w:tcPr>
            <w:tcW w:w="178" w:type="pct"/>
            <w:shd w:val="clear" w:color="auto" w:fill="auto"/>
          </w:tcPr>
          <w:p w14:paraId="4496AC9E" w14:textId="77777777" w:rsidR="000005F4" w:rsidRDefault="000005F4" w:rsidP="000005F4">
            <w:pPr>
              <w:pStyle w:val="TableTextNoSpace"/>
            </w:pPr>
          </w:p>
        </w:tc>
        <w:tc>
          <w:tcPr>
            <w:tcW w:w="178" w:type="pct"/>
          </w:tcPr>
          <w:p w14:paraId="636900FD" w14:textId="77777777" w:rsidR="000005F4" w:rsidRDefault="000005F4" w:rsidP="000005F4">
            <w:pPr>
              <w:pStyle w:val="TableTextNoSpace"/>
            </w:pPr>
          </w:p>
        </w:tc>
        <w:tc>
          <w:tcPr>
            <w:tcW w:w="178" w:type="pct"/>
          </w:tcPr>
          <w:p w14:paraId="4E57D0B6" w14:textId="77777777" w:rsidR="000005F4" w:rsidRDefault="000005F4" w:rsidP="000005F4">
            <w:pPr>
              <w:pStyle w:val="TableTextNoSpace"/>
            </w:pPr>
          </w:p>
        </w:tc>
        <w:tc>
          <w:tcPr>
            <w:tcW w:w="178" w:type="pct"/>
          </w:tcPr>
          <w:p w14:paraId="19EEB80D" w14:textId="77777777" w:rsidR="000005F4" w:rsidRDefault="000005F4" w:rsidP="000005F4">
            <w:pPr>
              <w:pStyle w:val="TableTextNoSpace"/>
            </w:pPr>
            <w:r>
              <w:t>x</w:t>
            </w:r>
          </w:p>
        </w:tc>
        <w:tc>
          <w:tcPr>
            <w:tcW w:w="178" w:type="pct"/>
          </w:tcPr>
          <w:p w14:paraId="76178DB5" w14:textId="77777777" w:rsidR="000005F4" w:rsidRDefault="000005F4" w:rsidP="000005F4">
            <w:pPr>
              <w:pStyle w:val="TableTextNoSpace"/>
            </w:pPr>
            <w:r>
              <w:t>x</w:t>
            </w:r>
          </w:p>
        </w:tc>
        <w:tc>
          <w:tcPr>
            <w:tcW w:w="178" w:type="pct"/>
          </w:tcPr>
          <w:p w14:paraId="00A4416F" w14:textId="77777777" w:rsidR="000005F4" w:rsidRDefault="000005F4" w:rsidP="000005F4">
            <w:pPr>
              <w:pStyle w:val="TableTextNoSpace"/>
            </w:pPr>
          </w:p>
        </w:tc>
        <w:tc>
          <w:tcPr>
            <w:tcW w:w="178" w:type="pct"/>
          </w:tcPr>
          <w:p w14:paraId="386EE95C" w14:textId="77777777" w:rsidR="000005F4" w:rsidRDefault="000005F4" w:rsidP="000005F4">
            <w:pPr>
              <w:pStyle w:val="TableTextNoSpace"/>
            </w:pPr>
          </w:p>
        </w:tc>
        <w:tc>
          <w:tcPr>
            <w:tcW w:w="178" w:type="pct"/>
            <w:shd w:val="clear" w:color="auto" w:fill="auto"/>
          </w:tcPr>
          <w:p w14:paraId="11FB4472" w14:textId="77777777" w:rsidR="000005F4" w:rsidRDefault="000005F4" w:rsidP="000005F4">
            <w:pPr>
              <w:pStyle w:val="TableTextNoSpace"/>
            </w:pPr>
          </w:p>
        </w:tc>
      </w:tr>
      <w:tr w:rsidR="000005F4" w14:paraId="16C06534" w14:textId="77777777" w:rsidTr="000005F4">
        <w:tc>
          <w:tcPr>
            <w:tcW w:w="553" w:type="pct"/>
            <w:shd w:val="clear" w:color="auto" w:fill="EAF1DD" w:themeFill="accent3" w:themeFillTint="33"/>
          </w:tcPr>
          <w:p w14:paraId="3B277445" w14:textId="77777777" w:rsidR="000005F4" w:rsidRPr="00B3321C" w:rsidRDefault="000005F4" w:rsidP="000005F4">
            <w:pPr>
              <w:pStyle w:val="TableTextNoSpace"/>
              <w:rPr>
                <w:sz w:val="16"/>
              </w:rPr>
            </w:pPr>
            <w:r w:rsidRPr="00B3321C">
              <w:rPr>
                <w:sz w:val="16"/>
              </w:rPr>
              <w:t>Article 3.1c</w:t>
            </w:r>
          </w:p>
        </w:tc>
        <w:tc>
          <w:tcPr>
            <w:tcW w:w="178" w:type="pct"/>
            <w:shd w:val="clear" w:color="auto" w:fill="EAF1DD" w:themeFill="accent3" w:themeFillTint="33"/>
          </w:tcPr>
          <w:p w14:paraId="73A44BE9" w14:textId="77777777" w:rsidR="000005F4" w:rsidRDefault="000005F4" w:rsidP="000005F4">
            <w:pPr>
              <w:pStyle w:val="TableTextNoSpace"/>
            </w:pPr>
          </w:p>
        </w:tc>
        <w:tc>
          <w:tcPr>
            <w:tcW w:w="178" w:type="pct"/>
            <w:shd w:val="clear" w:color="auto" w:fill="EAF1DD" w:themeFill="accent3" w:themeFillTint="33"/>
          </w:tcPr>
          <w:p w14:paraId="0101297A" w14:textId="77777777" w:rsidR="000005F4" w:rsidRDefault="000005F4" w:rsidP="000005F4">
            <w:pPr>
              <w:pStyle w:val="TableTextNoSpace"/>
            </w:pPr>
          </w:p>
        </w:tc>
        <w:tc>
          <w:tcPr>
            <w:tcW w:w="178" w:type="pct"/>
            <w:shd w:val="clear" w:color="auto" w:fill="EAF1DD" w:themeFill="accent3" w:themeFillTint="33"/>
          </w:tcPr>
          <w:p w14:paraId="24A0DC4D" w14:textId="77777777" w:rsidR="000005F4" w:rsidRDefault="000005F4" w:rsidP="000005F4">
            <w:pPr>
              <w:pStyle w:val="TableTextNoSpace"/>
            </w:pPr>
          </w:p>
        </w:tc>
        <w:tc>
          <w:tcPr>
            <w:tcW w:w="178" w:type="pct"/>
            <w:shd w:val="clear" w:color="auto" w:fill="EAF1DD" w:themeFill="accent3" w:themeFillTint="33"/>
          </w:tcPr>
          <w:p w14:paraId="4A304B8B" w14:textId="77777777" w:rsidR="000005F4" w:rsidRDefault="000005F4" w:rsidP="000005F4">
            <w:pPr>
              <w:pStyle w:val="TableTextNoSpace"/>
            </w:pPr>
          </w:p>
        </w:tc>
        <w:tc>
          <w:tcPr>
            <w:tcW w:w="178" w:type="pct"/>
            <w:shd w:val="clear" w:color="auto" w:fill="EAF1DD" w:themeFill="accent3" w:themeFillTint="33"/>
          </w:tcPr>
          <w:p w14:paraId="39CEE31C" w14:textId="77777777" w:rsidR="000005F4" w:rsidRDefault="000005F4" w:rsidP="000005F4">
            <w:pPr>
              <w:pStyle w:val="TableTextNoSpace"/>
            </w:pPr>
          </w:p>
        </w:tc>
        <w:tc>
          <w:tcPr>
            <w:tcW w:w="178" w:type="pct"/>
            <w:shd w:val="clear" w:color="auto" w:fill="EAF1DD" w:themeFill="accent3" w:themeFillTint="33"/>
          </w:tcPr>
          <w:p w14:paraId="50EB6F9B" w14:textId="77777777" w:rsidR="000005F4" w:rsidRDefault="000005F4" w:rsidP="000005F4">
            <w:pPr>
              <w:pStyle w:val="TableTextNoSpace"/>
            </w:pPr>
          </w:p>
        </w:tc>
        <w:tc>
          <w:tcPr>
            <w:tcW w:w="178" w:type="pct"/>
            <w:shd w:val="clear" w:color="auto" w:fill="EAF1DD" w:themeFill="accent3" w:themeFillTint="33"/>
          </w:tcPr>
          <w:p w14:paraId="73255D41" w14:textId="77777777" w:rsidR="000005F4" w:rsidRDefault="000005F4" w:rsidP="000005F4">
            <w:pPr>
              <w:pStyle w:val="TableTextNoSpace"/>
            </w:pPr>
            <w:r>
              <w:t>x</w:t>
            </w:r>
          </w:p>
        </w:tc>
        <w:tc>
          <w:tcPr>
            <w:tcW w:w="178" w:type="pct"/>
            <w:shd w:val="clear" w:color="auto" w:fill="EAF1DD" w:themeFill="accent3" w:themeFillTint="33"/>
          </w:tcPr>
          <w:p w14:paraId="7B777F8B" w14:textId="77777777" w:rsidR="000005F4" w:rsidRDefault="000005F4" w:rsidP="000005F4">
            <w:pPr>
              <w:pStyle w:val="TableTextNoSpace"/>
            </w:pPr>
            <w:r>
              <w:t>x</w:t>
            </w:r>
          </w:p>
        </w:tc>
        <w:tc>
          <w:tcPr>
            <w:tcW w:w="178" w:type="pct"/>
            <w:shd w:val="clear" w:color="auto" w:fill="EAF1DD" w:themeFill="accent3" w:themeFillTint="33"/>
          </w:tcPr>
          <w:p w14:paraId="3264FE4B" w14:textId="77777777" w:rsidR="000005F4" w:rsidRDefault="000005F4" w:rsidP="000005F4">
            <w:pPr>
              <w:pStyle w:val="TableTextNoSpace"/>
            </w:pPr>
          </w:p>
        </w:tc>
        <w:tc>
          <w:tcPr>
            <w:tcW w:w="178" w:type="pct"/>
            <w:shd w:val="clear" w:color="auto" w:fill="EAF1DD" w:themeFill="accent3" w:themeFillTint="33"/>
          </w:tcPr>
          <w:p w14:paraId="677C5464" w14:textId="77777777" w:rsidR="000005F4" w:rsidRDefault="000005F4" w:rsidP="000005F4">
            <w:pPr>
              <w:pStyle w:val="TableTextNoSpace"/>
            </w:pPr>
          </w:p>
        </w:tc>
        <w:tc>
          <w:tcPr>
            <w:tcW w:w="178" w:type="pct"/>
            <w:shd w:val="clear" w:color="auto" w:fill="EAF1DD" w:themeFill="accent3" w:themeFillTint="33"/>
          </w:tcPr>
          <w:p w14:paraId="27BE75AB" w14:textId="77777777" w:rsidR="000005F4" w:rsidRDefault="000005F4" w:rsidP="000005F4">
            <w:pPr>
              <w:pStyle w:val="TableTextNoSpace"/>
            </w:pPr>
          </w:p>
        </w:tc>
        <w:tc>
          <w:tcPr>
            <w:tcW w:w="178" w:type="pct"/>
            <w:shd w:val="clear" w:color="auto" w:fill="EAF1DD" w:themeFill="accent3" w:themeFillTint="33"/>
          </w:tcPr>
          <w:p w14:paraId="50B4E5D4" w14:textId="77777777" w:rsidR="000005F4" w:rsidRDefault="000005F4" w:rsidP="000005F4">
            <w:pPr>
              <w:pStyle w:val="TableTextNoSpace"/>
            </w:pPr>
          </w:p>
        </w:tc>
        <w:tc>
          <w:tcPr>
            <w:tcW w:w="178" w:type="pct"/>
            <w:shd w:val="clear" w:color="auto" w:fill="EAF1DD" w:themeFill="accent3" w:themeFillTint="33"/>
          </w:tcPr>
          <w:p w14:paraId="46E1E582" w14:textId="77777777" w:rsidR="000005F4" w:rsidRDefault="000005F4" w:rsidP="000005F4">
            <w:pPr>
              <w:pStyle w:val="TableTextNoSpace"/>
            </w:pPr>
          </w:p>
        </w:tc>
        <w:tc>
          <w:tcPr>
            <w:tcW w:w="178" w:type="pct"/>
            <w:shd w:val="clear" w:color="auto" w:fill="EAF1DD" w:themeFill="accent3" w:themeFillTint="33"/>
          </w:tcPr>
          <w:p w14:paraId="632E90DA" w14:textId="77777777" w:rsidR="000005F4" w:rsidRDefault="000005F4" w:rsidP="000005F4">
            <w:pPr>
              <w:pStyle w:val="TableTextNoSpace"/>
            </w:pPr>
          </w:p>
        </w:tc>
        <w:tc>
          <w:tcPr>
            <w:tcW w:w="178" w:type="pct"/>
            <w:shd w:val="clear" w:color="auto" w:fill="EAF1DD" w:themeFill="accent3" w:themeFillTint="33"/>
          </w:tcPr>
          <w:p w14:paraId="0C77F93A" w14:textId="77777777" w:rsidR="000005F4" w:rsidRDefault="000005F4" w:rsidP="000005F4">
            <w:pPr>
              <w:pStyle w:val="TableTextNoSpace"/>
            </w:pPr>
            <w:r>
              <w:t>x</w:t>
            </w:r>
          </w:p>
        </w:tc>
        <w:tc>
          <w:tcPr>
            <w:tcW w:w="178" w:type="pct"/>
            <w:shd w:val="clear" w:color="auto" w:fill="EAF1DD" w:themeFill="accent3" w:themeFillTint="33"/>
          </w:tcPr>
          <w:p w14:paraId="71A0ED79" w14:textId="77777777" w:rsidR="000005F4" w:rsidRDefault="000005F4" w:rsidP="000005F4">
            <w:pPr>
              <w:pStyle w:val="TableTextNoSpace"/>
            </w:pPr>
          </w:p>
        </w:tc>
        <w:tc>
          <w:tcPr>
            <w:tcW w:w="178" w:type="pct"/>
            <w:shd w:val="clear" w:color="auto" w:fill="EAF1DD" w:themeFill="accent3" w:themeFillTint="33"/>
          </w:tcPr>
          <w:p w14:paraId="45C33F21" w14:textId="77777777" w:rsidR="000005F4" w:rsidRDefault="000005F4" w:rsidP="000005F4">
            <w:pPr>
              <w:pStyle w:val="TableTextNoSpace"/>
            </w:pPr>
          </w:p>
        </w:tc>
        <w:tc>
          <w:tcPr>
            <w:tcW w:w="178" w:type="pct"/>
            <w:shd w:val="clear" w:color="auto" w:fill="EAF1DD" w:themeFill="accent3" w:themeFillTint="33"/>
          </w:tcPr>
          <w:p w14:paraId="6E59BEB6" w14:textId="77777777" w:rsidR="000005F4" w:rsidRDefault="000005F4" w:rsidP="000005F4">
            <w:pPr>
              <w:pStyle w:val="TableTextNoSpace"/>
            </w:pPr>
          </w:p>
        </w:tc>
        <w:tc>
          <w:tcPr>
            <w:tcW w:w="178" w:type="pct"/>
            <w:shd w:val="clear" w:color="auto" w:fill="EAF1DD" w:themeFill="accent3" w:themeFillTint="33"/>
          </w:tcPr>
          <w:p w14:paraId="03F63146" w14:textId="77777777" w:rsidR="000005F4" w:rsidRDefault="000005F4" w:rsidP="000005F4">
            <w:pPr>
              <w:pStyle w:val="TableTextNoSpace"/>
            </w:pPr>
          </w:p>
        </w:tc>
        <w:tc>
          <w:tcPr>
            <w:tcW w:w="178" w:type="pct"/>
            <w:shd w:val="clear" w:color="auto" w:fill="EAF1DD" w:themeFill="accent3" w:themeFillTint="33"/>
          </w:tcPr>
          <w:p w14:paraId="16CD064D" w14:textId="77777777" w:rsidR="000005F4" w:rsidRDefault="000005F4" w:rsidP="000005F4">
            <w:pPr>
              <w:pStyle w:val="TableTextNoSpace"/>
            </w:pPr>
          </w:p>
        </w:tc>
        <w:tc>
          <w:tcPr>
            <w:tcW w:w="178" w:type="pct"/>
            <w:shd w:val="clear" w:color="auto" w:fill="EAF1DD" w:themeFill="accent3" w:themeFillTint="33"/>
          </w:tcPr>
          <w:p w14:paraId="52777078" w14:textId="77777777" w:rsidR="000005F4" w:rsidRDefault="000005F4" w:rsidP="000005F4">
            <w:pPr>
              <w:pStyle w:val="TableTextNoSpace"/>
            </w:pPr>
            <w:r>
              <w:t>x</w:t>
            </w:r>
          </w:p>
        </w:tc>
        <w:tc>
          <w:tcPr>
            <w:tcW w:w="178" w:type="pct"/>
            <w:shd w:val="clear" w:color="auto" w:fill="EAF1DD" w:themeFill="accent3" w:themeFillTint="33"/>
          </w:tcPr>
          <w:p w14:paraId="4B2283C9" w14:textId="77777777" w:rsidR="000005F4" w:rsidRDefault="000005F4" w:rsidP="000005F4">
            <w:pPr>
              <w:pStyle w:val="TableTextNoSpace"/>
            </w:pPr>
          </w:p>
        </w:tc>
        <w:tc>
          <w:tcPr>
            <w:tcW w:w="178" w:type="pct"/>
            <w:shd w:val="clear" w:color="auto" w:fill="EAF1DD" w:themeFill="accent3" w:themeFillTint="33"/>
          </w:tcPr>
          <w:p w14:paraId="062687D8" w14:textId="77777777" w:rsidR="000005F4" w:rsidRDefault="000005F4" w:rsidP="000005F4">
            <w:pPr>
              <w:pStyle w:val="TableTextNoSpace"/>
            </w:pPr>
          </w:p>
        </w:tc>
        <w:tc>
          <w:tcPr>
            <w:tcW w:w="178" w:type="pct"/>
            <w:shd w:val="clear" w:color="auto" w:fill="EAF1DD" w:themeFill="accent3" w:themeFillTint="33"/>
          </w:tcPr>
          <w:p w14:paraId="0F362A6F" w14:textId="77777777" w:rsidR="000005F4" w:rsidRDefault="000005F4" w:rsidP="000005F4">
            <w:pPr>
              <w:pStyle w:val="TableTextNoSpace"/>
            </w:pPr>
          </w:p>
        </w:tc>
        <w:tc>
          <w:tcPr>
            <w:tcW w:w="178" w:type="pct"/>
            <w:shd w:val="clear" w:color="auto" w:fill="EAF1DD" w:themeFill="accent3" w:themeFillTint="33"/>
          </w:tcPr>
          <w:p w14:paraId="2C06AA4F" w14:textId="77777777" w:rsidR="000005F4" w:rsidRDefault="000005F4" w:rsidP="000005F4">
            <w:pPr>
              <w:pStyle w:val="TableTextNoSpace"/>
            </w:pPr>
          </w:p>
        </w:tc>
      </w:tr>
      <w:tr w:rsidR="000005F4" w14:paraId="797329DB" w14:textId="77777777" w:rsidTr="000005F4">
        <w:tc>
          <w:tcPr>
            <w:tcW w:w="553" w:type="pct"/>
            <w:shd w:val="clear" w:color="auto" w:fill="EAF1DD" w:themeFill="accent3" w:themeFillTint="33"/>
          </w:tcPr>
          <w:p w14:paraId="6DF740D2" w14:textId="77777777" w:rsidR="000005F4" w:rsidRPr="00B3321C" w:rsidRDefault="000005F4" w:rsidP="000005F4">
            <w:pPr>
              <w:pStyle w:val="TableTextNoSpace"/>
              <w:rPr>
                <w:sz w:val="16"/>
              </w:rPr>
            </w:pPr>
            <w:r w:rsidRPr="00B3321C">
              <w:rPr>
                <w:sz w:val="16"/>
              </w:rPr>
              <w:t xml:space="preserve">Article 3.1d </w:t>
            </w:r>
          </w:p>
        </w:tc>
        <w:tc>
          <w:tcPr>
            <w:tcW w:w="178" w:type="pct"/>
            <w:shd w:val="clear" w:color="auto" w:fill="EAF1DD" w:themeFill="accent3" w:themeFillTint="33"/>
          </w:tcPr>
          <w:p w14:paraId="417EBCB0" w14:textId="77777777" w:rsidR="000005F4" w:rsidRDefault="000005F4" w:rsidP="000005F4">
            <w:pPr>
              <w:pStyle w:val="TableTextNoSpace"/>
            </w:pPr>
          </w:p>
        </w:tc>
        <w:tc>
          <w:tcPr>
            <w:tcW w:w="178" w:type="pct"/>
            <w:shd w:val="clear" w:color="auto" w:fill="EAF1DD" w:themeFill="accent3" w:themeFillTint="33"/>
          </w:tcPr>
          <w:p w14:paraId="36198447" w14:textId="77777777" w:rsidR="000005F4" w:rsidRDefault="000005F4" w:rsidP="000005F4">
            <w:pPr>
              <w:pStyle w:val="TableTextNoSpace"/>
            </w:pPr>
          </w:p>
        </w:tc>
        <w:tc>
          <w:tcPr>
            <w:tcW w:w="178" w:type="pct"/>
            <w:shd w:val="clear" w:color="auto" w:fill="EAF1DD" w:themeFill="accent3" w:themeFillTint="33"/>
          </w:tcPr>
          <w:p w14:paraId="0BF4778E" w14:textId="77777777" w:rsidR="000005F4" w:rsidRDefault="000005F4" w:rsidP="000005F4">
            <w:pPr>
              <w:pStyle w:val="TableTextNoSpace"/>
            </w:pPr>
          </w:p>
        </w:tc>
        <w:tc>
          <w:tcPr>
            <w:tcW w:w="178" w:type="pct"/>
            <w:shd w:val="clear" w:color="auto" w:fill="EAF1DD" w:themeFill="accent3" w:themeFillTint="33"/>
          </w:tcPr>
          <w:p w14:paraId="3C9B3B4F" w14:textId="77777777" w:rsidR="000005F4" w:rsidRDefault="000005F4" w:rsidP="000005F4">
            <w:pPr>
              <w:pStyle w:val="TableTextNoSpace"/>
            </w:pPr>
          </w:p>
        </w:tc>
        <w:tc>
          <w:tcPr>
            <w:tcW w:w="178" w:type="pct"/>
            <w:shd w:val="clear" w:color="auto" w:fill="EAF1DD" w:themeFill="accent3" w:themeFillTint="33"/>
          </w:tcPr>
          <w:p w14:paraId="2A3F0C6F" w14:textId="77777777" w:rsidR="000005F4" w:rsidRDefault="000005F4" w:rsidP="000005F4">
            <w:pPr>
              <w:pStyle w:val="TableTextNoSpace"/>
            </w:pPr>
          </w:p>
        </w:tc>
        <w:tc>
          <w:tcPr>
            <w:tcW w:w="178" w:type="pct"/>
            <w:shd w:val="clear" w:color="auto" w:fill="EAF1DD" w:themeFill="accent3" w:themeFillTint="33"/>
          </w:tcPr>
          <w:p w14:paraId="4FCCC3C8" w14:textId="77777777" w:rsidR="000005F4" w:rsidRDefault="000005F4" w:rsidP="000005F4">
            <w:pPr>
              <w:pStyle w:val="TableTextNoSpace"/>
            </w:pPr>
          </w:p>
        </w:tc>
        <w:tc>
          <w:tcPr>
            <w:tcW w:w="178" w:type="pct"/>
            <w:shd w:val="clear" w:color="auto" w:fill="EAF1DD" w:themeFill="accent3" w:themeFillTint="33"/>
          </w:tcPr>
          <w:p w14:paraId="7D7FB81A" w14:textId="77777777" w:rsidR="000005F4" w:rsidRDefault="000005F4" w:rsidP="000005F4">
            <w:pPr>
              <w:pStyle w:val="TableTextNoSpace"/>
            </w:pPr>
          </w:p>
        </w:tc>
        <w:tc>
          <w:tcPr>
            <w:tcW w:w="178" w:type="pct"/>
            <w:shd w:val="clear" w:color="auto" w:fill="EAF1DD" w:themeFill="accent3" w:themeFillTint="33"/>
          </w:tcPr>
          <w:p w14:paraId="27C6C598" w14:textId="77777777" w:rsidR="000005F4" w:rsidRDefault="000005F4" w:rsidP="000005F4">
            <w:pPr>
              <w:pStyle w:val="TableTextNoSpace"/>
            </w:pPr>
            <w:r>
              <w:t>x</w:t>
            </w:r>
          </w:p>
        </w:tc>
        <w:tc>
          <w:tcPr>
            <w:tcW w:w="178" w:type="pct"/>
            <w:shd w:val="clear" w:color="auto" w:fill="EAF1DD" w:themeFill="accent3" w:themeFillTint="33"/>
          </w:tcPr>
          <w:p w14:paraId="0F970D59" w14:textId="77777777" w:rsidR="000005F4" w:rsidRDefault="000005F4" w:rsidP="000005F4">
            <w:pPr>
              <w:pStyle w:val="TableTextNoSpace"/>
            </w:pPr>
            <w:r>
              <w:t>x</w:t>
            </w:r>
          </w:p>
        </w:tc>
        <w:tc>
          <w:tcPr>
            <w:tcW w:w="178" w:type="pct"/>
            <w:shd w:val="clear" w:color="auto" w:fill="EAF1DD" w:themeFill="accent3" w:themeFillTint="33"/>
          </w:tcPr>
          <w:p w14:paraId="30E7BA7E" w14:textId="77777777" w:rsidR="000005F4" w:rsidRDefault="000005F4" w:rsidP="000005F4">
            <w:pPr>
              <w:pStyle w:val="TableTextNoSpace"/>
            </w:pPr>
          </w:p>
        </w:tc>
        <w:tc>
          <w:tcPr>
            <w:tcW w:w="178" w:type="pct"/>
            <w:shd w:val="clear" w:color="auto" w:fill="EAF1DD" w:themeFill="accent3" w:themeFillTint="33"/>
          </w:tcPr>
          <w:p w14:paraId="44EA3F3A" w14:textId="77777777" w:rsidR="000005F4" w:rsidRDefault="000005F4" w:rsidP="000005F4">
            <w:pPr>
              <w:pStyle w:val="TableTextNoSpace"/>
            </w:pPr>
          </w:p>
        </w:tc>
        <w:tc>
          <w:tcPr>
            <w:tcW w:w="178" w:type="pct"/>
            <w:shd w:val="clear" w:color="auto" w:fill="EAF1DD" w:themeFill="accent3" w:themeFillTint="33"/>
          </w:tcPr>
          <w:p w14:paraId="69886A89" w14:textId="77777777" w:rsidR="000005F4" w:rsidRDefault="000005F4" w:rsidP="000005F4">
            <w:pPr>
              <w:pStyle w:val="TableTextNoSpace"/>
            </w:pPr>
          </w:p>
        </w:tc>
        <w:tc>
          <w:tcPr>
            <w:tcW w:w="178" w:type="pct"/>
            <w:shd w:val="clear" w:color="auto" w:fill="EAF1DD" w:themeFill="accent3" w:themeFillTint="33"/>
          </w:tcPr>
          <w:p w14:paraId="316BFB23" w14:textId="77777777" w:rsidR="000005F4" w:rsidRDefault="000005F4" w:rsidP="000005F4">
            <w:pPr>
              <w:pStyle w:val="TableTextNoSpace"/>
            </w:pPr>
          </w:p>
        </w:tc>
        <w:tc>
          <w:tcPr>
            <w:tcW w:w="178" w:type="pct"/>
            <w:shd w:val="clear" w:color="auto" w:fill="EAF1DD" w:themeFill="accent3" w:themeFillTint="33"/>
          </w:tcPr>
          <w:p w14:paraId="168E40BD" w14:textId="77777777" w:rsidR="000005F4" w:rsidRDefault="000005F4" w:rsidP="000005F4">
            <w:pPr>
              <w:pStyle w:val="TableTextNoSpace"/>
            </w:pPr>
          </w:p>
        </w:tc>
        <w:tc>
          <w:tcPr>
            <w:tcW w:w="178" w:type="pct"/>
            <w:shd w:val="clear" w:color="auto" w:fill="EAF1DD" w:themeFill="accent3" w:themeFillTint="33"/>
          </w:tcPr>
          <w:p w14:paraId="6A565006" w14:textId="77777777" w:rsidR="000005F4" w:rsidRDefault="000005F4" w:rsidP="000005F4">
            <w:pPr>
              <w:pStyle w:val="TableTextNoSpace"/>
            </w:pPr>
          </w:p>
        </w:tc>
        <w:tc>
          <w:tcPr>
            <w:tcW w:w="178" w:type="pct"/>
            <w:shd w:val="clear" w:color="auto" w:fill="EAF1DD" w:themeFill="accent3" w:themeFillTint="33"/>
          </w:tcPr>
          <w:p w14:paraId="0C48ED52" w14:textId="77777777" w:rsidR="000005F4" w:rsidRDefault="000005F4" w:rsidP="000005F4">
            <w:pPr>
              <w:pStyle w:val="TableTextNoSpace"/>
            </w:pPr>
          </w:p>
        </w:tc>
        <w:tc>
          <w:tcPr>
            <w:tcW w:w="178" w:type="pct"/>
            <w:shd w:val="clear" w:color="auto" w:fill="EAF1DD" w:themeFill="accent3" w:themeFillTint="33"/>
          </w:tcPr>
          <w:p w14:paraId="64C50EEB" w14:textId="77777777" w:rsidR="000005F4" w:rsidRDefault="000005F4" w:rsidP="000005F4">
            <w:pPr>
              <w:pStyle w:val="TableTextNoSpace"/>
            </w:pPr>
          </w:p>
        </w:tc>
        <w:tc>
          <w:tcPr>
            <w:tcW w:w="178" w:type="pct"/>
            <w:shd w:val="clear" w:color="auto" w:fill="EAF1DD" w:themeFill="accent3" w:themeFillTint="33"/>
          </w:tcPr>
          <w:p w14:paraId="76DA4D0C" w14:textId="77777777" w:rsidR="000005F4" w:rsidRDefault="000005F4" w:rsidP="000005F4">
            <w:pPr>
              <w:pStyle w:val="TableTextNoSpace"/>
            </w:pPr>
          </w:p>
        </w:tc>
        <w:tc>
          <w:tcPr>
            <w:tcW w:w="178" w:type="pct"/>
            <w:shd w:val="clear" w:color="auto" w:fill="EAF1DD" w:themeFill="accent3" w:themeFillTint="33"/>
          </w:tcPr>
          <w:p w14:paraId="2FCAB2FB" w14:textId="77777777" w:rsidR="000005F4" w:rsidRDefault="000005F4" w:rsidP="000005F4">
            <w:pPr>
              <w:pStyle w:val="TableTextNoSpace"/>
            </w:pPr>
          </w:p>
        </w:tc>
        <w:tc>
          <w:tcPr>
            <w:tcW w:w="178" w:type="pct"/>
            <w:shd w:val="clear" w:color="auto" w:fill="EAF1DD" w:themeFill="accent3" w:themeFillTint="33"/>
          </w:tcPr>
          <w:p w14:paraId="0E411723" w14:textId="77777777" w:rsidR="000005F4" w:rsidRDefault="000005F4" w:rsidP="000005F4">
            <w:pPr>
              <w:pStyle w:val="TableTextNoSpace"/>
            </w:pPr>
          </w:p>
        </w:tc>
        <w:tc>
          <w:tcPr>
            <w:tcW w:w="178" w:type="pct"/>
            <w:shd w:val="clear" w:color="auto" w:fill="EAF1DD" w:themeFill="accent3" w:themeFillTint="33"/>
          </w:tcPr>
          <w:p w14:paraId="722145EB" w14:textId="77777777" w:rsidR="000005F4" w:rsidRDefault="000005F4" w:rsidP="000005F4">
            <w:pPr>
              <w:pStyle w:val="TableTextNoSpace"/>
            </w:pPr>
            <w:r>
              <w:t>x</w:t>
            </w:r>
          </w:p>
        </w:tc>
        <w:tc>
          <w:tcPr>
            <w:tcW w:w="178" w:type="pct"/>
            <w:shd w:val="clear" w:color="auto" w:fill="EAF1DD" w:themeFill="accent3" w:themeFillTint="33"/>
          </w:tcPr>
          <w:p w14:paraId="01844F05" w14:textId="77777777" w:rsidR="000005F4" w:rsidRDefault="000005F4" w:rsidP="000005F4">
            <w:pPr>
              <w:pStyle w:val="TableTextNoSpace"/>
            </w:pPr>
          </w:p>
        </w:tc>
        <w:tc>
          <w:tcPr>
            <w:tcW w:w="178" w:type="pct"/>
            <w:shd w:val="clear" w:color="auto" w:fill="EAF1DD" w:themeFill="accent3" w:themeFillTint="33"/>
          </w:tcPr>
          <w:p w14:paraId="4BD83607" w14:textId="77777777" w:rsidR="000005F4" w:rsidRDefault="000005F4" w:rsidP="000005F4">
            <w:pPr>
              <w:pStyle w:val="TableTextNoSpace"/>
            </w:pPr>
          </w:p>
        </w:tc>
        <w:tc>
          <w:tcPr>
            <w:tcW w:w="178" w:type="pct"/>
            <w:shd w:val="clear" w:color="auto" w:fill="EAF1DD" w:themeFill="accent3" w:themeFillTint="33"/>
          </w:tcPr>
          <w:p w14:paraId="409D81C3" w14:textId="77777777" w:rsidR="000005F4" w:rsidRDefault="000005F4" w:rsidP="000005F4">
            <w:pPr>
              <w:pStyle w:val="TableTextNoSpace"/>
            </w:pPr>
          </w:p>
        </w:tc>
        <w:tc>
          <w:tcPr>
            <w:tcW w:w="178" w:type="pct"/>
            <w:shd w:val="clear" w:color="auto" w:fill="EAF1DD" w:themeFill="accent3" w:themeFillTint="33"/>
          </w:tcPr>
          <w:p w14:paraId="7587E543" w14:textId="77777777" w:rsidR="000005F4" w:rsidRDefault="000005F4" w:rsidP="000005F4">
            <w:pPr>
              <w:pStyle w:val="TableTextNoSpace"/>
            </w:pPr>
          </w:p>
        </w:tc>
      </w:tr>
      <w:tr w:rsidR="000005F4" w14:paraId="2F2E0056" w14:textId="77777777" w:rsidTr="000005F4">
        <w:tc>
          <w:tcPr>
            <w:tcW w:w="553" w:type="pct"/>
            <w:shd w:val="clear" w:color="auto" w:fill="EAF1DD" w:themeFill="accent3" w:themeFillTint="33"/>
          </w:tcPr>
          <w:p w14:paraId="5219B3C3" w14:textId="77777777" w:rsidR="000005F4" w:rsidRPr="00B3321C" w:rsidRDefault="000005F4" w:rsidP="000005F4">
            <w:pPr>
              <w:pStyle w:val="TableTextNoSpace"/>
              <w:rPr>
                <w:sz w:val="16"/>
              </w:rPr>
            </w:pPr>
            <w:r w:rsidRPr="00B3321C">
              <w:rPr>
                <w:sz w:val="16"/>
              </w:rPr>
              <w:t xml:space="preserve">Article 3.2a </w:t>
            </w:r>
          </w:p>
        </w:tc>
        <w:tc>
          <w:tcPr>
            <w:tcW w:w="178" w:type="pct"/>
            <w:shd w:val="clear" w:color="auto" w:fill="EAF1DD" w:themeFill="accent3" w:themeFillTint="33"/>
          </w:tcPr>
          <w:p w14:paraId="3F122DC3" w14:textId="77777777" w:rsidR="000005F4" w:rsidRDefault="000005F4" w:rsidP="000005F4">
            <w:pPr>
              <w:pStyle w:val="TableTextNoSpace"/>
            </w:pPr>
          </w:p>
        </w:tc>
        <w:tc>
          <w:tcPr>
            <w:tcW w:w="178" w:type="pct"/>
            <w:shd w:val="clear" w:color="auto" w:fill="EAF1DD" w:themeFill="accent3" w:themeFillTint="33"/>
          </w:tcPr>
          <w:p w14:paraId="37725739" w14:textId="77777777" w:rsidR="000005F4" w:rsidRDefault="000005F4" w:rsidP="000005F4">
            <w:pPr>
              <w:pStyle w:val="TableTextNoSpace"/>
            </w:pPr>
            <w:r>
              <w:t>x</w:t>
            </w:r>
          </w:p>
        </w:tc>
        <w:tc>
          <w:tcPr>
            <w:tcW w:w="178" w:type="pct"/>
            <w:shd w:val="clear" w:color="auto" w:fill="EAF1DD" w:themeFill="accent3" w:themeFillTint="33"/>
          </w:tcPr>
          <w:p w14:paraId="38890731" w14:textId="77777777" w:rsidR="000005F4" w:rsidRDefault="000005F4" w:rsidP="000005F4">
            <w:pPr>
              <w:pStyle w:val="TableTextNoSpace"/>
            </w:pPr>
          </w:p>
        </w:tc>
        <w:tc>
          <w:tcPr>
            <w:tcW w:w="178" w:type="pct"/>
            <w:shd w:val="clear" w:color="auto" w:fill="EAF1DD" w:themeFill="accent3" w:themeFillTint="33"/>
          </w:tcPr>
          <w:p w14:paraId="7BE5A256" w14:textId="77777777" w:rsidR="000005F4" w:rsidRDefault="000005F4" w:rsidP="000005F4">
            <w:pPr>
              <w:pStyle w:val="TableTextNoSpace"/>
            </w:pPr>
          </w:p>
        </w:tc>
        <w:tc>
          <w:tcPr>
            <w:tcW w:w="178" w:type="pct"/>
            <w:shd w:val="clear" w:color="auto" w:fill="EAF1DD" w:themeFill="accent3" w:themeFillTint="33"/>
          </w:tcPr>
          <w:p w14:paraId="3391BEA5" w14:textId="77777777" w:rsidR="000005F4" w:rsidRDefault="000005F4" w:rsidP="000005F4">
            <w:pPr>
              <w:pStyle w:val="TableTextNoSpace"/>
            </w:pPr>
          </w:p>
        </w:tc>
        <w:tc>
          <w:tcPr>
            <w:tcW w:w="178" w:type="pct"/>
            <w:shd w:val="clear" w:color="auto" w:fill="EAF1DD" w:themeFill="accent3" w:themeFillTint="33"/>
          </w:tcPr>
          <w:p w14:paraId="794B8E17" w14:textId="77777777" w:rsidR="000005F4" w:rsidRDefault="000005F4" w:rsidP="000005F4">
            <w:pPr>
              <w:pStyle w:val="TableTextNoSpace"/>
            </w:pPr>
          </w:p>
        </w:tc>
        <w:tc>
          <w:tcPr>
            <w:tcW w:w="178" w:type="pct"/>
            <w:shd w:val="clear" w:color="auto" w:fill="EAF1DD" w:themeFill="accent3" w:themeFillTint="33"/>
          </w:tcPr>
          <w:p w14:paraId="6296F380" w14:textId="77777777" w:rsidR="000005F4" w:rsidRDefault="000005F4" w:rsidP="000005F4">
            <w:pPr>
              <w:pStyle w:val="TableTextNoSpace"/>
            </w:pPr>
          </w:p>
        </w:tc>
        <w:tc>
          <w:tcPr>
            <w:tcW w:w="178" w:type="pct"/>
            <w:shd w:val="clear" w:color="auto" w:fill="EAF1DD" w:themeFill="accent3" w:themeFillTint="33"/>
          </w:tcPr>
          <w:p w14:paraId="54086C1C" w14:textId="77777777" w:rsidR="000005F4" w:rsidRDefault="000005F4" w:rsidP="000005F4">
            <w:pPr>
              <w:pStyle w:val="TableTextNoSpace"/>
            </w:pPr>
            <w:r>
              <w:t>x</w:t>
            </w:r>
          </w:p>
        </w:tc>
        <w:tc>
          <w:tcPr>
            <w:tcW w:w="178" w:type="pct"/>
            <w:shd w:val="clear" w:color="auto" w:fill="EAF1DD" w:themeFill="accent3" w:themeFillTint="33"/>
          </w:tcPr>
          <w:p w14:paraId="62285C9D" w14:textId="77777777" w:rsidR="000005F4" w:rsidRDefault="000005F4" w:rsidP="000005F4">
            <w:pPr>
              <w:pStyle w:val="TableTextNoSpace"/>
            </w:pPr>
          </w:p>
        </w:tc>
        <w:tc>
          <w:tcPr>
            <w:tcW w:w="178" w:type="pct"/>
            <w:shd w:val="clear" w:color="auto" w:fill="EAF1DD" w:themeFill="accent3" w:themeFillTint="33"/>
          </w:tcPr>
          <w:p w14:paraId="4175E933" w14:textId="77777777" w:rsidR="000005F4" w:rsidRDefault="000005F4" w:rsidP="000005F4">
            <w:pPr>
              <w:pStyle w:val="TableTextNoSpace"/>
            </w:pPr>
            <w:r>
              <w:t>x</w:t>
            </w:r>
          </w:p>
        </w:tc>
        <w:tc>
          <w:tcPr>
            <w:tcW w:w="178" w:type="pct"/>
            <w:shd w:val="clear" w:color="auto" w:fill="EAF1DD" w:themeFill="accent3" w:themeFillTint="33"/>
          </w:tcPr>
          <w:p w14:paraId="63800E29" w14:textId="77777777" w:rsidR="000005F4" w:rsidRDefault="000005F4" w:rsidP="000005F4">
            <w:pPr>
              <w:pStyle w:val="TableTextNoSpace"/>
            </w:pPr>
            <w:r>
              <w:t>x</w:t>
            </w:r>
          </w:p>
        </w:tc>
        <w:tc>
          <w:tcPr>
            <w:tcW w:w="178" w:type="pct"/>
            <w:shd w:val="clear" w:color="auto" w:fill="EAF1DD" w:themeFill="accent3" w:themeFillTint="33"/>
          </w:tcPr>
          <w:p w14:paraId="42AC236B" w14:textId="77777777" w:rsidR="000005F4" w:rsidRDefault="000005F4" w:rsidP="000005F4">
            <w:pPr>
              <w:pStyle w:val="TableTextNoSpace"/>
            </w:pPr>
          </w:p>
        </w:tc>
        <w:tc>
          <w:tcPr>
            <w:tcW w:w="178" w:type="pct"/>
            <w:shd w:val="clear" w:color="auto" w:fill="EAF1DD" w:themeFill="accent3" w:themeFillTint="33"/>
          </w:tcPr>
          <w:p w14:paraId="60D7A89F" w14:textId="77777777" w:rsidR="000005F4" w:rsidRDefault="000005F4" w:rsidP="000005F4">
            <w:pPr>
              <w:pStyle w:val="TableTextNoSpace"/>
            </w:pPr>
          </w:p>
        </w:tc>
        <w:tc>
          <w:tcPr>
            <w:tcW w:w="178" w:type="pct"/>
            <w:shd w:val="clear" w:color="auto" w:fill="EAF1DD" w:themeFill="accent3" w:themeFillTint="33"/>
          </w:tcPr>
          <w:p w14:paraId="4C6CB30E" w14:textId="77777777" w:rsidR="000005F4" w:rsidRDefault="000005F4" w:rsidP="000005F4">
            <w:pPr>
              <w:pStyle w:val="TableTextNoSpace"/>
            </w:pPr>
          </w:p>
        </w:tc>
        <w:tc>
          <w:tcPr>
            <w:tcW w:w="178" w:type="pct"/>
            <w:shd w:val="clear" w:color="auto" w:fill="EAF1DD" w:themeFill="accent3" w:themeFillTint="33"/>
          </w:tcPr>
          <w:p w14:paraId="011DEB05" w14:textId="77777777" w:rsidR="000005F4" w:rsidRDefault="000005F4" w:rsidP="000005F4">
            <w:pPr>
              <w:pStyle w:val="TableTextNoSpace"/>
            </w:pPr>
            <w:r>
              <w:t>x</w:t>
            </w:r>
          </w:p>
        </w:tc>
        <w:tc>
          <w:tcPr>
            <w:tcW w:w="178" w:type="pct"/>
            <w:shd w:val="clear" w:color="auto" w:fill="EAF1DD" w:themeFill="accent3" w:themeFillTint="33"/>
          </w:tcPr>
          <w:p w14:paraId="73CDC481" w14:textId="77777777" w:rsidR="000005F4" w:rsidRDefault="000005F4" w:rsidP="000005F4">
            <w:pPr>
              <w:pStyle w:val="TableTextNoSpace"/>
            </w:pPr>
          </w:p>
        </w:tc>
        <w:tc>
          <w:tcPr>
            <w:tcW w:w="178" w:type="pct"/>
            <w:shd w:val="clear" w:color="auto" w:fill="EAF1DD" w:themeFill="accent3" w:themeFillTint="33"/>
          </w:tcPr>
          <w:p w14:paraId="37F870B7" w14:textId="77777777" w:rsidR="000005F4" w:rsidRDefault="000005F4" w:rsidP="000005F4">
            <w:pPr>
              <w:pStyle w:val="TableTextNoSpace"/>
            </w:pPr>
          </w:p>
        </w:tc>
        <w:tc>
          <w:tcPr>
            <w:tcW w:w="178" w:type="pct"/>
            <w:shd w:val="clear" w:color="auto" w:fill="EAF1DD" w:themeFill="accent3" w:themeFillTint="33"/>
          </w:tcPr>
          <w:p w14:paraId="5108F86B" w14:textId="77777777" w:rsidR="000005F4" w:rsidRDefault="000005F4" w:rsidP="000005F4">
            <w:pPr>
              <w:pStyle w:val="TableTextNoSpace"/>
            </w:pPr>
          </w:p>
        </w:tc>
        <w:tc>
          <w:tcPr>
            <w:tcW w:w="178" w:type="pct"/>
            <w:shd w:val="clear" w:color="auto" w:fill="EAF1DD" w:themeFill="accent3" w:themeFillTint="33"/>
          </w:tcPr>
          <w:p w14:paraId="602EF5D7" w14:textId="77777777" w:rsidR="000005F4" w:rsidRDefault="000005F4" w:rsidP="000005F4">
            <w:pPr>
              <w:pStyle w:val="TableTextNoSpace"/>
            </w:pPr>
          </w:p>
        </w:tc>
        <w:tc>
          <w:tcPr>
            <w:tcW w:w="178" w:type="pct"/>
            <w:shd w:val="clear" w:color="auto" w:fill="EAF1DD" w:themeFill="accent3" w:themeFillTint="33"/>
          </w:tcPr>
          <w:p w14:paraId="049A1233" w14:textId="77777777" w:rsidR="000005F4" w:rsidRDefault="000005F4" w:rsidP="000005F4">
            <w:pPr>
              <w:pStyle w:val="TableTextNoSpace"/>
            </w:pPr>
            <w:r>
              <w:t>x</w:t>
            </w:r>
          </w:p>
        </w:tc>
        <w:tc>
          <w:tcPr>
            <w:tcW w:w="178" w:type="pct"/>
            <w:shd w:val="clear" w:color="auto" w:fill="EAF1DD" w:themeFill="accent3" w:themeFillTint="33"/>
          </w:tcPr>
          <w:p w14:paraId="25B8E0E2" w14:textId="77777777" w:rsidR="000005F4" w:rsidRDefault="000005F4" w:rsidP="000005F4">
            <w:pPr>
              <w:pStyle w:val="TableTextNoSpace"/>
            </w:pPr>
            <w:r>
              <w:t>x</w:t>
            </w:r>
          </w:p>
        </w:tc>
        <w:tc>
          <w:tcPr>
            <w:tcW w:w="178" w:type="pct"/>
            <w:shd w:val="clear" w:color="auto" w:fill="EAF1DD" w:themeFill="accent3" w:themeFillTint="33"/>
          </w:tcPr>
          <w:p w14:paraId="4097F3FA" w14:textId="77777777" w:rsidR="000005F4" w:rsidRDefault="000005F4" w:rsidP="000005F4">
            <w:pPr>
              <w:pStyle w:val="TableTextNoSpace"/>
            </w:pPr>
          </w:p>
        </w:tc>
        <w:tc>
          <w:tcPr>
            <w:tcW w:w="178" w:type="pct"/>
            <w:shd w:val="clear" w:color="auto" w:fill="EAF1DD" w:themeFill="accent3" w:themeFillTint="33"/>
          </w:tcPr>
          <w:p w14:paraId="2077884D" w14:textId="77777777" w:rsidR="000005F4" w:rsidRDefault="000005F4" w:rsidP="000005F4">
            <w:pPr>
              <w:pStyle w:val="TableTextNoSpace"/>
            </w:pPr>
          </w:p>
        </w:tc>
        <w:tc>
          <w:tcPr>
            <w:tcW w:w="178" w:type="pct"/>
            <w:shd w:val="clear" w:color="auto" w:fill="EAF1DD" w:themeFill="accent3" w:themeFillTint="33"/>
          </w:tcPr>
          <w:p w14:paraId="24B4BA95" w14:textId="77777777" w:rsidR="000005F4" w:rsidRDefault="000005F4" w:rsidP="000005F4">
            <w:pPr>
              <w:pStyle w:val="TableTextNoSpace"/>
            </w:pPr>
          </w:p>
        </w:tc>
        <w:tc>
          <w:tcPr>
            <w:tcW w:w="178" w:type="pct"/>
            <w:shd w:val="clear" w:color="auto" w:fill="EAF1DD" w:themeFill="accent3" w:themeFillTint="33"/>
          </w:tcPr>
          <w:p w14:paraId="446699FB" w14:textId="77777777" w:rsidR="000005F4" w:rsidRDefault="000005F4" w:rsidP="000005F4">
            <w:pPr>
              <w:pStyle w:val="TableTextNoSpace"/>
            </w:pPr>
          </w:p>
        </w:tc>
      </w:tr>
      <w:tr w:rsidR="000005F4" w14:paraId="5AAF27FE" w14:textId="77777777" w:rsidTr="000005F4">
        <w:tc>
          <w:tcPr>
            <w:tcW w:w="553" w:type="pct"/>
            <w:shd w:val="clear" w:color="auto" w:fill="auto"/>
          </w:tcPr>
          <w:p w14:paraId="12CFA808" w14:textId="77777777" w:rsidR="000005F4" w:rsidRPr="00B3321C" w:rsidRDefault="000005F4" w:rsidP="000005F4">
            <w:pPr>
              <w:pStyle w:val="TableTextNoSpace"/>
              <w:rPr>
                <w:sz w:val="16"/>
              </w:rPr>
            </w:pPr>
            <w:r w:rsidRPr="00B3321C">
              <w:rPr>
                <w:sz w:val="16"/>
              </w:rPr>
              <w:t>Article 3.2b</w:t>
            </w:r>
          </w:p>
        </w:tc>
        <w:tc>
          <w:tcPr>
            <w:tcW w:w="178" w:type="pct"/>
            <w:shd w:val="clear" w:color="auto" w:fill="auto"/>
          </w:tcPr>
          <w:p w14:paraId="436DE4A4" w14:textId="77777777" w:rsidR="000005F4" w:rsidRDefault="000005F4" w:rsidP="000005F4">
            <w:pPr>
              <w:pStyle w:val="TableTextNoSpace"/>
            </w:pPr>
          </w:p>
        </w:tc>
        <w:tc>
          <w:tcPr>
            <w:tcW w:w="178" w:type="pct"/>
            <w:shd w:val="clear" w:color="auto" w:fill="auto"/>
          </w:tcPr>
          <w:p w14:paraId="69E94815" w14:textId="77777777" w:rsidR="000005F4" w:rsidRDefault="000005F4" w:rsidP="000005F4">
            <w:pPr>
              <w:pStyle w:val="TableTextNoSpace"/>
            </w:pPr>
          </w:p>
        </w:tc>
        <w:tc>
          <w:tcPr>
            <w:tcW w:w="178" w:type="pct"/>
            <w:shd w:val="clear" w:color="auto" w:fill="auto"/>
          </w:tcPr>
          <w:p w14:paraId="357F4C09" w14:textId="77777777" w:rsidR="000005F4" w:rsidRDefault="000005F4" w:rsidP="000005F4">
            <w:pPr>
              <w:pStyle w:val="TableTextNoSpace"/>
            </w:pPr>
          </w:p>
        </w:tc>
        <w:tc>
          <w:tcPr>
            <w:tcW w:w="178" w:type="pct"/>
            <w:shd w:val="clear" w:color="auto" w:fill="auto"/>
          </w:tcPr>
          <w:p w14:paraId="6F94B927" w14:textId="77777777" w:rsidR="000005F4" w:rsidRDefault="000005F4" w:rsidP="000005F4">
            <w:pPr>
              <w:pStyle w:val="TableTextNoSpace"/>
            </w:pPr>
          </w:p>
        </w:tc>
        <w:tc>
          <w:tcPr>
            <w:tcW w:w="178" w:type="pct"/>
            <w:shd w:val="clear" w:color="auto" w:fill="auto"/>
          </w:tcPr>
          <w:p w14:paraId="378FFCBD" w14:textId="77777777" w:rsidR="000005F4" w:rsidRDefault="000005F4" w:rsidP="000005F4">
            <w:pPr>
              <w:pStyle w:val="TableTextNoSpace"/>
            </w:pPr>
          </w:p>
        </w:tc>
        <w:tc>
          <w:tcPr>
            <w:tcW w:w="178" w:type="pct"/>
            <w:shd w:val="clear" w:color="auto" w:fill="auto"/>
          </w:tcPr>
          <w:p w14:paraId="29DFA3F8" w14:textId="77777777" w:rsidR="000005F4" w:rsidRDefault="000005F4" w:rsidP="000005F4">
            <w:pPr>
              <w:pStyle w:val="TableTextNoSpace"/>
            </w:pPr>
          </w:p>
        </w:tc>
        <w:tc>
          <w:tcPr>
            <w:tcW w:w="178" w:type="pct"/>
            <w:shd w:val="clear" w:color="auto" w:fill="auto"/>
          </w:tcPr>
          <w:p w14:paraId="03A23B9C" w14:textId="77777777" w:rsidR="000005F4" w:rsidRDefault="000005F4" w:rsidP="000005F4">
            <w:pPr>
              <w:pStyle w:val="TableTextNoSpace"/>
            </w:pPr>
          </w:p>
        </w:tc>
        <w:tc>
          <w:tcPr>
            <w:tcW w:w="178" w:type="pct"/>
            <w:shd w:val="clear" w:color="auto" w:fill="auto"/>
          </w:tcPr>
          <w:p w14:paraId="01D59356" w14:textId="77777777" w:rsidR="000005F4" w:rsidRDefault="000005F4" w:rsidP="000005F4">
            <w:pPr>
              <w:pStyle w:val="TableTextNoSpace"/>
            </w:pPr>
          </w:p>
        </w:tc>
        <w:tc>
          <w:tcPr>
            <w:tcW w:w="178" w:type="pct"/>
            <w:shd w:val="clear" w:color="auto" w:fill="auto"/>
          </w:tcPr>
          <w:p w14:paraId="7981FE8A" w14:textId="77777777" w:rsidR="000005F4" w:rsidRDefault="000005F4" w:rsidP="000005F4">
            <w:pPr>
              <w:pStyle w:val="TableTextNoSpace"/>
            </w:pPr>
          </w:p>
        </w:tc>
        <w:tc>
          <w:tcPr>
            <w:tcW w:w="178" w:type="pct"/>
            <w:shd w:val="clear" w:color="auto" w:fill="auto"/>
          </w:tcPr>
          <w:p w14:paraId="0B0EEC19" w14:textId="77777777" w:rsidR="000005F4" w:rsidRDefault="000005F4" w:rsidP="000005F4">
            <w:pPr>
              <w:pStyle w:val="TableTextNoSpace"/>
            </w:pPr>
          </w:p>
        </w:tc>
        <w:tc>
          <w:tcPr>
            <w:tcW w:w="178" w:type="pct"/>
            <w:shd w:val="clear" w:color="auto" w:fill="auto"/>
          </w:tcPr>
          <w:p w14:paraId="56843E24" w14:textId="77777777" w:rsidR="000005F4" w:rsidRDefault="000005F4" w:rsidP="000005F4">
            <w:pPr>
              <w:pStyle w:val="TableTextNoSpace"/>
            </w:pPr>
          </w:p>
        </w:tc>
        <w:tc>
          <w:tcPr>
            <w:tcW w:w="178" w:type="pct"/>
            <w:shd w:val="clear" w:color="auto" w:fill="auto"/>
          </w:tcPr>
          <w:p w14:paraId="2A50DAB9" w14:textId="77777777" w:rsidR="000005F4" w:rsidRDefault="000005F4" w:rsidP="000005F4">
            <w:pPr>
              <w:pStyle w:val="TableTextNoSpace"/>
            </w:pPr>
          </w:p>
        </w:tc>
        <w:tc>
          <w:tcPr>
            <w:tcW w:w="178" w:type="pct"/>
            <w:shd w:val="clear" w:color="auto" w:fill="auto"/>
          </w:tcPr>
          <w:p w14:paraId="7AE3B768" w14:textId="77777777" w:rsidR="000005F4" w:rsidRDefault="000005F4" w:rsidP="000005F4">
            <w:pPr>
              <w:pStyle w:val="TableTextNoSpace"/>
            </w:pPr>
          </w:p>
        </w:tc>
        <w:tc>
          <w:tcPr>
            <w:tcW w:w="178" w:type="pct"/>
            <w:shd w:val="clear" w:color="auto" w:fill="auto"/>
          </w:tcPr>
          <w:p w14:paraId="0D000692" w14:textId="77777777" w:rsidR="000005F4" w:rsidRDefault="000005F4" w:rsidP="000005F4">
            <w:pPr>
              <w:pStyle w:val="TableTextNoSpace"/>
            </w:pPr>
          </w:p>
        </w:tc>
        <w:tc>
          <w:tcPr>
            <w:tcW w:w="178" w:type="pct"/>
            <w:shd w:val="clear" w:color="auto" w:fill="auto"/>
          </w:tcPr>
          <w:p w14:paraId="5508D732" w14:textId="77777777" w:rsidR="000005F4" w:rsidRDefault="000005F4" w:rsidP="000005F4">
            <w:pPr>
              <w:pStyle w:val="TableTextNoSpace"/>
            </w:pPr>
          </w:p>
        </w:tc>
        <w:tc>
          <w:tcPr>
            <w:tcW w:w="178" w:type="pct"/>
            <w:shd w:val="clear" w:color="auto" w:fill="auto"/>
          </w:tcPr>
          <w:p w14:paraId="4F346FEE" w14:textId="77777777" w:rsidR="000005F4" w:rsidRDefault="000005F4" w:rsidP="000005F4">
            <w:pPr>
              <w:pStyle w:val="TableTextNoSpace"/>
            </w:pPr>
          </w:p>
        </w:tc>
        <w:tc>
          <w:tcPr>
            <w:tcW w:w="178" w:type="pct"/>
            <w:shd w:val="clear" w:color="auto" w:fill="auto"/>
          </w:tcPr>
          <w:p w14:paraId="29B6E457" w14:textId="77777777" w:rsidR="000005F4" w:rsidRDefault="000005F4" w:rsidP="000005F4">
            <w:pPr>
              <w:pStyle w:val="TableTextNoSpace"/>
            </w:pPr>
          </w:p>
        </w:tc>
        <w:tc>
          <w:tcPr>
            <w:tcW w:w="178" w:type="pct"/>
            <w:shd w:val="clear" w:color="auto" w:fill="auto"/>
          </w:tcPr>
          <w:p w14:paraId="6862A024" w14:textId="77777777" w:rsidR="000005F4" w:rsidRDefault="000005F4" w:rsidP="000005F4">
            <w:pPr>
              <w:pStyle w:val="TableTextNoSpace"/>
            </w:pPr>
          </w:p>
        </w:tc>
        <w:tc>
          <w:tcPr>
            <w:tcW w:w="178" w:type="pct"/>
          </w:tcPr>
          <w:p w14:paraId="2AA66A4F" w14:textId="77777777" w:rsidR="000005F4" w:rsidRDefault="000005F4" w:rsidP="000005F4">
            <w:pPr>
              <w:pStyle w:val="TableTextNoSpace"/>
            </w:pPr>
          </w:p>
        </w:tc>
        <w:tc>
          <w:tcPr>
            <w:tcW w:w="178" w:type="pct"/>
          </w:tcPr>
          <w:p w14:paraId="4D491B63" w14:textId="77777777" w:rsidR="000005F4" w:rsidRDefault="000005F4" w:rsidP="000005F4">
            <w:pPr>
              <w:pStyle w:val="TableTextNoSpace"/>
            </w:pPr>
            <w:r>
              <w:t>x</w:t>
            </w:r>
          </w:p>
        </w:tc>
        <w:tc>
          <w:tcPr>
            <w:tcW w:w="178" w:type="pct"/>
          </w:tcPr>
          <w:p w14:paraId="08AC71C5" w14:textId="77777777" w:rsidR="000005F4" w:rsidRDefault="000005F4" w:rsidP="000005F4">
            <w:pPr>
              <w:pStyle w:val="TableTextNoSpace"/>
            </w:pPr>
            <w:r>
              <w:t>x</w:t>
            </w:r>
          </w:p>
        </w:tc>
        <w:tc>
          <w:tcPr>
            <w:tcW w:w="178" w:type="pct"/>
          </w:tcPr>
          <w:p w14:paraId="5A954D02" w14:textId="77777777" w:rsidR="000005F4" w:rsidRDefault="000005F4" w:rsidP="000005F4">
            <w:pPr>
              <w:pStyle w:val="TableTextNoSpace"/>
            </w:pPr>
          </w:p>
        </w:tc>
        <w:tc>
          <w:tcPr>
            <w:tcW w:w="178" w:type="pct"/>
          </w:tcPr>
          <w:p w14:paraId="2CB839A4" w14:textId="77777777" w:rsidR="000005F4" w:rsidRDefault="000005F4" w:rsidP="000005F4">
            <w:pPr>
              <w:pStyle w:val="TableTextNoSpace"/>
            </w:pPr>
          </w:p>
        </w:tc>
        <w:tc>
          <w:tcPr>
            <w:tcW w:w="178" w:type="pct"/>
          </w:tcPr>
          <w:p w14:paraId="32882258" w14:textId="77777777" w:rsidR="000005F4" w:rsidRDefault="000005F4" w:rsidP="000005F4">
            <w:pPr>
              <w:pStyle w:val="TableTextNoSpace"/>
            </w:pPr>
          </w:p>
        </w:tc>
        <w:tc>
          <w:tcPr>
            <w:tcW w:w="178" w:type="pct"/>
            <w:shd w:val="clear" w:color="auto" w:fill="auto"/>
          </w:tcPr>
          <w:p w14:paraId="2B9A54AD" w14:textId="77777777" w:rsidR="000005F4" w:rsidRDefault="000005F4" w:rsidP="000005F4">
            <w:pPr>
              <w:pStyle w:val="TableTextNoSpace"/>
            </w:pPr>
          </w:p>
        </w:tc>
      </w:tr>
      <w:tr w:rsidR="000005F4" w14:paraId="3DBB00F3" w14:textId="77777777" w:rsidTr="000005F4">
        <w:tc>
          <w:tcPr>
            <w:tcW w:w="553" w:type="pct"/>
            <w:shd w:val="clear" w:color="auto" w:fill="auto"/>
          </w:tcPr>
          <w:p w14:paraId="0C9E2F7E" w14:textId="77777777" w:rsidR="000005F4" w:rsidRPr="00B3321C" w:rsidRDefault="000005F4" w:rsidP="000005F4">
            <w:pPr>
              <w:pStyle w:val="TableTextNoSpace"/>
              <w:rPr>
                <w:sz w:val="16"/>
              </w:rPr>
            </w:pPr>
            <w:r w:rsidRPr="00B3321C">
              <w:rPr>
                <w:sz w:val="16"/>
              </w:rPr>
              <w:t>Article 3.2c</w:t>
            </w:r>
          </w:p>
        </w:tc>
        <w:tc>
          <w:tcPr>
            <w:tcW w:w="178" w:type="pct"/>
            <w:shd w:val="clear" w:color="auto" w:fill="auto"/>
          </w:tcPr>
          <w:p w14:paraId="2B909DB0" w14:textId="77777777" w:rsidR="000005F4" w:rsidRDefault="000005F4" w:rsidP="000005F4">
            <w:pPr>
              <w:pStyle w:val="TableTextNoSpace"/>
            </w:pPr>
          </w:p>
        </w:tc>
        <w:tc>
          <w:tcPr>
            <w:tcW w:w="178" w:type="pct"/>
            <w:shd w:val="clear" w:color="auto" w:fill="auto"/>
          </w:tcPr>
          <w:p w14:paraId="65FE2328" w14:textId="77777777" w:rsidR="000005F4" w:rsidRDefault="000005F4" w:rsidP="000005F4">
            <w:pPr>
              <w:pStyle w:val="TableTextNoSpace"/>
            </w:pPr>
            <w:r>
              <w:t>x</w:t>
            </w:r>
          </w:p>
        </w:tc>
        <w:tc>
          <w:tcPr>
            <w:tcW w:w="178" w:type="pct"/>
            <w:shd w:val="clear" w:color="auto" w:fill="auto"/>
          </w:tcPr>
          <w:p w14:paraId="6197948A" w14:textId="77777777" w:rsidR="000005F4" w:rsidRDefault="000005F4" w:rsidP="000005F4">
            <w:pPr>
              <w:pStyle w:val="TableTextNoSpace"/>
            </w:pPr>
          </w:p>
        </w:tc>
        <w:tc>
          <w:tcPr>
            <w:tcW w:w="178" w:type="pct"/>
            <w:shd w:val="clear" w:color="auto" w:fill="auto"/>
          </w:tcPr>
          <w:p w14:paraId="0F2A5843" w14:textId="77777777" w:rsidR="000005F4" w:rsidRDefault="000005F4" w:rsidP="000005F4">
            <w:pPr>
              <w:pStyle w:val="TableTextNoSpace"/>
            </w:pPr>
            <w:r>
              <w:t>x</w:t>
            </w:r>
          </w:p>
        </w:tc>
        <w:tc>
          <w:tcPr>
            <w:tcW w:w="178" w:type="pct"/>
            <w:shd w:val="clear" w:color="auto" w:fill="auto"/>
          </w:tcPr>
          <w:p w14:paraId="6688CBEB" w14:textId="77777777" w:rsidR="000005F4" w:rsidRDefault="000005F4" w:rsidP="000005F4">
            <w:pPr>
              <w:pStyle w:val="TableTextNoSpace"/>
            </w:pPr>
            <w:r>
              <w:t>x</w:t>
            </w:r>
          </w:p>
        </w:tc>
        <w:tc>
          <w:tcPr>
            <w:tcW w:w="178" w:type="pct"/>
            <w:shd w:val="clear" w:color="auto" w:fill="auto"/>
          </w:tcPr>
          <w:p w14:paraId="2903DE73" w14:textId="77777777" w:rsidR="000005F4" w:rsidRDefault="000005F4" w:rsidP="000005F4">
            <w:pPr>
              <w:pStyle w:val="TableTextNoSpace"/>
            </w:pPr>
          </w:p>
        </w:tc>
        <w:tc>
          <w:tcPr>
            <w:tcW w:w="178" w:type="pct"/>
            <w:shd w:val="clear" w:color="auto" w:fill="auto"/>
          </w:tcPr>
          <w:p w14:paraId="1479A0B8" w14:textId="77777777" w:rsidR="000005F4" w:rsidRDefault="000005F4" w:rsidP="000005F4">
            <w:pPr>
              <w:pStyle w:val="TableTextNoSpace"/>
            </w:pPr>
          </w:p>
        </w:tc>
        <w:tc>
          <w:tcPr>
            <w:tcW w:w="178" w:type="pct"/>
            <w:shd w:val="clear" w:color="auto" w:fill="auto"/>
          </w:tcPr>
          <w:p w14:paraId="19177C80" w14:textId="77777777" w:rsidR="000005F4" w:rsidRDefault="000005F4" w:rsidP="000005F4">
            <w:pPr>
              <w:pStyle w:val="TableTextNoSpace"/>
            </w:pPr>
            <w:r>
              <w:t>x</w:t>
            </w:r>
          </w:p>
        </w:tc>
        <w:tc>
          <w:tcPr>
            <w:tcW w:w="178" w:type="pct"/>
            <w:shd w:val="clear" w:color="auto" w:fill="auto"/>
          </w:tcPr>
          <w:p w14:paraId="3510032E" w14:textId="77777777" w:rsidR="000005F4" w:rsidRDefault="000005F4" w:rsidP="000005F4">
            <w:pPr>
              <w:pStyle w:val="TableTextNoSpace"/>
            </w:pPr>
          </w:p>
        </w:tc>
        <w:tc>
          <w:tcPr>
            <w:tcW w:w="178" w:type="pct"/>
            <w:shd w:val="clear" w:color="auto" w:fill="auto"/>
          </w:tcPr>
          <w:p w14:paraId="4256DCE5" w14:textId="77777777" w:rsidR="000005F4" w:rsidRDefault="000005F4" w:rsidP="000005F4">
            <w:pPr>
              <w:pStyle w:val="TableTextNoSpace"/>
            </w:pPr>
          </w:p>
        </w:tc>
        <w:tc>
          <w:tcPr>
            <w:tcW w:w="178" w:type="pct"/>
            <w:shd w:val="clear" w:color="auto" w:fill="auto"/>
          </w:tcPr>
          <w:p w14:paraId="19650739" w14:textId="77777777" w:rsidR="000005F4" w:rsidRDefault="000005F4" w:rsidP="000005F4">
            <w:pPr>
              <w:pStyle w:val="TableTextNoSpace"/>
            </w:pPr>
            <w:r>
              <w:t>x</w:t>
            </w:r>
          </w:p>
        </w:tc>
        <w:tc>
          <w:tcPr>
            <w:tcW w:w="178" w:type="pct"/>
            <w:shd w:val="clear" w:color="auto" w:fill="auto"/>
          </w:tcPr>
          <w:p w14:paraId="53D2DADD" w14:textId="77777777" w:rsidR="000005F4" w:rsidRDefault="000005F4" w:rsidP="000005F4">
            <w:pPr>
              <w:pStyle w:val="TableTextNoSpace"/>
            </w:pPr>
          </w:p>
        </w:tc>
        <w:tc>
          <w:tcPr>
            <w:tcW w:w="178" w:type="pct"/>
            <w:shd w:val="clear" w:color="auto" w:fill="auto"/>
          </w:tcPr>
          <w:p w14:paraId="5B234339" w14:textId="77777777" w:rsidR="000005F4" w:rsidRDefault="000005F4" w:rsidP="000005F4">
            <w:pPr>
              <w:pStyle w:val="TableTextNoSpace"/>
            </w:pPr>
          </w:p>
        </w:tc>
        <w:tc>
          <w:tcPr>
            <w:tcW w:w="178" w:type="pct"/>
            <w:shd w:val="clear" w:color="auto" w:fill="auto"/>
          </w:tcPr>
          <w:p w14:paraId="72D6D3F8" w14:textId="77777777" w:rsidR="000005F4" w:rsidRDefault="000005F4" w:rsidP="000005F4">
            <w:pPr>
              <w:pStyle w:val="TableTextNoSpace"/>
            </w:pPr>
          </w:p>
        </w:tc>
        <w:tc>
          <w:tcPr>
            <w:tcW w:w="178" w:type="pct"/>
            <w:shd w:val="clear" w:color="auto" w:fill="auto"/>
          </w:tcPr>
          <w:p w14:paraId="368ED15F" w14:textId="77777777" w:rsidR="000005F4" w:rsidRDefault="000005F4" w:rsidP="000005F4">
            <w:pPr>
              <w:pStyle w:val="TableTextNoSpace"/>
            </w:pPr>
          </w:p>
        </w:tc>
        <w:tc>
          <w:tcPr>
            <w:tcW w:w="178" w:type="pct"/>
            <w:shd w:val="clear" w:color="auto" w:fill="auto"/>
          </w:tcPr>
          <w:p w14:paraId="20030227" w14:textId="77777777" w:rsidR="000005F4" w:rsidRDefault="000005F4" w:rsidP="000005F4">
            <w:pPr>
              <w:pStyle w:val="TableTextNoSpace"/>
            </w:pPr>
          </w:p>
        </w:tc>
        <w:tc>
          <w:tcPr>
            <w:tcW w:w="178" w:type="pct"/>
            <w:shd w:val="clear" w:color="auto" w:fill="auto"/>
          </w:tcPr>
          <w:p w14:paraId="2E766770" w14:textId="77777777" w:rsidR="000005F4" w:rsidRDefault="000005F4" w:rsidP="000005F4">
            <w:pPr>
              <w:pStyle w:val="TableTextNoSpace"/>
            </w:pPr>
            <w:r>
              <w:t>x</w:t>
            </w:r>
          </w:p>
        </w:tc>
        <w:tc>
          <w:tcPr>
            <w:tcW w:w="178" w:type="pct"/>
            <w:shd w:val="clear" w:color="auto" w:fill="auto"/>
          </w:tcPr>
          <w:p w14:paraId="0F6B024A" w14:textId="77777777" w:rsidR="000005F4" w:rsidRDefault="000005F4" w:rsidP="000005F4">
            <w:pPr>
              <w:pStyle w:val="TableTextNoSpace"/>
            </w:pPr>
            <w:r>
              <w:t>x</w:t>
            </w:r>
          </w:p>
        </w:tc>
        <w:tc>
          <w:tcPr>
            <w:tcW w:w="178" w:type="pct"/>
          </w:tcPr>
          <w:p w14:paraId="1743991E" w14:textId="77777777" w:rsidR="000005F4" w:rsidRDefault="000005F4" w:rsidP="000005F4">
            <w:pPr>
              <w:pStyle w:val="TableTextNoSpace"/>
            </w:pPr>
          </w:p>
        </w:tc>
        <w:tc>
          <w:tcPr>
            <w:tcW w:w="178" w:type="pct"/>
          </w:tcPr>
          <w:p w14:paraId="1755CB46" w14:textId="77777777" w:rsidR="000005F4" w:rsidRDefault="000005F4" w:rsidP="000005F4">
            <w:pPr>
              <w:pStyle w:val="TableTextNoSpace"/>
            </w:pPr>
            <w:r>
              <w:t>x</w:t>
            </w:r>
          </w:p>
        </w:tc>
        <w:tc>
          <w:tcPr>
            <w:tcW w:w="178" w:type="pct"/>
          </w:tcPr>
          <w:p w14:paraId="5163F8D2" w14:textId="77777777" w:rsidR="000005F4" w:rsidRDefault="000005F4" w:rsidP="000005F4">
            <w:pPr>
              <w:pStyle w:val="TableTextNoSpace"/>
            </w:pPr>
            <w:r>
              <w:t>x</w:t>
            </w:r>
          </w:p>
        </w:tc>
        <w:tc>
          <w:tcPr>
            <w:tcW w:w="178" w:type="pct"/>
          </w:tcPr>
          <w:p w14:paraId="034D7991" w14:textId="77777777" w:rsidR="000005F4" w:rsidRDefault="000005F4" w:rsidP="000005F4">
            <w:pPr>
              <w:pStyle w:val="TableTextNoSpace"/>
            </w:pPr>
          </w:p>
        </w:tc>
        <w:tc>
          <w:tcPr>
            <w:tcW w:w="178" w:type="pct"/>
          </w:tcPr>
          <w:p w14:paraId="4E3D6B05" w14:textId="77777777" w:rsidR="000005F4" w:rsidRDefault="000005F4" w:rsidP="000005F4">
            <w:pPr>
              <w:pStyle w:val="TableTextNoSpace"/>
            </w:pPr>
          </w:p>
        </w:tc>
        <w:tc>
          <w:tcPr>
            <w:tcW w:w="178" w:type="pct"/>
          </w:tcPr>
          <w:p w14:paraId="253F7344" w14:textId="77777777" w:rsidR="000005F4" w:rsidRDefault="000005F4" w:rsidP="000005F4">
            <w:pPr>
              <w:pStyle w:val="TableTextNoSpace"/>
            </w:pPr>
          </w:p>
        </w:tc>
        <w:tc>
          <w:tcPr>
            <w:tcW w:w="178" w:type="pct"/>
            <w:shd w:val="clear" w:color="auto" w:fill="auto"/>
          </w:tcPr>
          <w:p w14:paraId="0E35B705" w14:textId="77777777" w:rsidR="000005F4" w:rsidRDefault="000005F4" w:rsidP="000005F4">
            <w:pPr>
              <w:pStyle w:val="TableTextNoSpace"/>
            </w:pPr>
          </w:p>
        </w:tc>
      </w:tr>
      <w:tr w:rsidR="000005F4" w14:paraId="636AC782" w14:textId="77777777" w:rsidTr="000005F4">
        <w:tc>
          <w:tcPr>
            <w:tcW w:w="553" w:type="pct"/>
            <w:shd w:val="clear" w:color="auto" w:fill="auto"/>
          </w:tcPr>
          <w:p w14:paraId="4A2044B7" w14:textId="77777777" w:rsidR="000005F4" w:rsidRPr="00B3321C" w:rsidRDefault="000005F4" w:rsidP="000005F4">
            <w:pPr>
              <w:pStyle w:val="TableTextNoSpace"/>
              <w:rPr>
                <w:sz w:val="16"/>
              </w:rPr>
            </w:pPr>
            <w:r w:rsidRPr="00B3321C">
              <w:rPr>
                <w:sz w:val="16"/>
              </w:rPr>
              <w:t xml:space="preserve">Article 3.2d </w:t>
            </w:r>
          </w:p>
        </w:tc>
        <w:tc>
          <w:tcPr>
            <w:tcW w:w="178" w:type="pct"/>
            <w:shd w:val="clear" w:color="auto" w:fill="auto"/>
          </w:tcPr>
          <w:p w14:paraId="52F90389" w14:textId="77777777" w:rsidR="000005F4" w:rsidRDefault="000005F4" w:rsidP="000005F4">
            <w:pPr>
              <w:pStyle w:val="TableTextNoSpace"/>
            </w:pPr>
          </w:p>
        </w:tc>
        <w:tc>
          <w:tcPr>
            <w:tcW w:w="178" w:type="pct"/>
            <w:shd w:val="clear" w:color="auto" w:fill="auto"/>
          </w:tcPr>
          <w:p w14:paraId="36097D8E" w14:textId="77777777" w:rsidR="000005F4" w:rsidRDefault="000005F4" w:rsidP="000005F4">
            <w:pPr>
              <w:pStyle w:val="TableTextNoSpace"/>
            </w:pPr>
          </w:p>
        </w:tc>
        <w:tc>
          <w:tcPr>
            <w:tcW w:w="178" w:type="pct"/>
            <w:shd w:val="clear" w:color="auto" w:fill="auto"/>
          </w:tcPr>
          <w:p w14:paraId="252281CF" w14:textId="77777777" w:rsidR="000005F4" w:rsidRDefault="000005F4" w:rsidP="000005F4">
            <w:pPr>
              <w:pStyle w:val="TableTextNoSpace"/>
            </w:pPr>
          </w:p>
        </w:tc>
        <w:tc>
          <w:tcPr>
            <w:tcW w:w="178" w:type="pct"/>
            <w:shd w:val="clear" w:color="auto" w:fill="auto"/>
          </w:tcPr>
          <w:p w14:paraId="37DAB825" w14:textId="77777777" w:rsidR="000005F4" w:rsidRDefault="000005F4" w:rsidP="000005F4">
            <w:pPr>
              <w:pStyle w:val="TableTextNoSpace"/>
            </w:pPr>
            <w:r>
              <w:t>x</w:t>
            </w:r>
          </w:p>
        </w:tc>
        <w:tc>
          <w:tcPr>
            <w:tcW w:w="178" w:type="pct"/>
            <w:shd w:val="clear" w:color="auto" w:fill="auto"/>
          </w:tcPr>
          <w:p w14:paraId="5CD72407" w14:textId="77777777" w:rsidR="000005F4" w:rsidRDefault="000005F4" w:rsidP="000005F4">
            <w:pPr>
              <w:pStyle w:val="TableTextNoSpace"/>
            </w:pPr>
            <w:r>
              <w:t>x</w:t>
            </w:r>
          </w:p>
        </w:tc>
        <w:tc>
          <w:tcPr>
            <w:tcW w:w="178" w:type="pct"/>
            <w:shd w:val="clear" w:color="auto" w:fill="auto"/>
          </w:tcPr>
          <w:p w14:paraId="448E1069" w14:textId="77777777" w:rsidR="000005F4" w:rsidRDefault="000005F4" w:rsidP="000005F4">
            <w:pPr>
              <w:pStyle w:val="TableTextNoSpace"/>
            </w:pPr>
          </w:p>
        </w:tc>
        <w:tc>
          <w:tcPr>
            <w:tcW w:w="178" w:type="pct"/>
            <w:shd w:val="clear" w:color="auto" w:fill="auto"/>
          </w:tcPr>
          <w:p w14:paraId="19186D41" w14:textId="77777777" w:rsidR="000005F4" w:rsidRDefault="000005F4" w:rsidP="000005F4">
            <w:pPr>
              <w:pStyle w:val="TableTextNoSpace"/>
            </w:pPr>
          </w:p>
        </w:tc>
        <w:tc>
          <w:tcPr>
            <w:tcW w:w="178" w:type="pct"/>
            <w:shd w:val="clear" w:color="auto" w:fill="auto"/>
          </w:tcPr>
          <w:p w14:paraId="592419AC" w14:textId="77777777" w:rsidR="000005F4" w:rsidRDefault="000005F4" w:rsidP="000005F4">
            <w:pPr>
              <w:pStyle w:val="TableTextNoSpace"/>
            </w:pPr>
            <w:r>
              <w:t>x</w:t>
            </w:r>
          </w:p>
        </w:tc>
        <w:tc>
          <w:tcPr>
            <w:tcW w:w="178" w:type="pct"/>
            <w:shd w:val="clear" w:color="auto" w:fill="auto"/>
          </w:tcPr>
          <w:p w14:paraId="58F9CB20" w14:textId="77777777" w:rsidR="000005F4" w:rsidRDefault="000005F4" w:rsidP="000005F4">
            <w:pPr>
              <w:pStyle w:val="TableTextNoSpace"/>
            </w:pPr>
          </w:p>
        </w:tc>
        <w:tc>
          <w:tcPr>
            <w:tcW w:w="178" w:type="pct"/>
            <w:shd w:val="clear" w:color="auto" w:fill="auto"/>
          </w:tcPr>
          <w:p w14:paraId="01F27D32" w14:textId="77777777" w:rsidR="000005F4" w:rsidRDefault="000005F4" w:rsidP="000005F4">
            <w:pPr>
              <w:pStyle w:val="TableTextNoSpace"/>
            </w:pPr>
          </w:p>
        </w:tc>
        <w:tc>
          <w:tcPr>
            <w:tcW w:w="178" w:type="pct"/>
            <w:shd w:val="clear" w:color="auto" w:fill="auto"/>
          </w:tcPr>
          <w:p w14:paraId="4EB99039" w14:textId="77777777" w:rsidR="000005F4" w:rsidRDefault="000005F4" w:rsidP="000005F4">
            <w:pPr>
              <w:pStyle w:val="TableTextNoSpace"/>
            </w:pPr>
          </w:p>
        </w:tc>
        <w:tc>
          <w:tcPr>
            <w:tcW w:w="178" w:type="pct"/>
            <w:shd w:val="clear" w:color="auto" w:fill="auto"/>
          </w:tcPr>
          <w:p w14:paraId="3FDEC93B" w14:textId="77777777" w:rsidR="000005F4" w:rsidRDefault="000005F4" w:rsidP="000005F4">
            <w:pPr>
              <w:pStyle w:val="TableTextNoSpace"/>
            </w:pPr>
          </w:p>
        </w:tc>
        <w:tc>
          <w:tcPr>
            <w:tcW w:w="178" w:type="pct"/>
            <w:shd w:val="clear" w:color="auto" w:fill="auto"/>
          </w:tcPr>
          <w:p w14:paraId="60DAA3D7" w14:textId="77777777" w:rsidR="000005F4" w:rsidRDefault="000005F4" w:rsidP="000005F4">
            <w:pPr>
              <w:pStyle w:val="TableTextNoSpace"/>
            </w:pPr>
          </w:p>
        </w:tc>
        <w:tc>
          <w:tcPr>
            <w:tcW w:w="178" w:type="pct"/>
            <w:shd w:val="clear" w:color="auto" w:fill="auto"/>
          </w:tcPr>
          <w:p w14:paraId="3ECC4CEB" w14:textId="77777777" w:rsidR="000005F4" w:rsidRDefault="000005F4" w:rsidP="000005F4">
            <w:pPr>
              <w:pStyle w:val="TableTextNoSpace"/>
            </w:pPr>
          </w:p>
        </w:tc>
        <w:tc>
          <w:tcPr>
            <w:tcW w:w="178" w:type="pct"/>
            <w:shd w:val="clear" w:color="auto" w:fill="auto"/>
          </w:tcPr>
          <w:p w14:paraId="3EAF96BB" w14:textId="77777777" w:rsidR="000005F4" w:rsidRDefault="000005F4" w:rsidP="000005F4">
            <w:pPr>
              <w:pStyle w:val="TableTextNoSpace"/>
            </w:pPr>
          </w:p>
        </w:tc>
        <w:tc>
          <w:tcPr>
            <w:tcW w:w="178" w:type="pct"/>
            <w:shd w:val="clear" w:color="auto" w:fill="auto"/>
          </w:tcPr>
          <w:p w14:paraId="71366916" w14:textId="77777777" w:rsidR="000005F4" w:rsidRDefault="000005F4" w:rsidP="000005F4">
            <w:pPr>
              <w:pStyle w:val="TableTextNoSpace"/>
            </w:pPr>
          </w:p>
        </w:tc>
        <w:tc>
          <w:tcPr>
            <w:tcW w:w="178" w:type="pct"/>
            <w:shd w:val="clear" w:color="auto" w:fill="auto"/>
          </w:tcPr>
          <w:p w14:paraId="4F6A5313" w14:textId="77777777" w:rsidR="000005F4" w:rsidRDefault="000005F4" w:rsidP="000005F4">
            <w:pPr>
              <w:pStyle w:val="TableTextNoSpace"/>
            </w:pPr>
          </w:p>
        </w:tc>
        <w:tc>
          <w:tcPr>
            <w:tcW w:w="178" w:type="pct"/>
            <w:shd w:val="clear" w:color="auto" w:fill="auto"/>
          </w:tcPr>
          <w:p w14:paraId="3D01D0E6" w14:textId="77777777" w:rsidR="000005F4" w:rsidRDefault="000005F4" w:rsidP="000005F4">
            <w:pPr>
              <w:pStyle w:val="TableTextNoSpace"/>
            </w:pPr>
          </w:p>
        </w:tc>
        <w:tc>
          <w:tcPr>
            <w:tcW w:w="178" w:type="pct"/>
          </w:tcPr>
          <w:p w14:paraId="09B7EEF6" w14:textId="77777777" w:rsidR="000005F4" w:rsidRDefault="000005F4" w:rsidP="000005F4">
            <w:pPr>
              <w:pStyle w:val="TableTextNoSpace"/>
            </w:pPr>
          </w:p>
        </w:tc>
        <w:tc>
          <w:tcPr>
            <w:tcW w:w="178" w:type="pct"/>
          </w:tcPr>
          <w:p w14:paraId="7056F9F4" w14:textId="77777777" w:rsidR="000005F4" w:rsidRDefault="000005F4" w:rsidP="000005F4">
            <w:pPr>
              <w:pStyle w:val="TableTextNoSpace"/>
            </w:pPr>
            <w:r>
              <w:t>x</w:t>
            </w:r>
          </w:p>
        </w:tc>
        <w:tc>
          <w:tcPr>
            <w:tcW w:w="178" w:type="pct"/>
          </w:tcPr>
          <w:p w14:paraId="53BFF462" w14:textId="77777777" w:rsidR="000005F4" w:rsidRDefault="000005F4" w:rsidP="000005F4">
            <w:pPr>
              <w:pStyle w:val="TableTextNoSpace"/>
            </w:pPr>
            <w:r>
              <w:t>x</w:t>
            </w:r>
          </w:p>
        </w:tc>
        <w:tc>
          <w:tcPr>
            <w:tcW w:w="178" w:type="pct"/>
          </w:tcPr>
          <w:p w14:paraId="060F3F6D" w14:textId="77777777" w:rsidR="000005F4" w:rsidRDefault="000005F4" w:rsidP="000005F4">
            <w:pPr>
              <w:pStyle w:val="TableTextNoSpace"/>
            </w:pPr>
          </w:p>
        </w:tc>
        <w:tc>
          <w:tcPr>
            <w:tcW w:w="178" w:type="pct"/>
          </w:tcPr>
          <w:p w14:paraId="1200FAB0" w14:textId="77777777" w:rsidR="000005F4" w:rsidRDefault="000005F4" w:rsidP="000005F4">
            <w:pPr>
              <w:pStyle w:val="TableTextNoSpace"/>
            </w:pPr>
          </w:p>
        </w:tc>
        <w:tc>
          <w:tcPr>
            <w:tcW w:w="178" w:type="pct"/>
          </w:tcPr>
          <w:p w14:paraId="4A9DED5B" w14:textId="77777777" w:rsidR="000005F4" w:rsidRDefault="000005F4" w:rsidP="000005F4">
            <w:pPr>
              <w:pStyle w:val="TableTextNoSpace"/>
            </w:pPr>
          </w:p>
        </w:tc>
        <w:tc>
          <w:tcPr>
            <w:tcW w:w="178" w:type="pct"/>
            <w:shd w:val="clear" w:color="auto" w:fill="auto"/>
          </w:tcPr>
          <w:p w14:paraId="27A79779" w14:textId="77777777" w:rsidR="000005F4" w:rsidRDefault="000005F4" w:rsidP="000005F4">
            <w:pPr>
              <w:pStyle w:val="TableTextNoSpace"/>
            </w:pPr>
          </w:p>
        </w:tc>
      </w:tr>
      <w:tr w:rsidR="000005F4" w14:paraId="29AFDAE4" w14:textId="77777777" w:rsidTr="000005F4">
        <w:tc>
          <w:tcPr>
            <w:tcW w:w="553" w:type="pct"/>
            <w:shd w:val="clear" w:color="auto" w:fill="auto"/>
          </w:tcPr>
          <w:p w14:paraId="1274BC2B" w14:textId="77777777" w:rsidR="000005F4" w:rsidRPr="00B3321C" w:rsidRDefault="000005F4" w:rsidP="000005F4">
            <w:pPr>
              <w:pStyle w:val="TableTextNoSpace"/>
              <w:rPr>
                <w:sz w:val="16"/>
              </w:rPr>
            </w:pPr>
            <w:r>
              <w:rPr>
                <w:sz w:val="16"/>
              </w:rPr>
              <w:t>Overall</w:t>
            </w:r>
          </w:p>
        </w:tc>
        <w:tc>
          <w:tcPr>
            <w:tcW w:w="178" w:type="pct"/>
            <w:shd w:val="clear" w:color="auto" w:fill="auto"/>
          </w:tcPr>
          <w:p w14:paraId="23636D5A" w14:textId="77777777" w:rsidR="000005F4" w:rsidRDefault="000005F4" w:rsidP="000005F4">
            <w:pPr>
              <w:pStyle w:val="TableTextNoSpace"/>
            </w:pPr>
          </w:p>
        </w:tc>
        <w:tc>
          <w:tcPr>
            <w:tcW w:w="178" w:type="pct"/>
            <w:shd w:val="clear" w:color="auto" w:fill="auto"/>
          </w:tcPr>
          <w:p w14:paraId="3866E439" w14:textId="77777777" w:rsidR="000005F4" w:rsidRPr="007C1E76" w:rsidRDefault="000005F4" w:rsidP="000005F4">
            <w:pPr>
              <w:pStyle w:val="TableTextNoSpace"/>
              <w:rPr>
                <w:b/>
              </w:rPr>
            </w:pPr>
            <w:r w:rsidRPr="007C1E76">
              <w:rPr>
                <w:b/>
              </w:rPr>
              <w:t>x</w:t>
            </w:r>
          </w:p>
        </w:tc>
        <w:tc>
          <w:tcPr>
            <w:tcW w:w="178" w:type="pct"/>
            <w:shd w:val="clear" w:color="auto" w:fill="auto"/>
          </w:tcPr>
          <w:p w14:paraId="5E4E1FF8" w14:textId="77777777" w:rsidR="000005F4" w:rsidRDefault="000005F4" w:rsidP="000005F4">
            <w:pPr>
              <w:pStyle w:val="TableTextNoSpace"/>
            </w:pPr>
          </w:p>
        </w:tc>
        <w:tc>
          <w:tcPr>
            <w:tcW w:w="178" w:type="pct"/>
            <w:shd w:val="clear" w:color="auto" w:fill="auto"/>
          </w:tcPr>
          <w:p w14:paraId="762D4EF2" w14:textId="77777777" w:rsidR="000005F4" w:rsidRDefault="000005F4" w:rsidP="000005F4">
            <w:pPr>
              <w:pStyle w:val="TableTextNoSpace"/>
            </w:pPr>
            <w:r>
              <w:t>x</w:t>
            </w:r>
          </w:p>
        </w:tc>
        <w:tc>
          <w:tcPr>
            <w:tcW w:w="178" w:type="pct"/>
            <w:shd w:val="clear" w:color="auto" w:fill="auto"/>
          </w:tcPr>
          <w:p w14:paraId="433AA2A9" w14:textId="77777777" w:rsidR="000005F4" w:rsidRDefault="000005F4" w:rsidP="000005F4">
            <w:pPr>
              <w:pStyle w:val="TableTextNoSpace"/>
            </w:pPr>
            <w:r>
              <w:t>x</w:t>
            </w:r>
          </w:p>
        </w:tc>
        <w:tc>
          <w:tcPr>
            <w:tcW w:w="178" w:type="pct"/>
            <w:shd w:val="clear" w:color="auto" w:fill="auto"/>
          </w:tcPr>
          <w:p w14:paraId="3B7EF3E7" w14:textId="77777777" w:rsidR="000005F4" w:rsidRDefault="000005F4" w:rsidP="000005F4">
            <w:pPr>
              <w:pStyle w:val="TableTextNoSpace"/>
            </w:pPr>
          </w:p>
        </w:tc>
        <w:tc>
          <w:tcPr>
            <w:tcW w:w="178" w:type="pct"/>
            <w:shd w:val="clear" w:color="auto" w:fill="auto"/>
          </w:tcPr>
          <w:p w14:paraId="105FBBD7" w14:textId="77777777" w:rsidR="000005F4" w:rsidRPr="007C1E76" w:rsidRDefault="000005F4" w:rsidP="000005F4">
            <w:pPr>
              <w:pStyle w:val="TableTextNoSpace"/>
              <w:rPr>
                <w:b/>
              </w:rPr>
            </w:pPr>
            <w:r w:rsidRPr="007C1E76">
              <w:rPr>
                <w:b/>
              </w:rPr>
              <w:t>x</w:t>
            </w:r>
          </w:p>
        </w:tc>
        <w:tc>
          <w:tcPr>
            <w:tcW w:w="178" w:type="pct"/>
            <w:shd w:val="clear" w:color="auto" w:fill="auto"/>
          </w:tcPr>
          <w:p w14:paraId="43B5CF31" w14:textId="77777777" w:rsidR="000005F4" w:rsidRPr="007C1E76" w:rsidRDefault="000005F4" w:rsidP="000005F4">
            <w:pPr>
              <w:pStyle w:val="TableTextNoSpace"/>
              <w:rPr>
                <w:b/>
              </w:rPr>
            </w:pPr>
            <w:r w:rsidRPr="007C1E76">
              <w:rPr>
                <w:b/>
              </w:rPr>
              <w:t>x</w:t>
            </w:r>
          </w:p>
        </w:tc>
        <w:tc>
          <w:tcPr>
            <w:tcW w:w="178" w:type="pct"/>
            <w:shd w:val="clear" w:color="auto" w:fill="auto"/>
          </w:tcPr>
          <w:p w14:paraId="30DA6B76" w14:textId="77777777" w:rsidR="000005F4" w:rsidRPr="007C1E76" w:rsidRDefault="000005F4" w:rsidP="000005F4">
            <w:pPr>
              <w:pStyle w:val="TableTextNoSpace"/>
              <w:rPr>
                <w:b/>
              </w:rPr>
            </w:pPr>
            <w:r w:rsidRPr="007C1E76">
              <w:rPr>
                <w:b/>
              </w:rPr>
              <w:t>x</w:t>
            </w:r>
          </w:p>
        </w:tc>
        <w:tc>
          <w:tcPr>
            <w:tcW w:w="178" w:type="pct"/>
            <w:shd w:val="clear" w:color="auto" w:fill="auto"/>
          </w:tcPr>
          <w:p w14:paraId="46594D7B" w14:textId="77777777" w:rsidR="000005F4" w:rsidRPr="007C1E76" w:rsidRDefault="000005F4" w:rsidP="000005F4">
            <w:pPr>
              <w:pStyle w:val="TableTextNoSpace"/>
              <w:rPr>
                <w:b/>
              </w:rPr>
            </w:pPr>
            <w:r w:rsidRPr="007C1E76">
              <w:rPr>
                <w:b/>
              </w:rPr>
              <w:t>x</w:t>
            </w:r>
          </w:p>
        </w:tc>
        <w:tc>
          <w:tcPr>
            <w:tcW w:w="178" w:type="pct"/>
            <w:shd w:val="clear" w:color="auto" w:fill="auto"/>
          </w:tcPr>
          <w:p w14:paraId="6AFE49B0" w14:textId="77777777" w:rsidR="000005F4" w:rsidRPr="007C1E76" w:rsidRDefault="000005F4" w:rsidP="000005F4">
            <w:pPr>
              <w:pStyle w:val="TableTextNoSpace"/>
              <w:rPr>
                <w:b/>
              </w:rPr>
            </w:pPr>
            <w:r w:rsidRPr="007C1E76">
              <w:rPr>
                <w:b/>
              </w:rPr>
              <w:t>x</w:t>
            </w:r>
          </w:p>
        </w:tc>
        <w:tc>
          <w:tcPr>
            <w:tcW w:w="178" w:type="pct"/>
            <w:shd w:val="clear" w:color="auto" w:fill="auto"/>
          </w:tcPr>
          <w:p w14:paraId="385DD541" w14:textId="77777777" w:rsidR="000005F4" w:rsidRDefault="000005F4" w:rsidP="000005F4">
            <w:pPr>
              <w:pStyle w:val="TableTextNoSpace"/>
            </w:pPr>
          </w:p>
        </w:tc>
        <w:tc>
          <w:tcPr>
            <w:tcW w:w="178" w:type="pct"/>
            <w:shd w:val="clear" w:color="auto" w:fill="auto"/>
          </w:tcPr>
          <w:p w14:paraId="02CB033F" w14:textId="77777777" w:rsidR="000005F4" w:rsidRDefault="000005F4" w:rsidP="000005F4">
            <w:pPr>
              <w:pStyle w:val="TableTextNoSpace"/>
            </w:pPr>
          </w:p>
        </w:tc>
        <w:tc>
          <w:tcPr>
            <w:tcW w:w="178" w:type="pct"/>
            <w:shd w:val="clear" w:color="auto" w:fill="auto"/>
          </w:tcPr>
          <w:p w14:paraId="41483931" w14:textId="77777777" w:rsidR="000005F4" w:rsidRDefault="000005F4" w:rsidP="000005F4">
            <w:pPr>
              <w:pStyle w:val="TableTextNoSpace"/>
            </w:pPr>
          </w:p>
        </w:tc>
        <w:tc>
          <w:tcPr>
            <w:tcW w:w="178" w:type="pct"/>
            <w:shd w:val="clear" w:color="auto" w:fill="auto"/>
          </w:tcPr>
          <w:p w14:paraId="0AC6D437" w14:textId="77777777" w:rsidR="000005F4" w:rsidRPr="007C1E76" w:rsidRDefault="000005F4" w:rsidP="000005F4">
            <w:pPr>
              <w:pStyle w:val="TableTextNoSpace"/>
              <w:rPr>
                <w:b/>
              </w:rPr>
            </w:pPr>
            <w:r w:rsidRPr="007C1E76">
              <w:rPr>
                <w:b/>
              </w:rPr>
              <w:t>x</w:t>
            </w:r>
          </w:p>
        </w:tc>
        <w:tc>
          <w:tcPr>
            <w:tcW w:w="178" w:type="pct"/>
            <w:shd w:val="clear" w:color="auto" w:fill="auto"/>
          </w:tcPr>
          <w:p w14:paraId="08C7EA12" w14:textId="77777777" w:rsidR="000005F4" w:rsidRDefault="000005F4" w:rsidP="000005F4">
            <w:pPr>
              <w:pStyle w:val="TableTextNoSpace"/>
            </w:pPr>
          </w:p>
        </w:tc>
        <w:tc>
          <w:tcPr>
            <w:tcW w:w="178" w:type="pct"/>
            <w:shd w:val="clear" w:color="auto" w:fill="auto"/>
          </w:tcPr>
          <w:p w14:paraId="786B6ED5" w14:textId="77777777" w:rsidR="000005F4" w:rsidRDefault="000005F4" w:rsidP="000005F4">
            <w:pPr>
              <w:pStyle w:val="TableTextNoSpace"/>
            </w:pPr>
            <w:r>
              <w:t>x</w:t>
            </w:r>
          </w:p>
        </w:tc>
        <w:tc>
          <w:tcPr>
            <w:tcW w:w="178" w:type="pct"/>
            <w:shd w:val="clear" w:color="auto" w:fill="auto"/>
          </w:tcPr>
          <w:p w14:paraId="4C87C75B" w14:textId="77777777" w:rsidR="000005F4" w:rsidRDefault="000005F4" w:rsidP="000005F4">
            <w:pPr>
              <w:pStyle w:val="TableTextNoSpace"/>
            </w:pPr>
            <w:r>
              <w:t>x</w:t>
            </w:r>
          </w:p>
        </w:tc>
        <w:tc>
          <w:tcPr>
            <w:tcW w:w="178" w:type="pct"/>
          </w:tcPr>
          <w:p w14:paraId="0FF7D025" w14:textId="77777777" w:rsidR="000005F4" w:rsidRDefault="000005F4" w:rsidP="000005F4">
            <w:pPr>
              <w:pStyle w:val="TableTextNoSpace"/>
            </w:pPr>
          </w:p>
        </w:tc>
        <w:tc>
          <w:tcPr>
            <w:tcW w:w="178" w:type="pct"/>
          </w:tcPr>
          <w:p w14:paraId="30F8C600" w14:textId="77777777" w:rsidR="000005F4" w:rsidRPr="007C1E76" w:rsidRDefault="000005F4" w:rsidP="000005F4">
            <w:pPr>
              <w:pStyle w:val="TableTextNoSpace"/>
              <w:rPr>
                <w:b/>
              </w:rPr>
            </w:pPr>
            <w:r w:rsidRPr="007C1E76">
              <w:rPr>
                <w:b/>
              </w:rPr>
              <w:t>x</w:t>
            </w:r>
          </w:p>
        </w:tc>
        <w:tc>
          <w:tcPr>
            <w:tcW w:w="178" w:type="pct"/>
          </w:tcPr>
          <w:p w14:paraId="52D0CE6F" w14:textId="77777777" w:rsidR="000005F4" w:rsidRPr="007C1E76" w:rsidRDefault="000005F4" w:rsidP="000005F4">
            <w:pPr>
              <w:pStyle w:val="TableTextNoSpace"/>
              <w:rPr>
                <w:b/>
              </w:rPr>
            </w:pPr>
            <w:r w:rsidRPr="007C1E76">
              <w:rPr>
                <w:b/>
              </w:rPr>
              <w:t>x</w:t>
            </w:r>
          </w:p>
        </w:tc>
        <w:tc>
          <w:tcPr>
            <w:tcW w:w="178" w:type="pct"/>
          </w:tcPr>
          <w:p w14:paraId="2F8C4966" w14:textId="77777777" w:rsidR="000005F4" w:rsidRDefault="000005F4" w:rsidP="000005F4">
            <w:pPr>
              <w:pStyle w:val="TableTextNoSpace"/>
            </w:pPr>
            <w:r>
              <w:t>x</w:t>
            </w:r>
          </w:p>
        </w:tc>
        <w:tc>
          <w:tcPr>
            <w:tcW w:w="178" w:type="pct"/>
          </w:tcPr>
          <w:p w14:paraId="33E89610" w14:textId="77777777" w:rsidR="000005F4" w:rsidRDefault="000005F4" w:rsidP="000005F4">
            <w:pPr>
              <w:pStyle w:val="TableTextNoSpace"/>
            </w:pPr>
          </w:p>
        </w:tc>
        <w:tc>
          <w:tcPr>
            <w:tcW w:w="178" w:type="pct"/>
          </w:tcPr>
          <w:p w14:paraId="7CD1ACA4" w14:textId="77777777" w:rsidR="000005F4" w:rsidRDefault="000005F4" w:rsidP="000005F4">
            <w:pPr>
              <w:pStyle w:val="TableTextNoSpace"/>
            </w:pPr>
          </w:p>
        </w:tc>
        <w:tc>
          <w:tcPr>
            <w:tcW w:w="178" w:type="pct"/>
            <w:shd w:val="clear" w:color="auto" w:fill="auto"/>
          </w:tcPr>
          <w:p w14:paraId="12D8FEB3" w14:textId="77777777" w:rsidR="000005F4" w:rsidRDefault="000005F4" w:rsidP="000005F4">
            <w:pPr>
              <w:pStyle w:val="TableTextNoSpace"/>
            </w:pPr>
          </w:p>
        </w:tc>
      </w:tr>
    </w:tbl>
    <w:p w14:paraId="5A6D29B4" w14:textId="77777777" w:rsidR="000005F4" w:rsidRDefault="000005F4" w:rsidP="000005F4">
      <w:pPr>
        <w:pStyle w:val="Heading2NoNumb"/>
      </w:pPr>
      <w:bookmarkStart w:id="417" w:name="_Toc408094046"/>
      <w:bookmarkStart w:id="418" w:name="_Toc408138047"/>
      <w:bookmarkStart w:id="419" w:name="_Toc408851036"/>
      <w:bookmarkStart w:id="420" w:name="_Toc421880712"/>
      <w:r>
        <w:t>LIFE</w:t>
      </w:r>
      <w:bookmarkEnd w:id="417"/>
      <w:bookmarkEnd w:id="418"/>
      <w:bookmarkEnd w:id="419"/>
      <w:bookmarkEnd w:id="420"/>
    </w:p>
    <w:p w14:paraId="28E5C62B" w14:textId="77777777" w:rsidR="000005F4" w:rsidRDefault="000005F4" w:rsidP="000005F4">
      <w:r>
        <w:t>The LIFE programme is subdivided into two sub-programmes: environment and climate action. The former is of most relevance for Natura 2000. This is further divided into three priority areas: environment and resource efficiency, nature and biodiversity, environmental governance and information.</w:t>
      </w:r>
    </w:p>
    <w:tbl>
      <w:tblPr>
        <w:tblW w:w="5000" w:type="pct"/>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CellMar>
          <w:top w:w="57" w:type="dxa"/>
          <w:left w:w="0" w:type="dxa"/>
          <w:bottom w:w="28" w:type="dxa"/>
          <w:right w:w="0" w:type="dxa"/>
        </w:tblCellMar>
        <w:tblLook w:val="0000" w:firstRow="0" w:lastRow="0" w:firstColumn="0" w:lastColumn="0" w:noHBand="0" w:noVBand="0"/>
      </w:tblPr>
      <w:tblGrid>
        <w:gridCol w:w="1002"/>
        <w:gridCol w:w="322"/>
        <w:gridCol w:w="322"/>
        <w:gridCol w:w="322"/>
        <w:gridCol w:w="322"/>
        <w:gridCol w:w="322"/>
        <w:gridCol w:w="322"/>
        <w:gridCol w:w="322"/>
        <w:gridCol w:w="322"/>
        <w:gridCol w:w="322"/>
        <w:gridCol w:w="322"/>
        <w:gridCol w:w="322"/>
        <w:gridCol w:w="323"/>
        <w:gridCol w:w="323"/>
        <w:gridCol w:w="323"/>
        <w:gridCol w:w="323"/>
        <w:gridCol w:w="323"/>
        <w:gridCol w:w="323"/>
        <w:gridCol w:w="323"/>
        <w:gridCol w:w="323"/>
        <w:gridCol w:w="323"/>
        <w:gridCol w:w="323"/>
        <w:gridCol w:w="323"/>
        <w:gridCol w:w="323"/>
        <w:gridCol w:w="323"/>
        <w:gridCol w:w="322"/>
      </w:tblGrid>
      <w:tr w:rsidR="000005F4" w14:paraId="1CAB3278" w14:textId="77777777" w:rsidTr="000005F4">
        <w:trPr>
          <w:cantSplit/>
        </w:trPr>
        <w:tc>
          <w:tcPr>
            <w:tcW w:w="553" w:type="pct"/>
            <w:shd w:val="clear" w:color="auto" w:fill="auto"/>
          </w:tcPr>
          <w:p w14:paraId="11F0290E" w14:textId="77777777" w:rsidR="000005F4" w:rsidRDefault="000005F4" w:rsidP="000005F4">
            <w:pPr>
              <w:pStyle w:val="TableHeading"/>
            </w:pPr>
          </w:p>
        </w:tc>
        <w:tc>
          <w:tcPr>
            <w:tcW w:w="4447" w:type="pct"/>
            <w:gridSpan w:val="25"/>
            <w:tcBorders>
              <w:bottom w:val="single" w:sz="2" w:space="0" w:color="FFFFFF" w:themeColor="background1"/>
            </w:tcBorders>
            <w:shd w:val="solid" w:color="0067AB" w:fill="0067AB"/>
          </w:tcPr>
          <w:p w14:paraId="4563B1DD" w14:textId="77777777" w:rsidR="000005F4" w:rsidRDefault="000005F4" w:rsidP="000005F4">
            <w:pPr>
              <w:pStyle w:val="TableHeadingWhite"/>
              <w:jc w:val="center"/>
            </w:pPr>
            <w:r>
              <w:t>Management Actions</w:t>
            </w:r>
          </w:p>
        </w:tc>
      </w:tr>
      <w:tr w:rsidR="000005F4" w14:paraId="795C4C95" w14:textId="77777777" w:rsidTr="000005F4">
        <w:trPr>
          <w:cantSplit/>
        </w:trPr>
        <w:tc>
          <w:tcPr>
            <w:tcW w:w="553" w:type="pct"/>
            <w:shd w:val="clear" w:color="auto" w:fill="auto"/>
          </w:tcPr>
          <w:p w14:paraId="6EBBEE7F" w14:textId="77777777" w:rsidR="000005F4" w:rsidRDefault="000005F4" w:rsidP="000005F4">
            <w:pPr>
              <w:pStyle w:val="TableHeading"/>
            </w:pPr>
            <w:r>
              <w:t>Article</w:t>
            </w:r>
          </w:p>
        </w:tc>
        <w:tc>
          <w:tcPr>
            <w:tcW w:w="178" w:type="pct"/>
            <w:tcBorders>
              <w:top w:val="single" w:sz="2" w:space="0" w:color="FFFFFF" w:themeColor="background1"/>
              <w:right w:val="single" w:sz="2" w:space="0" w:color="0067AB"/>
            </w:tcBorders>
            <w:shd w:val="solid" w:color="0067AB" w:fill="0067AB"/>
          </w:tcPr>
          <w:p w14:paraId="3AB97439" w14:textId="77777777" w:rsidR="000005F4" w:rsidRDefault="000005F4" w:rsidP="000005F4">
            <w:pPr>
              <w:pStyle w:val="TableHeadingWhite"/>
            </w:pPr>
            <w:r>
              <w:t>1</w:t>
            </w:r>
          </w:p>
        </w:tc>
        <w:tc>
          <w:tcPr>
            <w:tcW w:w="178" w:type="pct"/>
            <w:tcBorders>
              <w:top w:val="single" w:sz="2" w:space="0" w:color="FFFFFF" w:themeColor="background1"/>
              <w:left w:val="single" w:sz="2" w:space="0" w:color="0067AB"/>
              <w:right w:val="single" w:sz="2" w:space="0" w:color="0067AB"/>
            </w:tcBorders>
            <w:shd w:val="solid" w:color="0067AB" w:fill="0067AB"/>
          </w:tcPr>
          <w:p w14:paraId="77AC92BC" w14:textId="77777777" w:rsidR="000005F4" w:rsidRDefault="000005F4" w:rsidP="000005F4">
            <w:pPr>
              <w:pStyle w:val="TableHeadingWhite"/>
            </w:pPr>
            <w:r>
              <w:t>2</w:t>
            </w:r>
          </w:p>
        </w:tc>
        <w:tc>
          <w:tcPr>
            <w:tcW w:w="178" w:type="pct"/>
            <w:tcBorders>
              <w:top w:val="single" w:sz="2" w:space="0" w:color="FFFFFF" w:themeColor="background1"/>
              <w:left w:val="single" w:sz="2" w:space="0" w:color="0067AB"/>
              <w:right w:val="single" w:sz="2" w:space="0" w:color="0067AB"/>
            </w:tcBorders>
            <w:shd w:val="solid" w:color="0067AB" w:fill="0067AB"/>
          </w:tcPr>
          <w:p w14:paraId="328622F2" w14:textId="77777777" w:rsidR="000005F4" w:rsidRDefault="000005F4" w:rsidP="000005F4">
            <w:pPr>
              <w:pStyle w:val="TableHeadingWhite"/>
            </w:pPr>
            <w:r>
              <w:t>3</w:t>
            </w:r>
          </w:p>
        </w:tc>
        <w:tc>
          <w:tcPr>
            <w:tcW w:w="178" w:type="pct"/>
            <w:tcBorders>
              <w:top w:val="single" w:sz="2" w:space="0" w:color="FFFFFF" w:themeColor="background1"/>
              <w:left w:val="single" w:sz="2" w:space="0" w:color="0067AB"/>
              <w:right w:val="single" w:sz="2" w:space="0" w:color="0067AB"/>
            </w:tcBorders>
            <w:shd w:val="solid" w:color="0067AB" w:fill="0067AB"/>
          </w:tcPr>
          <w:p w14:paraId="5EF76013" w14:textId="77777777" w:rsidR="000005F4" w:rsidRDefault="000005F4" w:rsidP="000005F4">
            <w:pPr>
              <w:pStyle w:val="TableHeadingWhite"/>
            </w:pPr>
            <w:r>
              <w:t>4</w:t>
            </w:r>
          </w:p>
        </w:tc>
        <w:tc>
          <w:tcPr>
            <w:tcW w:w="178" w:type="pct"/>
            <w:tcBorders>
              <w:top w:val="single" w:sz="2" w:space="0" w:color="FFFFFF" w:themeColor="background1"/>
              <w:left w:val="single" w:sz="2" w:space="0" w:color="0067AB"/>
              <w:right w:val="single" w:sz="2" w:space="0" w:color="0067AB"/>
            </w:tcBorders>
            <w:shd w:val="solid" w:color="0067AB" w:fill="0067AB"/>
          </w:tcPr>
          <w:p w14:paraId="532DA1A7" w14:textId="77777777" w:rsidR="000005F4" w:rsidRDefault="000005F4" w:rsidP="000005F4">
            <w:pPr>
              <w:pStyle w:val="TableHeadingWhite"/>
            </w:pPr>
            <w:r>
              <w:t>5</w:t>
            </w:r>
          </w:p>
        </w:tc>
        <w:tc>
          <w:tcPr>
            <w:tcW w:w="178" w:type="pct"/>
            <w:tcBorders>
              <w:top w:val="single" w:sz="2" w:space="0" w:color="FFFFFF" w:themeColor="background1"/>
              <w:left w:val="single" w:sz="2" w:space="0" w:color="0067AB"/>
              <w:right w:val="single" w:sz="2" w:space="0" w:color="0067AB"/>
            </w:tcBorders>
            <w:shd w:val="solid" w:color="0067AB" w:fill="0067AB"/>
          </w:tcPr>
          <w:p w14:paraId="189F5AF6" w14:textId="77777777" w:rsidR="000005F4" w:rsidRDefault="000005F4" w:rsidP="000005F4">
            <w:pPr>
              <w:pStyle w:val="TableHeadingWhite"/>
            </w:pPr>
            <w:r>
              <w:t>6</w:t>
            </w:r>
          </w:p>
        </w:tc>
        <w:tc>
          <w:tcPr>
            <w:tcW w:w="178" w:type="pct"/>
            <w:tcBorders>
              <w:top w:val="single" w:sz="2" w:space="0" w:color="FFFFFF" w:themeColor="background1"/>
              <w:left w:val="single" w:sz="2" w:space="0" w:color="0067AB"/>
              <w:right w:val="single" w:sz="2" w:space="0" w:color="0067AB"/>
            </w:tcBorders>
            <w:shd w:val="solid" w:color="0067AB" w:fill="0067AB"/>
          </w:tcPr>
          <w:p w14:paraId="34715A4C" w14:textId="77777777" w:rsidR="000005F4" w:rsidRDefault="000005F4" w:rsidP="000005F4">
            <w:pPr>
              <w:pStyle w:val="TableHeadingWhite"/>
            </w:pPr>
            <w:r>
              <w:t>7</w:t>
            </w:r>
          </w:p>
        </w:tc>
        <w:tc>
          <w:tcPr>
            <w:tcW w:w="178" w:type="pct"/>
            <w:tcBorders>
              <w:top w:val="single" w:sz="2" w:space="0" w:color="FFFFFF" w:themeColor="background1"/>
              <w:left w:val="single" w:sz="2" w:space="0" w:color="0067AB"/>
              <w:right w:val="single" w:sz="2" w:space="0" w:color="0067AB"/>
            </w:tcBorders>
            <w:shd w:val="solid" w:color="0067AB" w:fill="0067AB"/>
          </w:tcPr>
          <w:p w14:paraId="7BA1E1A9" w14:textId="77777777" w:rsidR="000005F4" w:rsidRDefault="000005F4" w:rsidP="000005F4">
            <w:pPr>
              <w:pStyle w:val="TableHeadingWhite"/>
            </w:pPr>
            <w:r>
              <w:t>8</w:t>
            </w:r>
          </w:p>
        </w:tc>
        <w:tc>
          <w:tcPr>
            <w:tcW w:w="178" w:type="pct"/>
            <w:tcBorders>
              <w:top w:val="single" w:sz="2" w:space="0" w:color="FFFFFF" w:themeColor="background1"/>
              <w:left w:val="single" w:sz="2" w:space="0" w:color="0067AB"/>
              <w:right w:val="single" w:sz="2" w:space="0" w:color="0067AB"/>
            </w:tcBorders>
            <w:shd w:val="solid" w:color="0067AB" w:fill="0067AB"/>
          </w:tcPr>
          <w:p w14:paraId="0C5AF840" w14:textId="77777777" w:rsidR="000005F4" w:rsidRDefault="000005F4" w:rsidP="000005F4">
            <w:pPr>
              <w:pStyle w:val="TableHeadingWhite"/>
            </w:pPr>
            <w:r>
              <w:t>9</w:t>
            </w:r>
          </w:p>
        </w:tc>
        <w:tc>
          <w:tcPr>
            <w:tcW w:w="178" w:type="pct"/>
            <w:tcBorders>
              <w:top w:val="single" w:sz="2" w:space="0" w:color="FFFFFF" w:themeColor="background1"/>
              <w:left w:val="single" w:sz="2" w:space="0" w:color="0067AB"/>
              <w:right w:val="single" w:sz="2" w:space="0" w:color="0067AB"/>
            </w:tcBorders>
            <w:shd w:val="solid" w:color="0067AB" w:fill="0067AB"/>
          </w:tcPr>
          <w:p w14:paraId="18F25970" w14:textId="77777777" w:rsidR="000005F4" w:rsidRDefault="000005F4" w:rsidP="000005F4">
            <w:pPr>
              <w:pStyle w:val="TableHeadingWhite"/>
            </w:pPr>
            <w:r>
              <w:t>10</w:t>
            </w:r>
          </w:p>
        </w:tc>
        <w:tc>
          <w:tcPr>
            <w:tcW w:w="178" w:type="pct"/>
            <w:tcBorders>
              <w:top w:val="single" w:sz="2" w:space="0" w:color="FFFFFF" w:themeColor="background1"/>
              <w:left w:val="single" w:sz="2" w:space="0" w:color="0067AB"/>
              <w:right w:val="single" w:sz="2" w:space="0" w:color="0067AB"/>
            </w:tcBorders>
            <w:shd w:val="solid" w:color="0067AB" w:fill="0067AB"/>
          </w:tcPr>
          <w:p w14:paraId="245DDB48" w14:textId="77777777" w:rsidR="000005F4" w:rsidRDefault="000005F4" w:rsidP="000005F4">
            <w:pPr>
              <w:pStyle w:val="TableHeadingWhite"/>
            </w:pPr>
            <w:r>
              <w:t>11</w:t>
            </w:r>
          </w:p>
        </w:tc>
        <w:tc>
          <w:tcPr>
            <w:tcW w:w="178" w:type="pct"/>
            <w:tcBorders>
              <w:top w:val="single" w:sz="2" w:space="0" w:color="FFFFFF" w:themeColor="background1"/>
              <w:left w:val="single" w:sz="2" w:space="0" w:color="0067AB"/>
              <w:right w:val="single" w:sz="2" w:space="0" w:color="0067AB"/>
            </w:tcBorders>
            <w:shd w:val="solid" w:color="0067AB" w:fill="0067AB"/>
          </w:tcPr>
          <w:p w14:paraId="3FB21879" w14:textId="77777777" w:rsidR="000005F4" w:rsidRDefault="000005F4" w:rsidP="000005F4">
            <w:pPr>
              <w:pStyle w:val="TableHeadingWhite"/>
            </w:pPr>
            <w:r>
              <w:t>12</w:t>
            </w:r>
          </w:p>
        </w:tc>
        <w:tc>
          <w:tcPr>
            <w:tcW w:w="178" w:type="pct"/>
            <w:tcBorders>
              <w:top w:val="single" w:sz="2" w:space="0" w:color="FFFFFF" w:themeColor="background1"/>
              <w:left w:val="single" w:sz="2" w:space="0" w:color="0067AB"/>
              <w:right w:val="single" w:sz="2" w:space="0" w:color="0067AB"/>
            </w:tcBorders>
            <w:shd w:val="solid" w:color="0067AB" w:fill="0067AB"/>
          </w:tcPr>
          <w:p w14:paraId="2E61A017" w14:textId="77777777" w:rsidR="000005F4" w:rsidRDefault="000005F4" w:rsidP="000005F4">
            <w:pPr>
              <w:pStyle w:val="TableHeadingWhite"/>
            </w:pPr>
            <w:r>
              <w:t>13</w:t>
            </w:r>
          </w:p>
        </w:tc>
        <w:tc>
          <w:tcPr>
            <w:tcW w:w="178" w:type="pct"/>
            <w:tcBorders>
              <w:top w:val="single" w:sz="2" w:space="0" w:color="FFFFFF" w:themeColor="background1"/>
              <w:left w:val="single" w:sz="2" w:space="0" w:color="0067AB"/>
              <w:right w:val="single" w:sz="2" w:space="0" w:color="0067AB"/>
            </w:tcBorders>
            <w:shd w:val="solid" w:color="0067AB" w:fill="0067AB"/>
          </w:tcPr>
          <w:p w14:paraId="72476CCB" w14:textId="77777777" w:rsidR="000005F4" w:rsidRDefault="000005F4" w:rsidP="000005F4">
            <w:pPr>
              <w:pStyle w:val="TableHeadingWhite"/>
            </w:pPr>
            <w:r>
              <w:t>14</w:t>
            </w:r>
          </w:p>
        </w:tc>
        <w:tc>
          <w:tcPr>
            <w:tcW w:w="178" w:type="pct"/>
            <w:tcBorders>
              <w:top w:val="single" w:sz="2" w:space="0" w:color="FFFFFF" w:themeColor="background1"/>
              <w:left w:val="single" w:sz="2" w:space="0" w:color="0067AB"/>
              <w:right w:val="single" w:sz="2" w:space="0" w:color="0067AB"/>
            </w:tcBorders>
            <w:shd w:val="solid" w:color="0067AB" w:fill="0067AB"/>
          </w:tcPr>
          <w:p w14:paraId="39258ACD" w14:textId="77777777" w:rsidR="000005F4" w:rsidRDefault="000005F4" w:rsidP="000005F4">
            <w:pPr>
              <w:pStyle w:val="TableHeadingWhite"/>
            </w:pPr>
            <w:r>
              <w:t>15</w:t>
            </w:r>
          </w:p>
        </w:tc>
        <w:tc>
          <w:tcPr>
            <w:tcW w:w="178" w:type="pct"/>
            <w:tcBorders>
              <w:top w:val="single" w:sz="2" w:space="0" w:color="FFFFFF" w:themeColor="background1"/>
              <w:left w:val="single" w:sz="2" w:space="0" w:color="0067AB"/>
              <w:right w:val="single" w:sz="2" w:space="0" w:color="0067AB"/>
            </w:tcBorders>
            <w:shd w:val="solid" w:color="0067AB" w:fill="0067AB"/>
          </w:tcPr>
          <w:p w14:paraId="704AB967" w14:textId="77777777" w:rsidR="000005F4" w:rsidRDefault="000005F4" w:rsidP="000005F4">
            <w:pPr>
              <w:pStyle w:val="TableHeadingWhite"/>
            </w:pPr>
            <w:r>
              <w:t>16</w:t>
            </w:r>
          </w:p>
        </w:tc>
        <w:tc>
          <w:tcPr>
            <w:tcW w:w="178" w:type="pct"/>
            <w:tcBorders>
              <w:top w:val="single" w:sz="2" w:space="0" w:color="FFFFFF" w:themeColor="background1"/>
              <w:left w:val="single" w:sz="2" w:space="0" w:color="0067AB"/>
              <w:right w:val="single" w:sz="2" w:space="0" w:color="0067AB"/>
            </w:tcBorders>
            <w:shd w:val="solid" w:color="0067AB" w:fill="0067AB"/>
          </w:tcPr>
          <w:p w14:paraId="7DB7A9F0" w14:textId="77777777" w:rsidR="000005F4" w:rsidRDefault="000005F4" w:rsidP="000005F4">
            <w:pPr>
              <w:pStyle w:val="TableHeadingWhite"/>
            </w:pPr>
            <w:r>
              <w:t>17</w:t>
            </w:r>
          </w:p>
        </w:tc>
        <w:tc>
          <w:tcPr>
            <w:tcW w:w="178" w:type="pct"/>
            <w:tcBorders>
              <w:top w:val="single" w:sz="2" w:space="0" w:color="FFFFFF" w:themeColor="background1"/>
              <w:left w:val="single" w:sz="2" w:space="0" w:color="0067AB"/>
              <w:right w:val="single" w:sz="2" w:space="0" w:color="0067AB"/>
            </w:tcBorders>
            <w:shd w:val="solid" w:color="0067AB" w:fill="0067AB"/>
          </w:tcPr>
          <w:p w14:paraId="09FF5068" w14:textId="77777777" w:rsidR="000005F4" w:rsidRDefault="000005F4" w:rsidP="000005F4">
            <w:pPr>
              <w:pStyle w:val="TableHeadingWhite"/>
            </w:pPr>
            <w:r>
              <w:t>18</w:t>
            </w:r>
          </w:p>
        </w:tc>
        <w:tc>
          <w:tcPr>
            <w:tcW w:w="178" w:type="pct"/>
            <w:tcBorders>
              <w:top w:val="single" w:sz="2" w:space="0" w:color="FFFFFF" w:themeColor="background1"/>
              <w:left w:val="single" w:sz="2" w:space="0" w:color="0067AB"/>
              <w:right w:val="single" w:sz="2" w:space="0" w:color="0067AB"/>
            </w:tcBorders>
            <w:shd w:val="solid" w:color="0067AB" w:fill="0067AB"/>
          </w:tcPr>
          <w:p w14:paraId="22BC4EC5" w14:textId="77777777" w:rsidR="000005F4" w:rsidRDefault="000005F4" w:rsidP="000005F4">
            <w:pPr>
              <w:pStyle w:val="TableHeadingWhite"/>
            </w:pPr>
            <w:r>
              <w:t>19</w:t>
            </w:r>
          </w:p>
        </w:tc>
        <w:tc>
          <w:tcPr>
            <w:tcW w:w="178" w:type="pct"/>
            <w:tcBorders>
              <w:top w:val="single" w:sz="2" w:space="0" w:color="FFFFFF" w:themeColor="background1"/>
              <w:left w:val="single" w:sz="2" w:space="0" w:color="0067AB"/>
              <w:right w:val="single" w:sz="2" w:space="0" w:color="0067AB"/>
            </w:tcBorders>
            <w:shd w:val="solid" w:color="0067AB" w:fill="0067AB"/>
          </w:tcPr>
          <w:p w14:paraId="2D269CC1" w14:textId="77777777" w:rsidR="000005F4" w:rsidRDefault="000005F4" w:rsidP="000005F4">
            <w:pPr>
              <w:pStyle w:val="TableHeadingWhite"/>
            </w:pPr>
            <w:r>
              <w:t>20</w:t>
            </w:r>
          </w:p>
        </w:tc>
        <w:tc>
          <w:tcPr>
            <w:tcW w:w="178" w:type="pct"/>
            <w:tcBorders>
              <w:top w:val="single" w:sz="2" w:space="0" w:color="FFFFFF" w:themeColor="background1"/>
              <w:left w:val="single" w:sz="2" w:space="0" w:color="0067AB"/>
              <w:right w:val="single" w:sz="2" w:space="0" w:color="0067AB"/>
            </w:tcBorders>
            <w:shd w:val="solid" w:color="0067AB" w:fill="0067AB"/>
          </w:tcPr>
          <w:p w14:paraId="3D587300" w14:textId="77777777" w:rsidR="000005F4" w:rsidRDefault="000005F4" w:rsidP="000005F4">
            <w:pPr>
              <w:pStyle w:val="TableHeadingWhite"/>
            </w:pPr>
            <w:r>
              <w:t>21</w:t>
            </w:r>
          </w:p>
        </w:tc>
        <w:tc>
          <w:tcPr>
            <w:tcW w:w="178" w:type="pct"/>
            <w:tcBorders>
              <w:top w:val="single" w:sz="2" w:space="0" w:color="FFFFFF" w:themeColor="background1"/>
              <w:left w:val="single" w:sz="2" w:space="0" w:color="0067AB"/>
              <w:right w:val="single" w:sz="2" w:space="0" w:color="0067AB"/>
            </w:tcBorders>
            <w:shd w:val="solid" w:color="0067AB" w:fill="0067AB"/>
          </w:tcPr>
          <w:p w14:paraId="0540AD81" w14:textId="77777777" w:rsidR="000005F4" w:rsidRDefault="000005F4" w:rsidP="000005F4">
            <w:pPr>
              <w:pStyle w:val="TableHeadingWhite"/>
            </w:pPr>
            <w:r>
              <w:t>22</w:t>
            </w:r>
          </w:p>
        </w:tc>
        <w:tc>
          <w:tcPr>
            <w:tcW w:w="178" w:type="pct"/>
            <w:tcBorders>
              <w:top w:val="single" w:sz="2" w:space="0" w:color="FFFFFF" w:themeColor="background1"/>
              <w:left w:val="single" w:sz="2" w:space="0" w:color="0067AB"/>
              <w:right w:val="single" w:sz="2" w:space="0" w:color="0067AB"/>
            </w:tcBorders>
            <w:shd w:val="solid" w:color="0067AB" w:fill="0067AB"/>
          </w:tcPr>
          <w:p w14:paraId="1D4CF3EC" w14:textId="77777777" w:rsidR="000005F4" w:rsidRDefault="000005F4" w:rsidP="000005F4">
            <w:pPr>
              <w:pStyle w:val="TableHeadingWhite"/>
            </w:pPr>
            <w:r>
              <w:t>23</w:t>
            </w:r>
          </w:p>
        </w:tc>
        <w:tc>
          <w:tcPr>
            <w:tcW w:w="178" w:type="pct"/>
            <w:tcBorders>
              <w:top w:val="single" w:sz="2" w:space="0" w:color="FFFFFF" w:themeColor="background1"/>
              <w:left w:val="single" w:sz="2" w:space="0" w:color="0067AB"/>
              <w:right w:val="single" w:sz="2" w:space="0" w:color="0067AB"/>
            </w:tcBorders>
            <w:shd w:val="solid" w:color="0067AB" w:fill="0067AB"/>
          </w:tcPr>
          <w:p w14:paraId="2C367835" w14:textId="77777777" w:rsidR="000005F4" w:rsidRDefault="000005F4" w:rsidP="000005F4">
            <w:pPr>
              <w:pStyle w:val="TableHeadingWhite"/>
            </w:pPr>
            <w:r>
              <w:t>24</w:t>
            </w:r>
          </w:p>
        </w:tc>
        <w:tc>
          <w:tcPr>
            <w:tcW w:w="178" w:type="pct"/>
            <w:tcBorders>
              <w:top w:val="single" w:sz="2" w:space="0" w:color="FFFFFF" w:themeColor="background1"/>
              <w:left w:val="single" w:sz="2" w:space="0" w:color="0067AB"/>
            </w:tcBorders>
            <w:shd w:val="solid" w:color="0067AB" w:fill="0067AB"/>
          </w:tcPr>
          <w:p w14:paraId="40AE4A11" w14:textId="77777777" w:rsidR="000005F4" w:rsidRDefault="000005F4" w:rsidP="000005F4">
            <w:pPr>
              <w:pStyle w:val="TableHeadingWhite"/>
            </w:pPr>
            <w:r>
              <w:t>25</w:t>
            </w:r>
          </w:p>
        </w:tc>
      </w:tr>
      <w:tr w:rsidR="000005F4" w14:paraId="4D5928DD" w14:textId="77777777" w:rsidTr="000005F4">
        <w:tc>
          <w:tcPr>
            <w:tcW w:w="553" w:type="pct"/>
            <w:shd w:val="clear" w:color="auto" w:fill="EAF1DD" w:themeFill="accent3" w:themeFillTint="33"/>
          </w:tcPr>
          <w:p w14:paraId="64F2EB3C" w14:textId="77777777" w:rsidR="000005F4" w:rsidRPr="00B3321C" w:rsidRDefault="000005F4" w:rsidP="000005F4">
            <w:pPr>
              <w:pStyle w:val="TableTextNoSpace"/>
              <w:ind w:right="0"/>
              <w:rPr>
                <w:sz w:val="16"/>
              </w:rPr>
            </w:pPr>
            <w:r>
              <w:rPr>
                <w:sz w:val="16"/>
              </w:rPr>
              <w:t xml:space="preserve">Art. 18 &amp; 22 </w:t>
            </w:r>
          </w:p>
        </w:tc>
        <w:tc>
          <w:tcPr>
            <w:tcW w:w="178" w:type="pct"/>
            <w:shd w:val="clear" w:color="auto" w:fill="EAF1DD" w:themeFill="accent3" w:themeFillTint="33"/>
          </w:tcPr>
          <w:p w14:paraId="5637476B" w14:textId="77777777" w:rsidR="000005F4" w:rsidRDefault="000005F4" w:rsidP="000005F4">
            <w:pPr>
              <w:pStyle w:val="TableTextNoSpace"/>
            </w:pPr>
            <w:r w:rsidRPr="0081124B">
              <w:rPr>
                <w:rFonts w:asciiTheme="minorHAnsi" w:hAnsiTheme="minorHAnsi"/>
                <w:sz w:val="18"/>
                <w:szCs w:val="18"/>
              </w:rPr>
              <w:t>x</w:t>
            </w:r>
          </w:p>
        </w:tc>
        <w:tc>
          <w:tcPr>
            <w:tcW w:w="178" w:type="pct"/>
            <w:shd w:val="clear" w:color="auto" w:fill="EAF1DD" w:themeFill="accent3" w:themeFillTint="33"/>
          </w:tcPr>
          <w:p w14:paraId="21BBBFEB" w14:textId="77777777" w:rsidR="000005F4" w:rsidRDefault="000005F4" w:rsidP="000005F4">
            <w:pPr>
              <w:pStyle w:val="TableTextNoSpace"/>
            </w:pPr>
            <w:r w:rsidRPr="0081124B">
              <w:rPr>
                <w:rFonts w:asciiTheme="minorHAnsi" w:hAnsiTheme="minorHAnsi"/>
                <w:sz w:val="18"/>
                <w:szCs w:val="18"/>
              </w:rPr>
              <w:t>x</w:t>
            </w:r>
          </w:p>
        </w:tc>
        <w:tc>
          <w:tcPr>
            <w:tcW w:w="178" w:type="pct"/>
            <w:shd w:val="clear" w:color="auto" w:fill="EAF1DD" w:themeFill="accent3" w:themeFillTint="33"/>
          </w:tcPr>
          <w:p w14:paraId="3ABE715D" w14:textId="77777777" w:rsidR="000005F4" w:rsidRDefault="000005F4" w:rsidP="000005F4">
            <w:pPr>
              <w:pStyle w:val="TableTextNoSpace"/>
            </w:pPr>
            <w:r w:rsidRPr="0081124B">
              <w:rPr>
                <w:rFonts w:asciiTheme="minorHAnsi" w:hAnsiTheme="minorHAnsi"/>
                <w:sz w:val="18"/>
                <w:szCs w:val="18"/>
              </w:rPr>
              <w:t>x</w:t>
            </w:r>
          </w:p>
        </w:tc>
        <w:tc>
          <w:tcPr>
            <w:tcW w:w="178" w:type="pct"/>
            <w:shd w:val="clear" w:color="auto" w:fill="EAF1DD" w:themeFill="accent3" w:themeFillTint="33"/>
          </w:tcPr>
          <w:p w14:paraId="370FD234" w14:textId="77777777" w:rsidR="000005F4" w:rsidRDefault="000005F4" w:rsidP="000005F4">
            <w:pPr>
              <w:pStyle w:val="TableTextNoSpace"/>
            </w:pPr>
            <w:r w:rsidRPr="0081124B">
              <w:rPr>
                <w:rFonts w:asciiTheme="minorHAnsi" w:hAnsiTheme="minorHAnsi"/>
                <w:sz w:val="18"/>
                <w:szCs w:val="18"/>
              </w:rPr>
              <w:t>x</w:t>
            </w:r>
          </w:p>
        </w:tc>
        <w:tc>
          <w:tcPr>
            <w:tcW w:w="178" w:type="pct"/>
            <w:shd w:val="clear" w:color="auto" w:fill="EAF1DD" w:themeFill="accent3" w:themeFillTint="33"/>
          </w:tcPr>
          <w:p w14:paraId="74FFF16D" w14:textId="77777777" w:rsidR="000005F4" w:rsidRDefault="000005F4" w:rsidP="000005F4">
            <w:pPr>
              <w:pStyle w:val="TableTextNoSpace"/>
            </w:pPr>
            <w:r w:rsidRPr="0081124B">
              <w:rPr>
                <w:rFonts w:asciiTheme="minorHAnsi" w:hAnsiTheme="minorHAnsi"/>
                <w:sz w:val="18"/>
                <w:szCs w:val="18"/>
              </w:rPr>
              <w:t>x</w:t>
            </w:r>
          </w:p>
        </w:tc>
        <w:tc>
          <w:tcPr>
            <w:tcW w:w="178" w:type="pct"/>
            <w:shd w:val="clear" w:color="auto" w:fill="EAF1DD" w:themeFill="accent3" w:themeFillTint="33"/>
          </w:tcPr>
          <w:p w14:paraId="19DDC8F4" w14:textId="77777777" w:rsidR="000005F4" w:rsidRDefault="000005F4" w:rsidP="000005F4">
            <w:pPr>
              <w:pStyle w:val="TableTextNoSpace"/>
            </w:pPr>
            <w:r w:rsidRPr="0081124B">
              <w:rPr>
                <w:rFonts w:asciiTheme="minorHAnsi" w:hAnsiTheme="minorHAnsi"/>
                <w:sz w:val="18"/>
                <w:szCs w:val="18"/>
              </w:rPr>
              <w:t>x</w:t>
            </w:r>
          </w:p>
        </w:tc>
        <w:tc>
          <w:tcPr>
            <w:tcW w:w="178" w:type="pct"/>
            <w:shd w:val="clear" w:color="auto" w:fill="EAF1DD" w:themeFill="accent3" w:themeFillTint="33"/>
          </w:tcPr>
          <w:p w14:paraId="6C72F0E9" w14:textId="77777777" w:rsidR="000005F4" w:rsidRDefault="000005F4" w:rsidP="000005F4">
            <w:pPr>
              <w:pStyle w:val="TableTextNoSpace"/>
            </w:pPr>
            <w:r w:rsidRPr="0081124B">
              <w:rPr>
                <w:rFonts w:asciiTheme="minorHAnsi" w:hAnsiTheme="minorHAnsi"/>
                <w:sz w:val="18"/>
                <w:szCs w:val="18"/>
              </w:rPr>
              <w:t>x</w:t>
            </w:r>
          </w:p>
        </w:tc>
        <w:tc>
          <w:tcPr>
            <w:tcW w:w="178" w:type="pct"/>
            <w:shd w:val="clear" w:color="auto" w:fill="EAF1DD" w:themeFill="accent3" w:themeFillTint="33"/>
          </w:tcPr>
          <w:p w14:paraId="1091044C" w14:textId="77777777" w:rsidR="000005F4" w:rsidRDefault="000005F4" w:rsidP="000005F4">
            <w:pPr>
              <w:pStyle w:val="TableTextNoSpace"/>
            </w:pPr>
            <w:r w:rsidRPr="0081124B">
              <w:rPr>
                <w:rFonts w:asciiTheme="minorHAnsi" w:hAnsiTheme="minorHAnsi"/>
                <w:sz w:val="18"/>
                <w:szCs w:val="18"/>
              </w:rPr>
              <w:t>x</w:t>
            </w:r>
          </w:p>
        </w:tc>
        <w:tc>
          <w:tcPr>
            <w:tcW w:w="178" w:type="pct"/>
            <w:shd w:val="clear" w:color="auto" w:fill="EAF1DD" w:themeFill="accent3" w:themeFillTint="33"/>
          </w:tcPr>
          <w:p w14:paraId="265E8F95" w14:textId="77777777" w:rsidR="000005F4" w:rsidRDefault="000005F4" w:rsidP="000005F4">
            <w:pPr>
              <w:pStyle w:val="TableTextNoSpace"/>
            </w:pPr>
            <w:r w:rsidRPr="0081124B">
              <w:rPr>
                <w:rFonts w:asciiTheme="minorHAnsi" w:hAnsiTheme="minorHAnsi"/>
                <w:sz w:val="18"/>
                <w:szCs w:val="18"/>
              </w:rPr>
              <w:t>x</w:t>
            </w:r>
          </w:p>
        </w:tc>
        <w:tc>
          <w:tcPr>
            <w:tcW w:w="178" w:type="pct"/>
            <w:shd w:val="clear" w:color="auto" w:fill="EAF1DD" w:themeFill="accent3" w:themeFillTint="33"/>
          </w:tcPr>
          <w:p w14:paraId="14B714E8" w14:textId="77777777" w:rsidR="000005F4" w:rsidRDefault="000005F4" w:rsidP="000005F4">
            <w:pPr>
              <w:pStyle w:val="TableTextNoSpace"/>
            </w:pPr>
            <w:r w:rsidRPr="0081124B">
              <w:rPr>
                <w:rFonts w:asciiTheme="minorHAnsi" w:hAnsiTheme="minorHAnsi"/>
                <w:sz w:val="18"/>
                <w:szCs w:val="18"/>
              </w:rPr>
              <w:t>x</w:t>
            </w:r>
          </w:p>
        </w:tc>
        <w:tc>
          <w:tcPr>
            <w:tcW w:w="178" w:type="pct"/>
            <w:shd w:val="clear" w:color="auto" w:fill="EAF1DD" w:themeFill="accent3" w:themeFillTint="33"/>
          </w:tcPr>
          <w:p w14:paraId="4EA9D096" w14:textId="77777777" w:rsidR="000005F4" w:rsidRDefault="000005F4" w:rsidP="000005F4">
            <w:pPr>
              <w:pStyle w:val="TableTextNoSpace"/>
            </w:pPr>
            <w:r w:rsidRPr="0081124B">
              <w:rPr>
                <w:rFonts w:asciiTheme="minorHAnsi" w:hAnsiTheme="minorHAnsi"/>
                <w:sz w:val="18"/>
                <w:szCs w:val="18"/>
              </w:rPr>
              <w:t>x</w:t>
            </w:r>
          </w:p>
        </w:tc>
        <w:tc>
          <w:tcPr>
            <w:tcW w:w="178" w:type="pct"/>
            <w:shd w:val="clear" w:color="auto" w:fill="EAF1DD" w:themeFill="accent3" w:themeFillTint="33"/>
          </w:tcPr>
          <w:p w14:paraId="63B3EF32" w14:textId="77777777" w:rsidR="000005F4" w:rsidRDefault="000005F4" w:rsidP="000005F4">
            <w:pPr>
              <w:pStyle w:val="TableTextNoSpace"/>
            </w:pPr>
            <w:r w:rsidRPr="0081124B">
              <w:rPr>
                <w:rFonts w:asciiTheme="minorHAnsi" w:hAnsiTheme="minorHAnsi"/>
                <w:sz w:val="18"/>
                <w:szCs w:val="18"/>
              </w:rPr>
              <w:t>x</w:t>
            </w:r>
          </w:p>
        </w:tc>
        <w:tc>
          <w:tcPr>
            <w:tcW w:w="178" w:type="pct"/>
            <w:shd w:val="clear" w:color="auto" w:fill="EAF1DD" w:themeFill="accent3" w:themeFillTint="33"/>
          </w:tcPr>
          <w:p w14:paraId="08EC2FCD" w14:textId="77777777" w:rsidR="000005F4" w:rsidRDefault="000005F4" w:rsidP="000005F4">
            <w:pPr>
              <w:pStyle w:val="TableTextNoSpace"/>
            </w:pPr>
            <w:r w:rsidRPr="0081124B">
              <w:rPr>
                <w:rFonts w:asciiTheme="minorHAnsi" w:hAnsiTheme="minorHAnsi"/>
                <w:sz w:val="18"/>
                <w:szCs w:val="18"/>
              </w:rPr>
              <w:t>x</w:t>
            </w:r>
          </w:p>
        </w:tc>
        <w:tc>
          <w:tcPr>
            <w:tcW w:w="178" w:type="pct"/>
            <w:shd w:val="clear" w:color="auto" w:fill="EAF1DD" w:themeFill="accent3" w:themeFillTint="33"/>
          </w:tcPr>
          <w:p w14:paraId="67F28EC2" w14:textId="77777777" w:rsidR="000005F4" w:rsidRDefault="000005F4" w:rsidP="000005F4">
            <w:pPr>
              <w:pStyle w:val="TableTextNoSpace"/>
            </w:pPr>
            <w:r w:rsidRPr="0081124B">
              <w:rPr>
                <w:rFonts w:asciiTheme="minorHAnsi" w:hAnsiTheme="minorHAnsi"/>
                <w:sz w:val="18"/>
                <w:szCs w:val="18"/>
              </w:rPr>
              <w:t>x</w:t>
            </w:r>
          </w:p>
        </w:tc>
        <w:tc>
          <w:tcPr>
            <w:tcW w:w="178" w:type="pct"/>
            <w:shd w:val="clear" w:color="auto" w:fill="EAF1DD" w:themeFill="accent3" w:themeFillTint="33"/>
          </w:tcPr>
          <w:p w14:paraId="5F5B86A9" w14:textId="77777777" w:rsidR="000005F4" w:rsidRDefault="000005F4" w:rsidP="000005F4">
            <w:pPr>
              <w:pStyle w:val="TableTextNoSpace"/>
            </w:pPr>
            <w:r w:rsidRPr="0081124B">
              <w:rPr>
                <w:rFonts w:asciiTheme="minorHAnsi" w:hAnsiTheme="minorHAnsi"/>
                <w:sz w:val="18"/>
                <w:szCs w:val="18"/>
              </w:rPr>
              <w:t>x</w:t>
            </w:r>
          </w:p>
        </w:tc>
        <w:tc>
          <w:tcPr>
            <w:tcW w:w="178" w:type="pct"/>
            <w:shd w:val="clear" w:color="auto" w:fill="EAF1DD" w:themeFill="accent3" w:themeFillTint="33"/>
          </w:tcPr>
          <w:p w14:paraId="5549E799" w14:textId="77777777" w:rsidR="000005F4" w:rsidRDefault="000005F4" w:rsidP="000005F4">
            <w:pPr>
              <w:pStyle w:val="TableTextNoSpace"/>
            </w:pPr>
            <w:r w:rsidRPr="0081124B">
              <w:rPr>
                <w:rFonts w:asciiTheme="minorHAnsi" w:hAnsiTheme="minorHAnsi"/>
                <w:sz w:val="18"/>
                <w:szCs w:val="18"/>
              </w:rPr>
              <w:t>x</w:t>
            </w:r>
          </w:p>
        </w:tc>
        <w:tc>
          <w:tcPr>
            <w:tcW w:w="178" w:type="pct"/>
            <w:shd w:val="clear" w:color="auto" w:fill="EAF1DD" w:themeFill="accent3" w:themeFillTint="33"/>
          </w:tcPr>
          <w:p w14:paraId="0F46A922" w14:textId="77777777" w:rsidR="000005F4" w:rsidRDefault="000005F4" w:rsidP="000005F4">
            <w:pPr>
              <w:pStyle w:val="TableTextNoSpace"/>
            </w:pPr>
            <w:r w:rsidRPr="0081124B">
              <w:rPr>
                <w:rFonts w:asciiTheme="minorHAnsi" w:hAnsiTheme="minorHAnsi"/>
                <w:sz w:val="18"/>
                <w:szCs w:val="18"/>
              </w:rPr>
              <w:t>x</w:t>
            </w:r>
          </w:p>
        </w:tc>
        <w:tc>
          <w:tcPr>
            <w:tcW w:w="178" w:type="pct"/>
            <w:shd w:val="clear" w:color="auto" w:fill="EAF1DD" w:themeFill="accent3" w:themeFillTint="33"/>
          </w:tcPr>
          <w:p w14:paraId="24D33AF2" w14:textId="77777777" w:rsidR="000005F4" w:rsidRDefault="000005F4" w:rsidP="000005F4">
            <w:pPr>
              <w:pStyle w:val="TableTextNoSpace"/>
            </w:pPr>
            <w:r w:rsidRPr="0081124B">
              <w:rPr>
                <w:rFonts w:asciiTheme="minorHAnsi" w:hAnsiTheme="minorHAnsi"/>
                <w:sz w:val="18"/>
                <w:szCs w:val="18"/>
              </w:rPr>
              <w:t>x</w:t>
            </w:r>
          </w:p>
        </w:tc>
        <w:tc>
          <w:tcPr>
            <w:tcW w:w="178" w:type="pct"/>
            <w:shd w:val="clear" w:color="auto" w:fill="EAF1DD" w:themeFill="accent3" w:themeFillTint="33"/>
          </w:tcPr>
          <w:p w14:paraId="5689153A" w14:textId="77777777" w:rsidR="000005F4" w:rsidRDefault="000005F4" w:rsidP="000005F4">
            <w:pPr>
              <w:pStyle w:val="TableTextNoSpace"/>
            </w:pPr>
            <w:r w:rsidRPr="0081124B">
              <w:rPr>
                <w:rFonts w:asciiTheme="minorHAnsi" w:hAnsiTheme="minorHAnsi"/>
                <w:sz w:val="18"/>
                <w:szCs w:val="18"/>
              </w:rPr>
              <w:t>x</w:t>
            </w:r>
          </w:p>
        </w:tc>
        <w:tc>
          <w:tcPr>
            <w:tcW w:w="178" w:type="pct"/>
            <w:shd w:val="clear" w:color="auto" w:fill="EAF1DD" w:themeFill="accent3" w:themeFillTint="33"/>
          </w:tcPr>
          <w:p w14:paraId="64003E91" w14:textId="77777777" w:rsidR="000005F4" w:rsidRDefault="000005F4" w:rsidP="000005F4">
            <w:pPr>
              <w:pStyle w:val="TableTextNoSpace"/>
            </w:pPr>
            <w:r w:rsidRPr="0081124B">
              <w:rPr>
                <w:rFonts w:asciiTheme="minorHAnsi" w:hAnsiTheme="minorHAnsi"/>
                <w:sz w:val="18"/>
                <w:szCs w:val="18"/>
              </w:rPr>
              <w:t>x</w:t>
            </w:r>
          </w:p>
        </w:tc>
        <w:tc>
          <w:tcPr>
            <w:tcW w:w="178" w:type="pct"/>
            <w:shd w:val="clear" w:color="auto" w:fill="EAF1DD" w:themeFill="accent3" w:themeFillTint="33"/>
          </w:tcPr>
          <w:p w14:paraId="786D1B1C" w14:textId="77777777" w:rsidR="000005F4" w:rsidRDefault="000005F4" w:rsidP="000005F4">
            <w:pPr>
              <w:pStyle w:val="TableTextNoSpace"/>
            </w:pPr>
            <w:r w:rsidRPr="0081124B">
              <w:rPr>
                <w:rFonts w:asciiTheme="minorHAnsi" w:hAnsiTheme="minorHAnsi"/>
                <w:sz w:val="18"/>
                <w:szCs w:val="18"/>
              </w:rPr>
              <w:t>x</w:t>
            </w:r>
          </w:p>
        </w:tc>
        <w:tc>
          <w:tcPr>
            <w:tcW w:w="178" w:type="pct"/>
            <w:shd w:val="clear" w:color="auto" w:fill="EAF1DD" w:themeFill="accent3" w:themeFillTint="33"/>
          </w:tcPr>
          <w:p w14:paraId="0CB60A98" w14:textId="77777777" w:rsidR="000005F4" w:rsidRDefault="000005F4" w:rsidP="000005F4">
            <w:pPr>
              <w:pStyle w:val="TableTextNoSpace"/>
            </w:pPr>
            <w:r w:rsidRPr="0081124B">
              <w:rPr>
                <w:rFonts w:asciiTheme="minorHAnsi" w:hAnsiTheme="minorHAnsi"/>
                <w:sz w:val="18"/>
                <w:szCs w:val="18"/>
              </w:rPr>
              <w:t>x</w:t>
            </w:r>
          </w:p>
        </w:tc>
        <w:tc>
          <w:tcPr>
            <w:tcW w:w="178" w:type="pct"/>
            <w:shd w:val="clear" w:color="auto" w:fill="EAF1DD" w:themeFill="accent3" w:themeFillTint="33"/>
          </w:tcPr>
          <w:p w14:paraId="3EC121CA" w14:textId="77777777" w:rsidR="000005F4" w:rsidRDefault="000005F4" w:rsidP="000005F4">
            <w:pPr>
              <w:pStyle w:val="TableTextNoSpace"/>
            </w:pPr>
            <w:r w:rsidRPr="0081124B">
              <w:rPr>
                <w:rFonts w:asciiTheme="minorHAnsi" w:hAnsiTheme="minorHAnsi"/>
                <w:sz w:val="18"/>
                <w:szCs w:val="18"/>
              </w:rPr>
              <w:t>x</w:t>
            </w:r>
          </w:p>
        </w:tc>
        <w:tc>
          <w:tcPr>
            <w:tcW w:w="178" w:type="pct"/>
            <w:shd w:val="clear" w:color="auto" w:fill="EAF1DD" w:themeFill="accent3" w:themeFillTint="33"/>
          </w:tcPr>
          <w:p w14:paraId="123A218B" w14:textId="77777777" w:rsidR="000005F4" w:rsidRDefault="000005F4" w:rsidP="000005F4">
            <w:pPr>
              <w:pStyle w:val="TableTextNoSpace"/>
            </w:pPr>
            <w:r w:rsidRPr="0081124B">
              <w:rPr>
                <w:rFonts w:asciiTheme="minorHAnsi" w:hAnsiTheme="minorHAnsi"/>
                <w:sz w:val="18"/>
                <w:szCs w:val="18"/>
              </w:rPr>
              <w:t>x</w:t>
            </w:r>
          </w:p>
        </w:tc>
        <w:tc>
          <w:tcPr>
            <w:tcW w:w="178" w:type="pct"/>
            <w:shd w:val="clear" w:color="auto" w:fill="EAF1DD" w:themeFill="accent3" w:themeFillTint="33"/>
          </w:tcPr>
          <w:p w14:paraId="5B259F32" w14:textId="77777777" w:rsidR="000005F4" w:rsidRDefault="000005F4" w:rsidP="000005F4">
            <w:pPr>
              <w:pStyle w:val="TableTextNoSpace"/>
            </w:pPr>
            <w:r w:rsidRPr="0081124B">
              <w:rPr>
                <w:rFonts w:asciiTheme="minorHAnsi" w:hAnsiTheme="minorHAnsi"/>
                <w:sz w:val="18"/>
                <w:szCs w:val="18"/>
              </w:rPr>
              <w:t>x</w:t>
            </w:r>
          </w:p>
        </w:tc>
      </w:tr>
    </w:tbl>
    <w:p w14:paraId="70818F1B" w14:textId="77777777" w:rsidR="000005F4" w:rsidRPr="00C03A23" w:rsidRDefault="000005F4" w:rsidP="000005F4"/>
    <w:p w14:paraId="355C036F" w14:textId="77777777" w:rsidR="000005F4" w:rsidRDefault="000005F4" w:rsidP="000005F4">
      <w:pPr>
        <w:pStyle w:val="Heading2NoNumb"/>
      </w:pPr>
      <w:bookmarkStart w:id="421" w:name="_Toc408094047"/>
      <w:bookmarkStart w:id="422" w:name="_Toc408138048"/>
      <w:bookmarkStart w:id="423" w:name="_Toc408851037"/>
      <w:bookmarkStart w:id="424" w:name="_Toc421880713"/>
      <w:r>
        <w:t>Horizon 2020</w:t>
      </w:r>
      <w:bookmarkEnd w:id="421"/>
      <w:bookmarkEnd w:id="422"/>
      <w:bookmarkEnd w:id="423"/>
      <w:bookmarkEnd w:id="424"/>
      <w:r>
        <w:t xml:space="preserve"> </w:t>
      </w:r>
    </w:p>
    <w:p w14:paraId="25FC8049" w14:textId="77777777" w:rsidR="000005F4" w:rsidRPr="004419C4" w:rsidRDefault="000005F4" w:rsidP="000005F4">
      <w:pPr>
        <w:rPr>
          <w:i/>
        </w:rPr>
      </w:pPr>
      <w:bookmarkStart w:id="425" w:name="_Toc407942734"/>
      <w:r w:rsidRPr="004419C4">
        <w:rPr>
          <w:i/>
        </w:rPr>
        <w:t xml:space="preserve">Note: Articles most directly relevant for Natura 2000 actions are highlighted. </w:t>
      </w:r>
    </w:p>
    <w:p w14:paraId="62D22485" w14:textId="77777777" w:rsidR="000005F4" w:rsidRDefault="000005F4" w:rsidP="000005F4">
      <w:pPr>
        <w:pStyle w:val="AnnexFigure"/>
      </w:pPr>
      <w:bookmarkStart w:id="426" w:name="_Toc408094139"/>
      <w:bookmarkStart w:id="427" w:name="_Toc408851123"/>
      <w:r>
        <w:t>Summary of Wales-relevant articles in Horizon 2020</w:t>
      </w:r>
      <w:bookmarkEnd w:id="425"/>
      <w:bookmarkEnd w:id="426"/>
      <w:bookmarkEnd w:id="427"/>
      <w:r>
        <w:t xml:space="preserve"> </w:t>
      </w:r>
    </w:p>
    <w:tbl>
      <w:tblPr>
        <w:tblW w:w="9071" w:type="dxa"/>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Layout w:type="fixed"/>
        <w:tblCellMar>
          <w:top w:w="57" w:type="dxa"/>
          <w:left w:w="0" w:type="dxa"/>
          <w:bottom w:w="28" w:type="dxa"/>
          <w:right w:w="0" w:type="dxa"/>
        </w:tblCellMar>
        <w:tblLook w:val="0000" w:firstRow="0" w:lastRow="0" w:firstColumn="0" w:lastColumn="0" w:noHBand="0" w:noVBand="0"/>
      </w:tblPr>
      <w:tblGrid>
        <w:gridCol w:w="2265"/>
        <w:gridCol w:w="6806"/>
      </w:tblGrid>
      <w:tr w:rsidR="000005F4" w14:paraId="26AA5900" w14:textId="77777777" w:rsidTr="000005F4">
        <w:trPr>
          <w:cantSplit/>
        </w:trPr>
        <w:tc>
          <w:tcPr>
            <w:tcW w:w="2265" w:type="dxa"/>
            <w:shd w:val="clear" w:color="auto" w:fill="auto"/>
          </w:tcPr>
          <w:p w14:paraId="32CFDE68" w14:textId="77777777" w:rsidR="000005F4" w:rsidRDefault="000005F4" w:rsidP="000005F4">
            <w:pPr>
              <w:pStyle w:val="TableHeading"/>
            </w:pPr>
            <w:r>
              <w:t>Article Title</w:t>
            </w:r>
          </w:p>
        </w:tc>
        <w:tc>
          <w:tcPr>
            <w:tcW w:w="6806" w:type="dxa"/>
            <w:shd w:val="solid" w:color="0067AB" w:fill="0067AB"/>
          </w:tcPr>
          <w:p w14:paraId="6B93F852" w14:textId="77777777" w:rsidR="000005F4" w:rsidRDefault="000005F4" w:rsidP="000005F4">
            <w:pPr>
              <w:pStyle w:val="TableHeadingWhite"/>
            </w:pPr>
            <w:r>
              <w:t>Article Detail</w:t>
            </w:r>
          </w:p>
        </w:tc>
      </w:tr>
      <w:tr w:rsidR="000005F4" w14:paraId="42EA6745" w14:textId="77777777" w:rsidTr="000005F4">
        <w:tc>
          <w:tcPr>
            <w:tcW w:w="2265" w:type="dxa"/>
            <w:shd w:val="clear" w:color="auto" w:fill="EAF1DD" w:themeFill="accent3" w:themeFillTint="33"/>
          </w:tcPr>
          <w:p w14:paraId="70252E89" w14:textId="77777777" w:rsidR="000005F4" w:rsidRDefault="000005F4" w:rsidP="000005F4">
            <w:pPr>
              <w:pStyle w:val="TableTextNoSpace"/>
            </w:pPr>
            <w:r w:rsidRPr="00984438">
              <w:t>Article 5.2/Theme 5</w:t>
            </w:r>
          </w:p>
        </w:tc>
        <w:tc>
          <w:tcPr>
            <w:tcW w:w="6806" w:type="dxa"/>
            <w:shd w:val="clear" w:color="auto" w:fill="EAF1DD" w:themeFill="accent3" w:themeFillTint="33"/>
          </w:tcPr>
          <w:p w14:paraId="5D77404B" w14:textId="77777777" w:rsidR="000005F4" w:rsidRDefault="000005F4" w:rsidP="000005F4">
            <w:pPr>
              <w:pStyle w:val="TableTextNoSpace"/>
            </w:pPr>
            <w:r w:rsidRPr="00984438">
              <w:t>Societal challenges: climate action, resource efficiency and raw materials</w:t>
            </w:r>
            <w:r>
              <w:t xml:space="preserve">. </w:t>
            </w:r>
            <w:r w:rsidRPr="003F2962">
              <w:t>Fighting and adapting to climate change, sustainably managing natural resources and ecosystems, sustainable supply of non-energy resources, enabling the transition towards green economy through eco-innovation</w:t>
            </w:r>
          </w:p>
        </w:tc>
      </w:tr>
      <w:tr w:rsidR="000005F4" w14:paraId="504FCAD4" w14:textId="77777777" w:rsidTr="000005F4">
        <w:tc>
          <w:tcPr>
            <w:tcW w:w="2265" w:type="dxa"/>
            <w:shd w:val="clear" w:color="auto" w:fill="auto"/>
          </w:tcPr>
          <w:p w14:paraId="35889CBB" w14:textId="77777777" w:rsidR="000005F4" w:rsidRDefault="000005F4" w:rsidP="000005F4">
            <w:pPr>
              <w:pStyle w:val="TableTextNoSpace"/>
            </w:pPr>
            <w:r w:rsidRPr="00984438">
              <w:t>Article 5.2/Theme 2</w:t>
            </w:r>
          </w:p>
        </w:tc>
        <w:tc>
          <w:tcPr>
            <w:tcW w:w="6806" w:type="dxa"/>
            <w:shd w:val="clear" w:color="auto" w:fill="auto"/>
          </w:tcPr>
          <w:p w14:paraId="54F18388" w14:textId="77777777" w:rsidR="000005F4" w:rsidRDefault="000005F4" w:rsidP="000005F4">
            <w:pPr>
              <w:pStyle w:val="TableTextNoSpace"/>
              <w:ind w:left="0"/>
            </w:pPr>
            <w:r>
              <w:t xml:space="preserve"> </w:t>
            </w:r>
            <w:r w:rsidRPr="00984438">
              <w:t xml:space="preserve">Food security, </w:t>
            </w:r>
            <w:r>
              <w:t xml:space="preserve">sustainable agriculture, marine </w:t>
            </w:r>
            <w:r w:rsidRPr="00984438">
              <w:t xml:space="preserve">and maritime research, bioeconomy </w:t>
            </w:r>
          </w:p>
        </w:tc>
      </w:tr>
      <w:tr w:rsidR="000005F4" w14:paraId="3B678AC2" w14:textId="77777777" w:rsidTr="000005F4">
        <w:tc>
          <w:tcPr>
            <w:tcW w:w="2265" w:type="dxa"/>
            <w:shd w:val="clear" w:color="auto" w:fill="auto"/>
          </w:tcPr>
          <w:p w14:paraId="2024F95D" w14:textId="77777777" w:rsidR="000005F4" w:rsidRDefault="000005F4" w:rsidP="000005F4">
            <w:pPr>
              <w:pStyle w:val="TableTextNoSpace"/>
            </w:pPr>
            <w:r w:rsidRPr="00984438">
              <w:t xml:space="preserve">Article 5.2/Theme 4 </w:t>
            </w:r>
          </w:p>
        </w:tc>
        <w:tc>
          <w:tcPr>
            <w:tcW w:w="6806" w:type="dxa"/>
            <w:shd w:val="clear" w:color="auto" w:fill="auto"/>
          </w:tcPr>
          <w:p w14:paraId="457F302A" w14:textId="77777777" w:rsidR="000005F4" w:rsidRDefault="000005F4" w:rsidP="000005F4">
            <w:pPr>
              <w:pStyle w:val="TableTextNoSpace"/>
            </w:pPr>
            <w:r w:rsidRPr="00984438">
              <w:t xml:space="preserve">Smart, green and integrated transport </w:t>
            </w:r>
          </w:p>
        </w:tc>
      </w:tr>
    </w:tbl>
    <w:p w14:paraId="0E43039B" w14:textId="77777777" w:rsidR="000005F4" w:rsidRDefault="000005F4" w:rsidP="000005F4">
      <w:pPr>
        <w:pStyle w:val="AnnexTable"/>
      </w:pPr>
      <w:bookmarkStart w:id="428" w:name="_Toc407942728"/>
      <w:bookmarkStart w:id="429" w:name="_Toc408094134"/>
      <w:bookmarkStart w:id="430" w:name="_Toc408851118"/>
      <w:r>
        <w:t>Summary of Wales-relevant articles in Horizon 2020</w:t>
      </w:r>
      <w:bookmarkEnd w:id="428"/>
      <w:bookmarkEnd w:id="429"/>
      <w:bookmarkEnd w:id="430"/>
      <w:r>
        <w:t xml:space="preserve"> </w:t>
      </w:r>
    </w:p>
    <w:tbl>
      <w:tblPr>
        <w:tblW w:w="5000" w:type="pct"/>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CellMar>
          <w:top w:w="57" w:type="dxa"/>
          <w:left w:w="0" w:type="dxa"/>
          <w:bottom w:w="28" w:type="dxa"/>
          <w:right w:w="0" w:type="dxa"/>
        </w:tblCellMar>
        <w:tblLook w:val="0000" w:firstRow="0" w:lastRow="0" w:firstColumn="0" w:lastColumn="0" w:noHBand="0" w:noVBand="0"/>
      </w:tblPr>
      <w:tblGrid>
        <w:gridCol w:w="1002"/>
        <w:gridCol w:w="322"/>
        <w:gridCol w:w="322"/>
        <w:gridCol w:w="322"/>
        <w:gridCol w:w="322"/>
        <w:gridCol w:w="322"/>
        <w:gridCol w:w="322"/>
        <w:gridCol w:w="322"/>
        <w:gridCol w:w="322"/>
        <w:gridCol w:w="322"/>
        <w:gridCol w:w="322"/>
        <w:gridCol w:w="322"/>
        <w:gridCol w:w="323"/>
        <w:gridCol w:w="323"/>
        <w:gridCol w:w="323"/>
        <w:gridCol w:w="323"/>
        <w:gridCol w:w="323"/>
        <w:gridCol w:w="323"/>
        <w:gridCol w:w="323"/>
        <w:gridCol w:w="323"/>
        <w:gridCol w:w="323"/>
        <w:gridCol w:w="323"/>
        <w:gridCol w:w="323"/>
        <w:gridCol w:w="323"/>
        <w:gridCol w:w="323"/>
        <w:gridCol w:w="322"/>
      </w:tblGrid>
      <w:tr w:rsidR="000005F4" w14:paraId="76DB24CC" w14:textId="77777777" w:rsidTr="000005F4">
        <w:trPr>
          <w:cantSplit/>
        </w:trPr>
        <w:tc>
          <w:tcPr>
            <w:tcW w:w="553" w:type="pct"/>
            <w:shd w:val="clear" w:color="auto" w:fill="auto"/>
          </w:tcPr>
          <w:p w14:paraId="3BEDFD97" w14:textId="77777777" w:rsidR="000005F4" w:rsidRDefault="000005F4" w:rsidP="000005F4">
            <w:pPr>
              <w:pStyle w:val="TableHeading"/>
            </w:pPr>
            <w:r>
              <w:t>Article</w:t>
            </w:r>
          </w:p>
        </w:tc>
        <w:tc>
          <w:tcPr>
            <w:tcW w:w="178" w:type="pct"/>
            <w:tcBorders>
              <w:right w:val="single" w:sz="2" w:space="0" w:color="FFFFFF"/>
            </w:tcBorders>
            <w:shd w:val="solid" w:color="0067AB" w:fill="0067AB"/>
          </w:tcPr>
          <w:p w14:paraId="3426711C" w14:textId="77777777" w:rsidR="000005F4" w:rsidRDefault="000005F4" w:rsidP="000005F4">
            <w:pPr>
              <w:pStyle w:val="TableHeadingWhite"/>
            </w:pPr>
            <w:r>
              <w:t>1</w:t>
            </w:r>
          </w:p>
        </w:tc>
        <w:tc>
          <w:tcPr>
            <w:tcW w:w="178" w:type="pct"/>
            <w:tcBorders>
              <w:left w:val="single" w:sz="2" w:space="0" w:color="FFFFFF"/>
              <w:right w:val="single" w:sz="2" w:space="0" w:color="FFFFFF"/>
            </w:tcBorders>
            <w:shd w:val="solid" w:color="0067AB" w:fill="0067AB"/>
          </w:tcPr>
          <w:p w14:paraId="41CDFE30" w14:textId="77777777" w:rsidR="000005F4" w:rsidRDefault="000005F4" w:rsidP="000005F4">
            <w:pPr>
              <w:pStyle w:val="TableHeadingWhite"/>
            </w:pPr>
            <w:r>
              <w:t>2</w:t>
            </w:r>
          </w:p>
        </w:tc>
        <w:tc>
          <w:tcPr>
            <w:tcW w:w="178" w:type="pct"/>
            <w:tcBorders>
              <w:left w:val="single" w:sz="2" w:space="0" w:color="FFFFFF"/>
              <w:right w:val="single" w:sz="2" w:space="0" w:color="FFFFFF"/>
            </w:tcBorders>
            <w:shd w:val="solid" w:color="0067AB" w:fill="0067AB"/>
          </w:tcPr>
          <w:p w14:paraId="169D4810" w14:textId="77777777" w:rsidR="000005F4" w:rsidRDefault="000005F4" w:rsidP="000005F4">
            <w:pPr>
              <w:pStyle w:val="TableHeadingWhite"/>
            </w:pPr>
            <w:r>
              <w:t>3</w:t>
            </w:r>
          </w:p>
        </w:tc>
        <w:tc>
          <w:tcPr>
            <w:tcW w:w="178" w:type="pct"/>
            <w:tcBorders>
              <w:left w:val="single" w:sz="2" w:space="0" w:color="FFFFFF"/>
              <w:right w:val="single" w:sz="2" w:space="0" w:color="FFFFFF"/>
            </w:tcBorders>
            <w:shd w:val="solid" w:color="0067AB" w:fill="0067AB"/>
          </w:tcPr>
          <w:p w14:paraId="2AE25260" w14:textId="77777777" w:rsidR="000005F4" w:rsidRDefault="000005F4" w:rsidP="000005F4">
            <w:pPr>
              <w:pStyle w:val="TableHeadingWhite"/>
            </w:pPr>
            <w:r>
              <w:t>4</w:t>
            </w:r>
          </w:p>
        </w:tc>
        <w:tc>
          <w:tcPr>
            <w:tcW w:w="178" w:type="pct"/>
            <w:tcBorders>
              <w:left w:val="single" w:sz="2" w:space="0" w:color="FFFFFF"/>
              <w:right w:val="single" w:sz="2" w:space="0" w:color="FFFFFF"/>
            </w:tcBorders>
            <w:shd w:val="solid" w:color="0067AB" w:fill="0067AB"/>
          </w:tcPr>
          <w:p w14:paraId="477EE811" w14:textId="77777777" w:rsidR="000005F4" w:rsidRDefault="000005F4" w:rsidP="000005F4">
            <w:pPr>
              <w:pStyle w:val="TableHeadingWhite"/>
            </w:pPr>
            <w:r>
              <w:t>5</w:t>
            </w:r>
          </w:p>
        </w:tc>
        <w:tc>
          <w:tcPr>
            <w:tcW w:w="178" w:type="pct"/>
            <w:tcBorders>
              <w:left w:val="single" w:sz="2" w:space="0" w:color="FFFFFF"/>
              <w:right w:val="single" w:sz="2" w:space="0" w:color="FFFFFF"/>
            </w:tcBorders>
            <w:shd w:val="solid" w:color="0067AB" w:fill="0067AB"/>
          </w:tcPr>
          <w:p w14:paraId="6A99C10B" w14:textId="77777777" w:rsidR="000005F4" w:rsidRDefault="000005F4" w:rsidP="000005F4">
            <w:pPr>
              <w:pStyle w:val="TableHeadingWhite"/>
            </w:pPr>
            <w:r>
              <w:t>6</w:t>
            </w:r>
          </w:p>
        </w:tc>
        <w:tc>
          <w:tcPr>
            <w:tcW w:w="178" w:type="pct"/>
            <w:tcBorders>
              <w:left w:val="single" w:sz="2" w:space="0" w:color="FFFFFF"/>
              <w:right w:val="single" w:sz="2" w:space="0" w:color="FFFFFF"/>
            </w:tcBorders>
            <w:shd w:val="solid" w:color="0067AB" w:fill="0067AB"/>
          </w:tcPr>
          <w:p w14:paraId="278FC047" w14:textId="77777777" w:rsidR="000005F4" w:rsidRDefault="000005F4" w:rsidP="000005F4">
            <w:pPr>
              <w:pStyle w:val="TableHeadingWhite"/>
            </w:pPr>
            <w:r>
              <w:t>7</w:t>
            </w:r>
          </w:p>
        </w:tc>
        <w:tc>
          <w:tcPr>
            <w:tcW w:w="178" w:type="pct"/>
            <w:tcBorders>
              <w:left w:val="single" w:sz="2" w:space="0" w:color="FFFFFF"/>
              <w:right w:val="single" w:sz="2" w:space="0" w:color="FFFFFF"/>
            </w:tcBorders>
            <w:shd w:val="solid" w:color="0067AB" w:fill="0067AB"/>
          </w:tcPr>
          <w:p w14:paraId="50D0323E" w14:textId="77777777" w:rsidR="000005F4" w:rsidRDefault="000005F4" w:rsidP="000005F4">
            <w:pPr>
              <w:pStyle w:val="TableHeadingWhite"/>
            </w:pPr>
            <w:r>
              <w:t>8</w:t>
            </w:r>
          </w:p>
        </w:tc>
        <w:tc>
          <w:tcPr>
            <w:tcW w:w="178" w:type="pct"/>
            <w:tcBorders>
              <w:left w:val="single" w:sz="2" w:space="0" w:color="FFFFFF"/>
              <w:right w:val="single" w:sz="2" w:space="0" w:color="FFFFFF"/>
            </w:tcBorders>
            <w:shd w:val="solid" w:color="0067AB" w:fill="0067AB"/>
          </w:tcPr>
          <w:p w14:paraId="5E24552E" w14:textId="77777777" w:rsidR="000005F4" w:rsidRDefault="000005F4" w:rsidP="000005F4">
            <w:pPr>
              <w:pStyle w:val="TableHeadingWhite"/>
            </w:pPr>
            <w:r>
              <w:t>9</w:t>
            </w:r>
          </w:p>
        </w:tc>
        <w:tc>
          <w:tcPr>
            <w:tcW w:w="178" w:type="pct"/>
            <w:tcBorders>
              <w:left w:val="single" w:sz="2" w:space="0" w:color="FFFFFF"/>
              <w:right w:val="single" w:sz="2" w:space="0" w:color="FFFFFF"/>
            </w:tcBorders>
            <w:shd w:val="solid" w:color="0067AB" w:fill="0067AB"/>
          </w:tcPr>
          <w:p w14:paraId="32E4ABB1" w14:textId="77777777" w:rsidR="000005F4" w:rsidRDefault="000005F4" w:rsidP="000005F4">
            <w:pPr>
              <w:pStyle w:val="TableHeadingWhite"/>
            </w:pPr>
            <w:r>
              <w:t>10</w:t>
            </w:r>
          </w:p>
        </w:tc>
        <w:tc>
          <w:tcPr>
            <w:tcW w:w="178" w:type="pct"/>
            <w:tcBorders>
              <w:left w:val="single" w:sz="2" w:space="0" w:color="FFFFFF"/>
              <w:right w:val="single" w:sz="2" w:space="0" w:color="FFFFFF"/>
            </w:tcBorders>
            <w:shd w:val="solid" w:color="0067AB" w:fill="0067AB"/>
          </w:tcPr>
          <w:p w14:paraId="099B60F3" w14:textId="77777777" w:rsidR="000005F4" w:rsidRDefault="000005F4" w:rsidP="000005F4">
            <w:pPr>
              <w:pStyle w:val="TableHeadingWhite"/>
            </w:pPr>
            <w:r>
              <w:t>11</w:t>
            </w:r>
          </w:p>
        </w:tc>
        <w:tc>
          <w:tcPr>
            <w:tcW w:w="178" w:type="pct"/>
            <w:tcBorders>
              <w:left w:val="single" w:sz="2" w:space="0" w:color="FFFFFF"/>
              <w:right w:val="single" w:sz="2" w:space="0" w:color="FFFFFF"/>
            </w:tcBorders>
            <w:shd w:val="solid" w:color="0067AB" w:fill="0067AB"/>
          </w:tcPr>
          <w:p w14:paraId="28E2EDDF" w14:textId="77777777" w:rsidR="000005F4" w:rsidRDefault="000005F4" w:rsidP="000005F4">
            <w:pPr>
              <w:pStyle w:val="TableHeadingWhite"/>
            </w:pPr>
            <w:r>
              <w:t>12</w:t>
            </w:r>
          </w:p>
        </w:tc>
        <w:tc>
          <w:tcPr>
            <w:tcW w:w="178" w:type="pct"/>
            <w:tcBorders>
              <w:left w:val="single" w:sz="2" w:space="0" w:color="FFFFFF"/>
              <w:right w:val="single" w:sz="2" w:space="0" w:color="FFFFFF"/>
            </w:tcBorders>
            <w:shd w:val="solid" w:color="0067AB" w:fill="0067AB"/>
          </w:tcPr>
          <w:p w14:paraId="24CC4234" w14:textId="77777777" w:rsidR="000005F4" w:rsidRDefault="000005F4" w:rsidP="000005F4">
            <w:pPr>
              <w:pStyle w:val="TableHeadingWhite"/>
            </w:pPr>
            <w:r>
              <w:t>13</w:t>
            </w:r>
          </w:p>
        </w:tc>
        <w:tc>
          <w:tcPr>
            <w:tcW w:w="178" w:type="pct"/>
            <w:tcBorders>
              <w:left w:val="single" w:sz="2" w:space="0" w:color="FFFFFF"/>
              <w:right w:val="single" w:sz="2" w:space="0" w:color="FFFFFF"/>
            </w:tcBorders>
            <w:shd w:val="solid" w:color="0067AB" w:fill="0067AB"/>
          </w:tcPr>
          <w:p w14:paraId="4B149597" w14:textId="77777777" w:rsidR="000005F4" w:rsidRDefault="000005F4" w:rsidP="000005F4">
            <w:pPr>
              <w:pStyle w:val="TableHeadingWhite"/>
            </w:pPr>
            <w:r>
              <w:t>14</w:t>
            </w:r>
          </w:p>
        </w:tc>
        <w:tc>
          <w:tcPr>
            <w:tcW w:w="178" w:type="pct"/>
            <w:tcBorders>
              <w:left w:val="single" w:sz="2" w:space="0" w:color="FFFFFF"/>
              <w:right w:val="single" w:sz="2" w:space="0" w:color="FFFFFF"/>
            </w:tcBorders>
            <w:shd w:val="solid" w:color="0067AB" w:fill="0067AB"/>
          </w:tcPr>
          <w:p w14:paraId="6FBB8D61" w14:textId="77777777" w:rsidR="000005F4" w:rsidRDefault="000005F4" w:rsidP="000005F4">
            <w:pPr>
              <w:pStyle w:val="TableHeadingWhite"/>
            </w:pPr>
            <w:r>
              <w:t>15</w:t>
            </w:r>
          </w:p>
        </w:tc>
        <w:tc>
          <w:tcPr>
            <w:tcW w:w="178" w:type="pct"/>
            <w:tcBorders>
              <w:left w:val="single" w:sz="2" w:space="0" w:color="FFFFFF"/>
              <w:right w:val="single" w:sz="2" w:space="0" w:color="FFFFFF"/>
            </w:tcBorders>
            <w:shd w:val="solid" w:color="0067AB" w:fill="0067AB"/>
          </w:tcPr>
          <w:p w14:paraId="092BC60A" w14:textId="77777777" w:rsidR="000005F4" w:rsidRDefault="000005F4" w:rsidP="000005F4">
            <w:pPr>
              <w:pStyle w:val="TableHeadingWhite"/>
            </w:pPr>
            <w:r>
              <w:t>16</w:t>
            </w:r>
          </w:p>
        </w:tc>
        <w:tc>
          <w:tcPr>
            <w:tcW w:w="178" w:type="pct"/>
            <w:tcBorders>
              <w:left w:val="single" w:sz="2" w:space="0" w:color="FFFFFF"/>
              <w:right w:val="single" w:sz="2" w:space="0" w:color="FFFFFF"/>
            </w:tcBorders>
            <w:shd w:val="solid" w:color="0067AB" w:fill="0067AB"/>
          </w:tcPr>
          <w:p w14:paraId="6F593496" w14:textId="77777777" w:rsidR="000005F4" w:rsidRDefault="000005F4" w:rsidP="000005F4">
            <w:pPr>
              <w:pStyle w:val="TableHeadingWhite"/>
            </w:pPr>
            <w:r>
              <w:t>17</w:t>
            </w:r>
          </w:p>
        </w:tc>
        <w:tc>
          <w:tcPr>
            <w:tcW w:w="178" w:type="pct"/>
            <w:tcBorders>
              <w:left w:val="single" w:sz="2" w:space="0" w:color="FFFFFF"/>
              <w:right w:val="single" w:sz="2" w:space="0" w:color="FFFFFF"/>
            </w:tcBorders>
            <w:shd w:val="solid" w:color="0067AB" w:fill="0067AB"/>
          </w:tcPr>
          <w:p w14:paraId="4C435F38" w14:textId="77777777" w:rsidR="000005F4" w:rsidRDefault="000005F4" w:rsidP="000005F4">
            <w:pPr>
              <w:pStyle w:val="TableHeadingWhite"/>
            </w:pPr>
            <w:r>
              <w:t>18</w:t>
            </w:r>
          </w:p>
        </w:tc>
        <w:tc>
          <w:tcPr>
            <w:tcW w:w="178" w:type="pct"/>
            <w:tcBorders>
              <w:left w:val="single" w:sz="2" w:space="0" w:color="FFFFFF"/>
              <w:right w:val="single" w:sz="2" w:space="0" w:color="FFFFFF"/>
            </w:tcBorders>
            <w:shd w:val="solid" w:color="0067AB" w:fill="0067AB"/>
          </w:tcPr>
          <w:p w14:paraId="4FA8C394" w14:textId="77777777" w:rsidR="000005F4" w:rsidRDefault="000005F4" w:rsidP="000005F4">
            <w:pPr>
              <w:pStyle w:val="TableHeadingWhite"/>
            </w:pPr>
            <w:r>
              <w:t>19</w:t>
            </w:r>
          </w:p>
        </w:tc>
        <w:tc>
          <w:tcPr>
            <w:tcW w:w="178" w:type="pct"/>
            <w:tcBorders>
              <w:left w:val="single" w:sz="2" w:space="0" w:color="FFFFFF"/>
              <w:right w:val="single" w:sz="2" w:space="0" w:color="FFFFFF"/>
            </w:tcBorders>
            <w:shd w:val="solid" w:color="0067AB" w:fill="0067AB"/>
          </w:tcPr>
          <w:p w14:paraId="1863F59C" w14:textId="77777777" w:rsidR="000005F4" w:rsidRDefault="000005F4" w:rsidP="000005F4">
            <w:pPr>
              <w:pStyle w:val="TableHeadingWhite"/>
            </w:pPr>
            <w:r>
              <w:t>20</w:t>
            </w:r>
          </w:p>
        </w:tc>
        <w:tc>
          <w:tcPr>
            <w:tcW w:w="178" w:type="pct"/>
            <w:tcBorders>
              <w:left w:val="single" w:sz="2" w:space="0" w:color="FFFFFF"/>
              <w:right w:val="single" w:sz="2" w:space="0" w:color="FFFFFF"/>
            </w:tcBorders>
            <w:shd w:val="solid" w:color="0067AB" w:fill="0067AB"/>
          </w:tcPr>
          <w:p w14:paraId="4DD22A47" w14:textId="77777777" w:rsidR="000005F4" w:rsidRDefault="000005F4" w:rsidP="000005F4">
            <w:pPr>
              <w:pStyle w:val="TableHeadingWhite"/>
            </w:pPr>
            <w:r>
              <w:t>21</w:t>
            </w:r>
          </w:p>
        </w:tc>
        <w:tc>
          <w:tcPr>
            <w:tcW w:w="178" w:type="pct"/>
            <w:tcBorders>
              <w:left w:val="single" w:sz="2" w:space="0" w:color="FFFFFF"/>
              <w:right w:val="single" w:sz="2" w:space="0" w:color="FFFFFF"/>
            </w:tcBorders>
            <w:shd w:val="solid" w:color="0067AB" w:fill="0067AB"/>
          </w:tcPr>
          <w:p w14:paraId="12ACC002" w14:textId="77777777" w:rsidR="000005F4" w:rsidRDefault="000005F4" w:rsidP="000005F4">
            <w:pPr>
              <w:pStyle w:val="TableHeadingWhite"/>
            </w:pPr>
            <w:r>
              <w:t>22</w:t>
            </w:r>
          </w:p>
        </w:tc>
        <w:tc>
          <w:tcPr>
            <w:tcW w:w="178" w:type="pct"/>
            <w:tcBorders>
              <w:left w:val="single" w:sz="2" w:space="0" w:color="FFFFFF"/>
              <w:right w:val="single" w:sz="2" w:space="0" w:color="FFFFFF"/>
            </w:tcBorders>
            <w:shd w:val="solid" w:color="0067AB" w:fill="0067AB"/>
          </w:tcPr>
          <w:p w14:paraId="084EDAE1" w14:textId="77777777" w:rsidR="000005F4" w:rsidRDefault="000005F4" w:rsidP="000005F4">
            <w:pPr>
              <w:pStyle w:val="TableHeadingWhite"/>
            </w:pPr>
            <w:r>
              <w:t>23</w:t>
            </w:r>
          </w:p>
        </w:tc>
        <w:tc>
          <w:tcPr>
            <w:tcW w:w="178" w:type="pct"/>
            <w:tcBorders>
              <w:left w:val="single" w:sz="2" w:space="0" w:color="FFFFFF"/>
              <w:right w:val="single" w:sz="2" w:space="0" w:color="FFFFFF"/>
            </w:tcBorders>
            <w:shd w:val="solid" w:color="0067AB" w:fill="0067AB"/>
          </w:tcPr>
          <w:p w14:paraId="542FAE86" w14:textId="77777777" w:rsidR="000005F4" w:rsidRDefault="000005F4" w:rsidP="000005F4">
            <w:pPr>
              <w:pStyle w:val="TableHeadingWhite"/>
            </w:pPr>
            <w:r>
              <w:t>24</w:t>
            </w:r>
          </w:p>
        </w:tc>
        <w:tc>
          <w:tcPr>
            <w:tcW w:w="178" w:type="pct"/>
            <w:tcBorders>
              <w:left w:val="single" w:sz="2" w:space="0" w:color="FFFFFF"/>
            </w:tcBorders>
            <w:shd w:val="solid" w:color="0067AB" w:fill="0067AB"/>
          </w:tcPr>
          <w:p w14:paraId="44471AC7" w14:textId="77777777" w:rsidR="000005F4" w:rsidRDefault="000005F4" w:rsidP="000005F4">
            <w:pPr>
              <w:pStyle w:val="TableHeadingWhite"/>
            </w:pPr>
            <w:r>
              <w:t>25</w:t>
            </w:r>
          </w:p>
        </w:tc>
      </w:tr>
      <w:tr w:rsidR="000005F4" w14:paraId="22F0AC4E" w14:textId="77777777" w:rsidTr="000005F4">
        <w:tc>
          <w:tcPr>
            <w:tcW w:w="553" w:type="pct"/>
            <w:shd w:val="clear" w:color="auto" w:fill="EAF1DD" w:themeFill="accent3" w:themeFillTint="33"/>
          </w:tcPr>
          <w:p w14:paraId="501FA483" w14:textId="77777777" w:rsidR="000005F4" w:rsidRPr="00B3321C" w:rsidRDefault="000005F4" w:rsidP="000005F4">
            <w:pPr>
              <w:pStyle w:val="TableTextNoSpace"/>
              <w:ind w:right="-358"/>
              <w:rPr>
                <w:sz w:val="16"/>
              </w:rPr>
            </w:pPr>
            <w:r>
              <w:rPr>
                <w:sz w:val="16"/>
              </w:rPr>
              <w:t>Theme 5</w:t>
            </w:r>
          </w:p>
        </w:tc>
        <w:tc>
          <w:tcPr>
            <w:tcW w:w="178" w:type="pct"/>
            <w:shd w:val="clear" w:color="auto" w:fill="EAF1DD" w:themeFill="accent3" w:themeFillTint="33"/>
          </w:tcPr>
          <w:p w14:paraId="68F71FE9" w14:textId="77777777" w:rsidR="000005F4" w:rsidRDefault="000005F4" w:rsidP="000005F4">
            <w:pPr>
              <w:pStyle w:val="TableTextNoSpace"/>
            </w:pPr>
          </w:p>
        </w:tc>
        <w:tc>
          <w:tcPr>
            <w:tcW w:w="178" w:type="pct"/>
            <w:shd w:val="clear" w:color="auto" w:fill="EAF1DD" w:themeFill="accent3" w:themeFillTint="33"/>
          </w:tcPr>
          <w:p w14:paraId="6B90242E" w14:textId="77777777" w:rsidR="000005F4" w:rsidRDefault="000005F4" w:rsidP="000005F4">
            <w:pPr>
              <w:pStyle w:val="TableTextNoSpace"/>
            </w:pPr>
            <w:r>
              <w:t>x</w:t>
            </w:r>
          </w:p>
        </w:tc>
        <w:tc>
          <w:tcPr>
            <w:tcW w:w="178" w:type="pct"/>
            <w:shd w:val="clear" w:color="auto" w:fill="EAF1DD" w:themeFill="accent3" w:themeFillTint="33"/>
          </w:tcPr>
          <w:p w14:paraId="13C8E031" w14:textId="77777777" w:rsidR="000005F4" w:rsidRDefault="000005F4" w:rsidP="000005F4">
            <w:pPr>
              <w:pStyle w:val="TableTextNoSpace"/>
            </w:pPr>
          </w:p>
        </w:tc>
        <w:tc>
          <w:tcPr>
            <w:tcW w:w="178" w:type="pct"/>
            <w:shd w:val="clear" w:color="auto" w:fill="EAF1DD" w:themeFill="accent3" w:themeFillTint="33"/>
          </w:tcPr>
          <w:p w14:paraId="1C4D656F" w14:textId="77777777" w:rsidR="000005F4" w:rsidRDefault="000005F4" w:rsidP="000005F4">
            <w:pPr>
              <w:pStyle w:val="TableTextNoSpace"/>
            </w:pPr>
            <w:r>
              <w:t>x</w:t>
            </w:r>
          </w:p>
        </w:tc>
        <w:tc>
          <w:tcPr>
            <w:tcW w:w="178" w:type="pct"/>
            <w:shd w:val="clear" w:color="auto" w:fill="EAF1DD" w:themeFill="accent3" w:themeFillTint="33"/>
          </w:tcPr>
          <w:p w14:paraId="60391E8D" w14:textId="77777777" w:rsidR="000005F4" w:rsidRDefault="000005F4" w:rsidP="000005F4">
            <w:pPr>
              <w:pStyle w:val="TableTextNoSpace"/>
            </w:pPr>
          </w:p>
        </w:tc>
        <w:tc>
          <w:tcPr>
            <w:tcW w:w="178" w:type="pct"/>
            <w:shd w:val="clear" w:color="auto" w:fill="EAF1DD" w:themeFill="accent3" w:themeFillTint="33"/>
          </w:tcPr>
          <w:p w14:paraId="0A55EF27" w14:textId="77777777" w:rsidR="000005F4" w:rsidRDefault="000005F4" w:rsidP="000005F4">
            <w:pPr>
              <w:pStyle w:val="TableTextNoSpace"/>
            </w:pPr>
          </w:p>
        </w:tc>
        <w:tc>
          <w:tcPr>
            <w:tcW w:w="178" w:type="pct"/>
            <w:shd w:val="clear" w:color="auto" w:fill="EAF1DD" w:themeFill="accent3" w:themeFillTint="33"/>
          </w:tcPr>
          <w:p w14:paraId="1DC45C2C" w14:textId="77777777" w:rsidR="000005F4" w:rsidRDefault="000005F4" w:rsidP="000005F4">
            <w:pPr>
              <w:pStyle w:val="TableTextNoSpace"/>
            </w:pPr>
            <w:r>
              <w:t>x</w:t>
            </w:r>
          </w:p>
        </w:tc>
        <w:tc>
          <w:tcPr>
            <w:tcW w:w="178" w:type="pct"/>
            <w:shd w:val="clear" w:color="auto" w:fill="EAF1DD" w:themeFill="accent3" w:themeFillTint="33"/>
          </w:tcPr>
          <w:p w14:paraId="1110D5E2" w14:textId="77777777" w:rsidR="000005F4" w:rsidRDefault="000005F4" w:rsidP="000005F4">
            <w:pPr>
              <w:pStyle w:val="TableTextNoSpace"/>
            </w:pPr>
            <w:r>
              <w:t>x</w:t>
            </w:r>
          </w:p>
        </w:tc>
        <w:tc>
          <w:tcPr>
            <w:tcW w:w="178" w:type="pct"/>
            <w:shd w:val="clear" w:color="auto" w:fill="EAF1DD" w:themeFill="accent3" w:themeFillTint="33"/>
          </w:tcPr>
          <w:p w14:paraId="4DEA0708" w14:textId="77777777" w:rsidR="000005F4" w:rsidRDefault="000005F4" w:rsidP="000005F4">
            <w:pPr>
              <w:pStyle w:val="TableTextNoSpace"/>
            </w:pPr>
          </w:p>
        </w:tc>
        <w:tc>
          <w:tcPr>
            <w:tcW w:w="178" w:type="pct"/>
            <w:shd w:val="clear" w:color="auto" w:fill="EAF1DD" w:themeFill="accent3" w:themeFillTint="33"/>
          </w:tcPr>
          <w:p w14:paraId="261CA622" w14:textId="77777777" w:rsidR="000005F4" w:rsidRDefault="000005F4" w:rsidP="000005F4">
            <w:pPr>
              <w:pStyle w:val="TableTextNoSpace"/>
            </w:pPr>
          </w:p>
        </w:tc>
        <w:tc>
          <w:tcPr>
            <w:tcW w:w="178" w:type="pct"/>
            <w:shd w:val="clear" w:color="auto" w:fill="EAF1DD" w:themeFill="accent3" w:themeFillTint="33"/>
          </w:tcPr>
          <w:p w14:paraId="341E333B" w14:textId="77777777" w:rsidR="000005F4" w:rsidRDefault="000005F4" w:rsidP="000005F4">
            <w:pPr>
              <w:pStyle w:val="TableTextNoSpace"/>
            </w:pPr>
          </w:p>
        </w:tc>
        <w:tc>
          <w:tcPr>
            <w:tcW w:w="178" w:type="pct"/>
            <w:shd w:val="clear" w:color="auto" w:fill="EAF1DD" w:themeFill="accent3" w:themeFillTint="33"/>
          </w:tcPr>
          <w:p w14:paraId="05A01FDA" w14:textId="77777777" w:rsidR="000005F4" w:rsidRDefault="000005F4" w:rsidP="000005F4">
            <w:pPr>
              <w:pStyle w:val="TableTextNoSpace"/>
            </w:pPr>
            <w:r>
              <w:t>x</w:t>
            </w:r>
          </w:p>
        </w:tc>
        <w:tc>
          <w:tcPr>
            <w:tcW w:w="178" w:type="pct"/>
            <w:shd w:val="clear" w:color="auto" w:fill="EAF1DD" w:themeFill="accent3" w:themeFillTint="33"/>
          </w:tcPr>
          <w:p w14:paraId="6AF29142" w14:textId="77777777" w:rsidR="000005F4" w:rsidRDefault="000005F4" w:rsidP="000005F4">
            <w:pPr>
              <w:pStyle w:val="TableTextNoSpace"/>
            </w:pPr>
            <w:r>
              <w:t>x</w:t>
            </w:r>
          </w:p>
        </w:tc>
        <w:tc>
          <w:tcPr>
            <w:tcW w:w="178" w:type="pct"/>
            <w:shd w:val="clear" w:color="auto" w:fill="EAF1DD" w:themeFill="accent3" w:themeFillTint="33"/>
          </w:tcPr>
          <w:p w14:paraId="76BB917A" w14:textId="77777777" w:rsidR="000005F4" w:rsidRDefault="000005F4" w:rsidP="000005F4">
            <w:pPr>
              <w:pStyle w:val="TableTextNoSpace"/>
            </w:pPr>
            <w:r>
              <w:t>x</w:t>
            </w:r>
          </w:p>
        </w:tc>
        <w:tc>
          <w:tcPr>
            <w:tcW w:w="178" w:type="pct"/>
            <w:shd w:val="clear" w:color="auto" w:fill="EAF1DD" w:themeFill="accent3" w:themeFillTint="33"/>
          </w:tcPr>
          <w:p w14:paraId="14C8E2F2" w14:textId="77777777" w:rsidR="000005F4" w:rsidRDefault="000005F4" w:rsidP="000005F4">
            <w:pPr>
              <w:pStyle w:val="TableTextNoSpace"/>
            </w:pPr>
            <w:r>
              <w:t>x</w:t>
            </w:r>
          </w:p>
        </w:tc>
        <w:tc>
          <w:tcPr>
            <w:tcW w:w="178" w:type="pct"/>
            <w:shd w:val="clear" w:color="auto" w:fill="EAF1DD" w:themeFill="accent3" w:themeFillTint="33"/>
          </w:tcPr>
          <w:p w14:paraId="79B7077F" w14:textId="77777777" w:rsidR="000005F4" w:rsidRDefault="000005F4" w:rsidP="000005F4">
            <w:pPr>
              <w:pStyle w:val="TableTextNoSpace"/>
            </w:pPr>
          </w:p>
        </w:tc>
        <w:tc>
          <w:tcPr>
            <w:tcW w:w="178" w:type="pct"/>
            <w:shd w:val="clear" w:color="auto" w:fill="EAF1DD" w:themeFill="accent3" w:themeFillTint="33"/>
          </w:tcPr>
          <w:p w14:paraId="7DA78C11" w14:textId="77777777" w:rsidR="000005F4" w:rsidRDefault="000005F4" w:rsidP="000005F4">
            <w:pPr>
              <w:pStyle w:val="TableTextNoSpace"/>
            </w:pPr>
            <w:r>
              <w:t>x</w:t>
            </w:r>
          </w:p>
        </w:tc>
        <w:tc>
          <w:tcPr>
            <w:tcW w:w="178" w:type="pct"/>
            <w:shd w:val="clear" w:color="auto" w:fill="EAF1DD" w:themeFill="accent3" w:themeFillTint="33"/>
          </w:tcPr>
          <w:p w14:paraId="1FB56EF9" w14:textId="77777777" w:rsidR="000005F4" w:rsidRDefault="000005F4" w:rsidP="000005F4">
            <w:pPr>
              <w:pStyle w:val="TableTextNoSpace"/>
            </w:pPr>
            <w:r>
              <w:t>x</w:t>
            </w:r>
          </w:p>
        </w:tc>
        <w:tc>
          <w:tcPr>
            <w:tcW w:w="178" w:type="pct"/>
            <w:shd w:val="clear" w:color="auto" w:fill="EAF1DD" w:themeFill="accent3" w:themeFillTint="33"/>
          </w:tcPr>
          <w:p w14:paraId="0E6F179C" w14:textId="77777777" w:rsidR="000005F4" w:rsidRDefault="000005F4" w:rsidP="000005F4">
            <w:pPr>
              <w:pStyle w:val="TableTextNoSpace"/>
            </w:pPr>
          </w:p>
        </w:tc>
        <w:tc>
          <w:tcPr>
            <w:tcW w:w="178" w:type="pct"/>
            <w:shd w:val="clear" w:color="auto" w:fill="EAF1DD" w:themeFill="accent3" w:themeFillTint="33"/>
          </w:tcPr>
          <w:p w14:paraId="56E96448" w14:textId="77777777" w:rsidR="000005F4" w:rsidRDefault="000005F4" w:rsidP="000005F4">
            <w:pPr>
              <w:pStyle w:val="TableTextNoSpace"/>
            </w:pPr>
            <w:r>
              <w:t>x</w:t>
            </w:r>
          </w:p>
        </w:tc>
        <w:tc>
          <w:tcPr>
            <w:tcW w:w="178" w:type="pct"/>
            <w:shd w:val="clear" w:color="auto" w:fill="EAF1DD" w:themeFill="accent3" w:themeFillTint="33"/>
          </w:tcPr>
          <w:p w14:paraId="52B9093A" w14:textId="77777777" w:rsidR="000005F4" w:rsidRDefault="000005F4" w:rsidP="000005F4">
            <w:pPr>
              <w:pStyle w:val="TableTextNoSpace"/>
            </w:pPr>
            <w:r>
              <w:t>x</w:t>
            </w:r>
          </w:p>
        </w:tc>
        <w:tc>
          <w:tcPr>
            <w:tcW w:w="178" w:type="pct"/>
            <w:shd w:val="clear" w:color="auto" w:fill="EAF1DD" w:themeFill="accent3" w:themeFillTint="33"/>
          </w:tcPr>
          <w:p w14:paraId="1FA3E591" w14:textId="77777777" w:rsidR="000005F4" w:rsidRDefault="000005F4" w:rsidP="000005F4">
            <w:pPr>
              <w:pStyle w:val="TableTextNoSpace"/>
            </w:pPr>
          </w:p>
        </w:tc>
        <w:tc>
          <w:tcPr>
            <w:tcW w:w="178" w:type="pct"/>
            <w:shd w:val="clear" w:color="auto" w:fill="EAF1DD" w:themeFill="accent3" w:themeFillTint="33"/>
          </w:tcPr>
          <w:p w14:paraId="6DAAA9F0" w14:textId="77777777" w:rsidR="000005F4" w:rsidRDefault="000005F4" w:rsidP="000005F4">
            <w:pPr>
              <w:pStyle w:val="TableTextNoSpace"/>
            </w:pPr>
          </w:p>
        </w:tc>
        <w:tc>
          <w:tcPr>
            <w:tcW w:w="178" w:type="pct"/>
            <w:shd w:val="clear" w:color="auto" w:fill="EAF1DD" w:themeFill="accent3" w:themeFillTint="33"/>
          </w:tcPr>
          <w:p w14:paraId="47465A37" w14:textId="77777777" w:rsidR="000005F4" w:rsidRDefault="000005F4" w:rsidP="000005F4">
            <w:pPr>
              <w:pStyle w:val="TableTextNoSpace"/>
            </w:pPr>
            <w:r>
              <w:rPr>
                <w:rFonts w:asciiTheme="minorHAnsi" w:hAnsiTheme="minorHAnsi"/>
                <w:sz w:val="18"/>
                <w:szCs w:val="18"/>
              </w:rPr>
              <w:t>x</w:t>
            </w:r>
          </w:p>
        </w:tc>
        <w:tc>
          <w:tcPr>
            <w:tcW w:w="178" w:type="pct"/>
            <w:shd w:val="clear" w:color="auto" w:fill="EAF1DD" w:themeFill="accent3" w:themeFillTint="33"/>
          </w:tcPr>
          <w:p w14:paraId="70FFDDE6" w14:textId="77777777" w:rsidR="000005F4" w:rsidRDefault="000005F4" w:rsidP="000005F4">
            <w:pPr>
              <w:pStyle w:val="TableTextNoSpace"/>
              <w:ind w:left="0"/>
            </w:pPr>
          </w:p>
        </w:tc>
      </w:tr>
      <w:tr w:rsidR="000005F4" w14:paraId="100D6BAC" w14:textId="77777777" w:rsidTr="000005F4">
        <w:trPr>
          <w:trHeight w:val="33"/>
        </w:trPr>
        <w:tc>
          <w:tcPr>
            <w:tcW w:w="553" w:type="pct"/>
            <w:shd w:val="clear" w:color="auto" w:fill="auto"/>
          </w:tcPr>
          <w:p w14:paraId="060EE79C" w14:textId="77777777" w:rsidR="000005F4" w:rsidRPr="00B3321C" w:rsidRDefault="000005F4" w:rsidP="000005F4">
            <w:pPr>
              <w:pStyle w:val="TableTextNoSpace"/>
              <w:rPr>
                <w:sz w:val="16"/>
              </w:rPr>
            </w:pPr>
            <w:r>
              <w:rPr>
                <w:sz w:val="16"/>
              </w:rPr>
              <w:t>Theme 2</w:t>
            </w:r>
          </w:p>
        </w:tc>
        <w:tc>
          <w:tcPr>
            <w:tcW w:w="178" w:type="pct"/>
            <w:shd w:val="clear" w:color="auto" w:fill="auto"/>
          </w:tcPr>
          <w:p w14:paraId="04D7F2CA" w14:textId="77777777" w:rsidR="000005F4" w:rsidRDefault="000005F4" w:rsidP="000005F4">
            <w:pPr>
              <w:pStyle w:val="TableTextNoSpace"/>
            </w:pPr>
          </w:p>
        </w:tc>
        <w:tc>
          <w:tcPr>
            <w:tcW w:w="178" w:type="pct"/>
            <w:shd w:val="clear" w:color="auto" w:fill="auto"/>
          </w:tcPr>
          <w:p w14:paraId="6B89DBD0" w14:textId="77777777" w:rsidR="000005F4" w:rsidRDefault="000005F4" w:rsidP="000005F4">
            <w:pPr>
              <w:pStyle w:val="TableTextNoSpace"/>
            </w:pPr>
            <w:r>
              <w:t>x</w:t>
            </w:r>
          </w:p>
        </w:tc>
        <w:tc>
          <w:tcPr>
            <w:tcW w:w="178" w:type="pct"/>
            <w:shd w:val="clear" w:color="auto" w:fill="auto"/>
          </w:tcPr>
          <w:p w14:paraId="22C2AFC1" w14:textId="77777777" w:rsidR="000005F4" w:rsidRDefault="000005F4" w:rsidP="000005F4">
            <w:pPr>
              <w:pStyle w:val="TableTextNoSpace"/>
            </w:pPr>
          </w:p>
        </w:tc>
        <w:tc>
          <w:tcPr>
            <w:tcW w:w="178" w:type="pct"/>
            <w:shd w:val="clear" w:color="auto" w:fill="auto"/>
          </w:tcPr>
          <w:p w14:paraId="21DD35E3" w14:textId="77777777" w:rsidR="000005F4" w:rsidRDefault="000005F4" w:rsidP="000005F4">
            <w:pPr>
              <w:pStyle w:val="TableTextNoSpace"/>
            </w:pPr>
            <w:r>
              <w:t>x</w:t>
            </w:r>
          </w:p>
        </w:tc>
        <w:tc>
          <w:tcPr>
            <w:tcW w:w="178" w:type="pct"/>
            <w:shd w:val="clear" w:color="auto" w:fill="auto"/>
          </w:tcPr>
          <w:p w14:paraId="3E6916D6" w14:textId="77777777" w:rsidR="000005F4" w:rsidRDefault="000005F4" w:rsidP="000005F4">
            <w:pPr>
              <w:pStyle w:val="TableTextNoSpace"/>
            </w:pPr>
          </w:p>
        </w:tc>
        <w:tc>
          <w:tcPr>
            <w:tcW w:w="178" w:type="pct"/>
            <w:shd w:val="clear" w:color="auto" w:fill="auto"/>
          </w:tcPr>
          <w:p w14:paraId="609DF39F" w14:textId="77777777" w:rsidR="000005F4" w:rsidRDefault="000005F4" w:rsidP="000005F4">
            <w:pPr>
              <w:pStyle w:val="TableTextNoSpace"/>
            </w:pPr>
          </w:p>
        </w:tc>
        <w:tc>
          <w:tcPr>
            <w:tcW w:w="178" w:type="pct"/>
            <w:shd w:val="clear" w:color="auto" w:fill="auto"/>
          </w:tcPr>
          <w:p w14:paraId="2697F979" w14:textId="77777777" w:rsidR="000005F4" w:rsidRDefault="000005F4" w:rsidP="000005F4">
            <w:pPr>
              <w:pStyle w:val="TableTextNoSpace"/>
            </w:pPr>
            <w:r>
              <w:t>x</w:t>
            </w:r>
          </w:p>
        </w:tc>
        <w:tc>
          <w:tcPr>
            <w:tcW w:w="178" w:type="pct"/>
            <w:shd w:val="clear" w:color="auto" w:fill="auto"/>
          </w:tcPr>
          <w:p w14:paraId="2F4A6136" w14:textId="77777777" w:rsidR="000005F4" w:rsidRDefault="000005F4" w:rsidP="000005F4">
            <w:pPr>
              <w:pStyle w:val="TableTextNoSpace"/>
            </w:pPr>
            <w:r>
              <w:t>x</w:t>
            </w:r>
          </w:p>
        </w:tc>
        <w:tc>
          <w:tcPr>
            <w:tcW w:w="178" w:type="pct"/>
            <w:shd w:val="clear" w:color="auto" w:fill="auto"/>
          </w:tcPr>
          <w:p w14:paraId="53802EAE" w14:textId="77777777" w:rsidR="000005F4" w:rsidRDefault="000005F4" w:rsidP="000005F4">
            <w:pPr>
              <w:pStyle w:val="TableTextNoSpace"/>
            </w:pPr>
          </w:p>
        </w:tc>
        <w:tc>
          <w:tcPr>
            <w:tcW w:w="178" w:type="pct"/>
            <w:shd w:val="clear" w:color="auto" w:fill="auto"/>
          </w:tcPr>
          <w:p w14:paraId="778BAFC9" w14:textId="77777777" w:rsidR="000005F4" w:rsidRDefault="000005F4" w:rsidP="000005F4">
            <w:pPr>
              <w:pStyle w:val="TableTextNoSpace"/>
            </w:pPr>
          </w:p>
        </w:tc>
        <w:tc>
          <w:tcPr>
            <w:tcW w:w="178" w:type="pct"/>
            <w:shd w:val="clear" w:color="auto" w:fill="auto"/>
          </w:tcPr>
          <w:p w14:paraId="44E3A569" w14:textId="77777777" w:rsidR="000005F4" w:rsidRDefault="000005F4" w:rsidP="000005F4">
            <w:pPr>
              <w:pStyle w:val="TableTextNoSpace"/>
            </w:pPr>
          </w:p>
        </w:tc>
        <w:tc>
          <w:tcPr>
            <w:tcW w:w="178" w:type="pct"/>
            <w:shd w:val="clear" w:color="auto" w:fill="auto"/>
          </w:tcPr>
          <w:p w14:paraId="6C4D7C7E" w14:textId="77777777" w:rsidR="000005F4" w:rsidRDefault="000005F4" w:rsidP="000005F4">
            <w:pPr>
              <w:pStyle w:val="TableTextNoSpace"/>
            </w:pPr>
            <w:r>
              <w:t>x</w:t>
            </w:r>
          </w:p>
        </w:tc>
        <w:tc>
          <w:tcPr>
            <w:tcW w:w="178" w:type="pct"/>
            <w:shd w:val="clear" w:color="auto" w:fill="auto"/>
          </w:tcPr>
          <w:p w14:paraId="73ADD552" w14:textId="77777777" w:rsidR="000005F4" w:rsidRDefault="000005F4" w:rsidP="000005F4">
            <w:pPr>
              <w:pStyle w:val="TableTextNoSpace"/>
            </w:pPr>
            <w:r>
              <w:t>x</w:t>
            </w:r>
          </w:p>
        </w:tc>
        <w:tc>
          <w:tcPr>
            <w:tcW w:w="178" w:type="pct"/>
            <w:shd w:val="clear" w:color="auto" w:fill="auto"/>
          </w:tcPr>
          <w:p w14:paraId="6EDDAC30" w14:textId="77777777" w:rsidR="000005F4" w:rsidRDefault="000005F4" w:rsidP="000005F4">
            <w:pPr>
              <w:pStyle w:val="TableTextNoSpace"/>
            </w:pPr>
            <w:r>
              <w:t>x</w:t>
            </w:r>
          </w:p>
        </w:tc>
        <w:tc>
          <w:tcPr>
            <w:tcW w:w="178" w:type="pct"/>
            <w:shd w:val="clear" w:color="auto" w:fill="auto"/>
          </w:tcPr>
          <w:p w14:paraId="4923A1F3" w14:textId="77777777" w:rsidR="000005F4" w:rsidRDefault="000005F4" w:rsidP="000005F4">
            <w:pPr>
              <w:pStyle w:val="TableTextNoSpace"/>
            </w:pPr>
            <w:r>
              <w:t>x</w:t>
            </w:r>
          </w:p>
        </w:tc>
        <w:tc>
          <w:tcPr>
            <w:tcW w:w="178" w:type="pct"/>
            <w:shd w:val="clear" w:color="auto" w:fill="auto"/>
          </w:tcPr>
          <w:p w14:paraId="7708D27F" w14:textId="77777777" w:rsidR="000005F4" w:rsidRDefault="000005F4" w:rsidP="000005F4">
            <w:pPr>
              <w:pStyle w:val="TableTextNoSpace"/>
            </w:pPr>
          </w:p>
        </w:tc>
        <w:tc>
          <w:tcPr>
            <w:tcW w:w="178" w:type="pct"/>
            <w:shd w:val="clear" w:color="auto" w:fill="auto"/>
          </w:tcPr>
          <w:p w14:paraId="28804F92" w14:textId="77777777" w:rsidR="000005F4" w:rsidRDefault="000005F4" w:rsidP="000005F4">
            <w:pPr>
              <w:pStyle w:val="TableTextNoSpace"/>
            </w:pPr>
            <w:r>
              <w:t>x</w:t>
            </w:r>
          </w:p>
        </w:tc>
        <w:tc>
          <w:tcPr>
            <w:tcW w:w="178" w:type="pct"/>
            <w:shd w:val="clear" w:color="auto" w:fill="auto"/>
          </w:tcPr>
          <w:p w14:paraId="5D794A36" w14:textId="77777777" w:rsidR="000005F4" w:rsidRDefault="000005F4" w:rsidP="000005F4">
            <w:pPr>
              <w:pStyle w:val="TableTextNoSpace"/>
            </w:pPr>
            <w:r>
              <w:t>x</w:t>
            </w:r>
          </w:p>
        </w:tc>
        <w:tc>
          <w:tcPr>
            <w:tcW w:w="178" w:type="pct"/>
          </w:tcPr>
          <w:p w14:paraId="1120DFF9" w14:textId="77777777" w:rsidR="000005F4" w:rsidRDefault="000005F4" w:rsidP="000005F4">
            <w:pPr>
              <w:pStyle w:val="TableTextNoSpace"/>
            </w:pPr>
          </w:p>
        </w:tc>
        <w:tc>
          <w:tcPr>
            <w:tcW w:w="178" w:type="pct"/>
          </w:tcPr>
          <w:p w14:paraId="353D0B94" w14:textId="77777777" w:rsidR="000005F4" w:rsidRDefault="000005F4" w:rsidP="000005F4">
            <w:pPr>
              <w:pStyle w:val="TableTextNoSpace"/>
            </w:pPr>
            <w:r>
              <w:t>x</w:t>
            </w:r>
          </w:p>
        </w:tc>
        <w:tc>
          <w:tcPr>
            <w:tcW w:w="178" w:type="pct"/>
          </w:tcPr>
          <w:p w14:paraId="01F2087B" w14:textId="77777777" w:rsidR="000005F4" w:rsidRDefault="000005F4" w:rsidP="000005F4">
            <w:pPr>
              <w:pStyle w:val="TableTextNoSpace"/>
            </w:pPr>
            <w:r>
              <w:t>x</w:t>
            </w:r>
          </w:p>
        </w:tc>
        <w:tc>
          <w:tcPr>
            <w:tcW w:w="178" w:type="pct"/>
          </w:tcPr>
          <w:p w14:paraId="3D3C16BF" w14:textId="77777777" w:rsidR="000005F4" w:rsidRDefault="000005F4" w:rsidP="000005F4">
            <w:pPr>
              <w:pStyle w:val="TableTextNoSpace"/>
            </w:pPr>
          </w:p>
        </w:tc>
        <w:tc>
          <w:tcPr>
            <w:tcW w:w="178" w:type="pct"/>
          </w:tcPr>
          <w:p w14:paraId="454182D8" w14:textId="77777777" w:rsidR="000005F4" w:rsidRDefault="000005F4" w:rsidP="000005F4">
            <w:pPr>
              <w:pStyle w:val="TableTextNoSpace"/>
            </w:pPr>
          </w:p>
        </w:tc>
        <w:tc>
          <w:tcPr>
            <w:tcW w:w="178" w:type="pct"/>
          </w:tcPr>
          <w:p w14:paraId="7D4560B2" w14:textId="77777777" w:rsidR="000005F4" w:rsidRDefault="000005F4" w:rsidP="000005F4">
            <w:pPr>
              <w:pStyle w:val="TableTextNoSpace"/>
            </w:pPr>
            <w:r>
              <w:rPr>
                <w:rFonts w:asciiTheme="minorHAnsi" w:hAnsiTheme="minorHAnsi"/>
                <w:sz w:val="18"/>
                <w:szCs w:val="18"/>
              </w:rPr>
              <w:t>x</w:t>
            </w:r>
          </w:p>
        </w:tc>
        <w:tc>
          <w:tcPr>
            <w:tcW w:w="178" w:type="pct"/>
            <w:shd w:val="clear" w:color="auto" w:fill="auto"/>
          </w:tcPr>
          <w:p w14:paraId="699B90C3" w14:textId="77777777" w:rsidR="000005F4" w:rsidRDefault="000005F4" w:rsidP="000005F4">
            <w:pPr>
              <w:pStyle w:val="TableTextNoSpace"/>
            </w:pPr>
          </w:p>
        </w:tc>
      </w:tr>
      <w:tr w:rsidR="000005F4" w14:paraId="0AC802CE" w14:textId="77777777" w:rsidTr="000005F4">
        <w:tc>
          <w:tcPr>
            <w:tcW w:w="553" w:type="pct"/>
            <w:shd w:val="clear" w:color="auto" w:fill="auto"/>
          </w:tcPr>
          <w:p w14:paraId="6DE86F5C" w14:textId="77777777" w:rsidR="000005F4" w:rsidRPr="00B3321C" w:rsidRDefault="000005F4" w:rsidP="000005F4">
            <w:pPr>
              <w:pStyle w:val="TableTextNoSpace"/>
              <w:rPr>
                <w:sz w:val="16"/>
              </w:rPr>
            </w:pPr>
            <w:r>
              <w:rPr>
                <w:sz w:val="16"/>
              </w:rPr>
              <w:t>Theme 4</w:t>
            </w:r>
          </w:p>
        </w:tc>
        <w:tc>
          <w:tcPr>
            <w:tcW w:w="178" w:type="pct"/>
            <w:shd w:val="clear" w:color="auto" w:fill="auto"/>
          </w:tcPr>
          <w:p w14:paraId="09052060" w14:textId="77777777" w:rsidR="000005F4" w:rsidRDefault="000005F4" w:rsidP="000005F4">
            <w:pPr>
              <w:pStyle w:val="TableTextNoSpace"/>
            </w:pPr>
          </w:p>
        </w:tc>
        <w:tc>
          <w:tcPr>
            <w:tcW w:w="178" w:type="pct"/>
            <w:shd w:val="clear" w:color="auto" w:fill="auto"/>
          </w:tcPr>
          <w:p w14:paraId="24B7B168" w14:textId="77777777" w:rsidR="000005F4" w:rsidRDefault="000005F4" w:rsidP="000005F4">
            <w:pPr>
              <w:pStyle w:val="TableTextNoSpace"/>
            </w:pPr>
            <w:r>
              <w:t>x</w:t>
            </w:r>
          </w:p>
        </w:tc>
        <w:tc>
          <w:tcPr>
            <w:tcW w:w="178" w:type="pct"/>
            <w:shd w:val="clear" w:color="auto" w:fill="auto"/>
          </w:tcPr>
          <w:p w14:paraId="361DB4E7" w14:textId="77777777" w:rsidR="000005F4" w:rsidRDefault="000005F4" w:rsidP="000005F4">
            <w:pPr>
              <w:pStyle w:val="TableTextNoSpace"/>
            </w:pPr>
          </w:p>
        </w:tc>
        <w:tc>
          <w:tcPr>
            <w:tcW w:w="178" w:type="pct"/>
            <w:shd w:val="clear" w:color="auto" w:fill="auto"/>
          </w:tcPr>
          <w:p w14:paraId="2CB1DEC1" w14:textId="77777777" w:rsidR="000005F4" w:rsidRDefault="000005F4" w:rsidP="000005F4">
            <w:pPr>
              <w:pStyle w:val="TableTextNoSpace"/>
            </w:pPr>
            <w:r>
              <w:t>x</w:t>
            </w:r>
          </w:p>
        </w:tc>
        <w:tc>
          <w:tcPr>
            <w:tcW w:w="178" w:type="pct"/>
            <w:shd w:val="clear" w:color="auto" w:fill="auto"/>
          </w:tcPr>
          <w:p w14:paraId="3EBB6DFA" w14:textId="77777777" w:rsidR="000005F4" w:rsidRDefault="000005F4" w:rsidP="000005F4">
            <w:pPr>
              <w:pStyle w:val="TableTextNoSpace"/>
            </w:pPr>
          </w:p>
        </w:tc>
        <w:tc>
          <w:tcPr>
            <w:tcW w:w="178" w:type="pct"/>
            <w:shd w:val="clear" w:color="auto" w:fill="auto"/>
          </w:tcPr>
          <w:p w14:paraId="3776DDD2" w14:textId="77777777" w:rsidR="000005F4" w:rsidRDefault="000005F4" w:rsidP="000005F4">
            <w:pPr>
              <w:pStyle w:val="TableTextNoSpace"/>
            </w:pPr>
          </w:p>
        </w:tc>
        <w:tc>
          <w:tcPr>
            <w:tcW w:w="178" w:type="pct"/>
            <w:shd w:val="clear" w:color="auto" w:fill="auto"/>
          </w:tcPr>
          <w:p w14:paraId="66289E7F" w14:textId="77777777" w:rsidR="000005F4" w:rsidRDefault="000005F4" w:rsidP="000005F4">
            <w:pPr>
              <w:pStyle w:val="TableTextNoSpace"/>
            </w:pPr>
            <w:r>
              <w:t>x</w:t>
            </w:r>
          </w:p>
        </w:tc>
        <w:tc>
          <w:tcPr>
            <w:tcW w:w="178" w:type="pct"/>
            <w:shd w:val="clear" w:color="auto" w:fill="auto"/>
          </w:tcPr>
          <w:p w14:paraId="3F556CD7" w14:textId="77777777" w:rsidR="000005F4" w:rsidRDefault="000005F4" w:rsidP="000005F4">
            <w:pPr>
              <w:pStyle w:val="TableTextNoSpace"/>
            </w:pPr>
            <w:r>
              <w:t>x</w:t>
            </w:r>
          </w:p>
        </w:tc>
        <w:tc>
          <w:tcPr>
            <w:tcW w:w="178" w:type="pct"/>
            <w:shd w:val="clear" w:color="auto" w:fill="auto"/>
          </w:tcPr>
          <w:p w14:paraId="4B3D53DD" w14:textId="77777777" w:rsidR="000005F4" w:rsidRDefault="000005F4" w:rsidP="000005F4">
            <w:pPr>
              <w:pStyle w:val="TableTextNoSpace"/>
            </w:pPr>
          </w:p>
        </w:tc>
        <w:tc>
          <w:tcPr>
            <w:tcW w:w="178" w:type="pct"/>
            <w:shd w:val="clear" w:color="auto" w:fill="auto"/>
          </w:tcPr>
          <w:p w14:paraId="0AC7245F" w14:textId="77777777" w:rsidR="000005F4" w:rsidRDefault="000005F4" w:rsidP="000005F4">
            <w:pPr>
              <w:pStyle w:val="TableTextNoSpace"/>
            </w:pPr>
          </w:p>
        </w:tc>
        <w:tc>
          <w:tcPr>
            <w:tcW w:w="178" w:type="pct"/>
            <w:shd w:val="clear" w:color="auto" w:fill="auto"/>
          </w:tcPr>
          <w:p w14:paraId="14CB173F" w14:textId="77777777" w:rsidR="000005F4" w:rsidRDefault="000005F4" w:rsidP="000005F4">
            <w:pPr>
              <w:pStyle w:val="TableTextNoSpace"/>
            </w:pPr>
          </w:p>
        </w:tc>
        <w:tc>
          <w:tcPr>
            <w:tcW w:w="178" w:type="pct"/>
            <w:shd w:val="clear" w:color="auto" w:fill="auto"/>
          </w:tcPr>
          <w:p w14:paraId="4E479158" w14:textId="77777777" w:rsidR="000005F4" w:rsidRDefault="000005F4" w:rsidP="000005F4">
            <w:pPr>
              <w:pStyle w:val="TableTextNoSpace"/>
            </w:pPr>
            <w:r>
              <w:t>x</w:t>
            </w:r>
          </w:p>
        </w:tc>
        <w:tc>
          <w:tcPr>
            <w:tcW w:w="178" w:type="pct"/>
            <w:shd w:val="clear" w:color="auto" w:fill="auto"/>
          </w:tcPr>
          <w:p w14:paraId="2A9FC56C" w14:textId="77777777" w:rsidR="000005F4" w:rsidRDefault="000005F4" w:rsidP="000005F4">
            <w:pPr>
              <w:pStyle w:val="TableTextNoSpace"/>
            </w:pPr>
            <w:r>
              <w:t>x</w:t>
            </w:r>
          </w:p>
        </w:tc>
        <w:tc>
          <w:tcPr>
            <w:tcW w:w="178" w:type="pct"/>
            <w:shd w:val="clear" w:color="auto" w:fill="auto"/>
          </w:tcPr>
          <w:p w14:paraId="4E657BA7" w14:textId="77777777" w:rsidR="000005F4" w:rsidRDefault="000005F4" w:rsidP="000005F4">
            <w:pPr>
              <w:pStyle w:val="TableTextNoSpace"/>
            </w:pPr>
            <w:r>
              <w:t>x</w:t>
            </w:r>
          </w:p>
        </w:tc>
        <w:tc>
          <w:tcPr>
            <w:tcW w:w="178" w:type="pct"/>
            <w:shd w:val="clear" w:color="auto" w:fill="auto"/>
          </w:tcPr>
          <w:p w14:paraId="26459115" w14:textId="77777777" w:rsidR="000005F4" w:rsidRDefault="000005F4" w:rsidP="000005F4">
            <w:pPr>
              <w:pStyle w:val="TableTextNoSpace"/>
            </w:pPr>
            <w:r>
              <w:t>x</w:t>
            </w:r>
          </w:p>
        </w:tc>
        <w:tc>
          <w:tcPr>
            <w:tcW w:w="178" w:type="pct"/>
            <w:shd w:val="clear" w:color="auto" w:fill="auto"/>
          </w:tcPr>
          <w:p w14:paraId="55DB9D2E" w14:textId="77777777" w:rsidR="000005F4" w:rsidRDefault="000005F4" w:rsidP="000005F4">
            <w:pPr>
              <w:pStyle w:val="TableTextNoSpace"/>
            </w:pPr>
          </w:p>
        </w:tc>
        <w:tc>
          <w:tcPr>
            <w:tcW w:w="178" w:type="pct"/>
            <w:shd w:val="clear" w:color="auto" w:fill="auto"/>
          </w:tcPr>
          <w:p w14:paraId="6529E3A5" w14:textId="77777777" w:rsidR="000005F4" w:rsidRDefault="000005F4" w:rsidP="000005F4">
            <w:pPr>
              <w:pStyle w:val="TableTextNoSpace"/>
            </w:pPr>
            <w:r>
              <w:t>x</w:t>
            </w:r>
          </w:p>
        </w:tc>
        <w:tc>
          <w:tcPr>
            <w:tcW w:w="178" w:type="pct"/>
            <w:shd w:val="clear" w:color="auto" w:fill="auto"/>
          </w:tcPr>
          <w:p w14:paraId="130F2D66" w14:textId="77777777" w:rsidR="000005F4" w:rsidRDefault="000005F4" w:rsidP="000005F4">
            <w:pPr>
              <w:pStyle w:val="TableTextNoSpace"/>
            </w:pPr>
            <w:r>
              <w:t>x</w:t>
            </w:r>
          </w:p>
        </w:tc>
        <w:tc>
          <w:tcPr>
            <w:tcW w:w="178" w:type="pct"/>
          </w:tcPr>
          <w:p w14:paraId="484D7094" w14:textId="77777777" w:rsidR="000005F4" w:rsidRDefault="000005F4" w:rsidP="000005F4">
            <w:pPr>
              <w:pStyle w:val="TableTextNoSpace"/>
            </w:pPr>
          </w:p>
        </w:tc>
        <w:tc>
          <w:tcPr>
            <w:tcW w:w="178" w:type="pct"/>
          </w:tcPr>
          <w:p w14:paraId="5DE4C564" w14:textId="77777777" w:rsidR="000005F4" w:rsidRDefault="000005F4" w:rsidP="000005F4">
            <w:pPr>
              <w:pStyle w:val="TableTextNoSpace"/>
            </w:pPr>
            <w:r>
              <w:t>x</w:t>
            </w:r>
          </w:p>
        </w:tc>
        <w:tc>
          <w:tcPr>
            <w:tcW w:w="178" w:type="pct"/>
          </w:tcPr>
          <w:p w14:paraId="2C756F30" w14:textId="77777777" w:rsidR="000005F4" w:rsidRDefault="000005F4" w:rsidP="000005F4">
            <w:pPr>
              <w:pStyle w:val="TableTextNoSpace"/>
            </w:pPr>
            <w:r>
              <w:t>x</w:t>
            </w:r>
          </w:p>
        </w:tc>
        <w:tc>
          <w:tcPr>
            <w:tcW w:w="178" w:type="pct"/>
          </w:tcPr>
          <w:p w14:paraId="30374075" w14:textId="77777777" w:rsidR="000005F4" w:rsidRDefault="000005F4" w:rsidP="000005F4">
            <w:pPr>
              <w:pStyle w:val="TableTextNoSpace"/>
            </w:pPr>
          </w:p>
        </w:tc>
        <w:tc>
          <w:tcPr>
            <w:tcW w:w="178" w:type="pct"/>
          </w:tcPr>
          <w:p w14:paraId="52B08EF0" w14:textId="77777777" w:rsidR="000005F4" w:rsidRDefault="000005F4" w:rsidP="000005F4">
            <w:pPr>
              <w:pStyle w:val="TableTextNoSpace"/>
            </w:pPr>
          </w:p>
        </w:tc>
        <w:tc>
          <w:tcPr>
            <w:tcW w:w="178" w:type="pct"/>
          </w:tcPr>
          <w:p w14:paraId="5A685D22" w14:textId="77777777" w:rsidR="000005F4" w:rsidRDefault="000005F4" w:rsidP="000005F4">
            <w:pPr>
              <w:pStyle w:val="TableTextNoSpace"/>
            </w:pPr>
            <w:r>
              <w:rPr>
                <w:rFonts w:asciiTheme="minorHAnsi" w:hAnsiTheme="minorHAnsi"/>
                <w:sz w:val="18"/>
                <w:szCs w:val="18"/>
              </w:rPr>
              <w:t>x</w:t>
            </w:r>
          </w:p>
        </w:tc>
        <w:tc>
          <w:tcPr>
            <w:tcW w:w="178" w:type="pct"/>
            <w:shd w:val="clear" w:color="auto" w:fill="auto"/>
          </w:tcPr>
          <w:p w14:paraId="70C9DA48" w14:textId="77777777" w:rsidR="000005F4" w:rsidRDefault="000005F4" w:rsidP="000005F4">
            <w:pPr>
              <w:pStyle w:val="TableTextNoSpace"/>
            </w:pPr>
          </w:p>
        </w:tc>
      </w:tr>
    </w:tbl>
    <w:p w14:paraId="36205C0C" w14:textId="77777777" w:rsidR="000005F4" w:rsidRPr="006F4812" w:rsidRDefault="000005F4" w:rsidP="000005F4">
      <w:pPr>
        <w:pStyle w:val="BodyText"/>
        <w:ind w:left="0"/>
      </w:pPr>
    </w:p>
    <w:p w14:paraId="12780F94" w14:textId="77777777" w:rsidR="000005F4" w:rsidRPr="00865002" w:rsidRDefault="000005F4" w:rsidP="000005F4">
      <w:pPr>
        <w:pStyle w:val="BodyText"/>
      </w:pPr>
      <w:bookmarkStart w:id="431" w:name="_Toc405964071"/>
    </w:p>
    <w:p w14:paraId="22FA64BA" w14:textId="77777777" w:rsidR="000005F4" w:rsidRDefault="000005F4" w:rsidP="000005F4">
      <w:pPr>
        <w:pStyle w:val="AnnexHeading"/>
      </w:pPr>
      <w:bookmarkStart w:id="432" w:name="_Toc407618024"/>
      <w:bookmarkStart w:id="433" w:name="_Toc408094049"/>
      <w:bookmarkStart w:id="434" w:name="_Toc408138050"/>
      <w:bookmarkStart w:id="435" w:name="_Toc408851038"/>
      <w:bookmarkStart w:id="436" w:name="_Toc421880714"/>
      <w:r>
        <w:t>Project Research Consultees</w:t>
      </w:r>
      <w:bookmarkEnd w:id="431"/>
      <w:bookmarkEnd w:id="432"/>
      <w:bookmarkEnd w:id="433"/>
      <w:bookmarkEnd w:id="434"/>
      <w:bookmarkEnd w:id="435"/>
      <w:bookmarkEnd w:id="436"/>
    </w:p>
    <w:p w14:paraId="7AF703BE" w14:textId="77777777" w:rsidR="000005F4" w:rsidRPr="00BC6ADE" w:rsidRDefault="000005F4" w:rsidP="000005F4">
      <w:r>
        <w:t>The researchers would like to thank the following consultees for providing information and views to inform the analysis.</w:t>
      </w:r>
    </w:p>
    <w:tbl>
      <w:tblPr>
        <w:tblW w:w="5011" w:type="pct"/>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CellMar>
          <w:top w:w="57" w:type="dxa"/>
          <w:left w:w="0" w:type="dxa"/>
          <w:bottom w:w="28" w:type="dxa"/>
          <w:right w:w="0" w:type="dxa"/>
        </w:tblCellMar>
        <w:tblLook w:val="0000" w:firstRow="0" w:lastRow="0" w:firstColumn="0" w:lastColumn="0" w:noHBand="0" w:noVBand="0"/>
      </w:tblPr>
      <w:tblGrid>
        <w:gridCol w:w="1813"/>
        <w:gridCol w:w="2720"/>
        <w:gridCol w:w="20"/>
        <w:gridCol w:w="2720"/>
        <w:gridCol w:w="1812"/>
      </w:tblGrid>
      <w:tr w:rsidR="000005F4" w14:paraId="10DDFB26" w14:textId="77777777" w:rsidTr="000005F4">
        <w:tc>
          <w:tcPr>
            <w:tcW w:w="998" w:type="pct"/>
            <w:shd w:val="solid" w:color="0067AB" w:fill="auto"/>
          </w:tcPr>
          <w:p w14:paraId="7157777F" w14:textId="77777777" w:rsidR="000005F4" w:rsidRDefault="000005F4" w:rsidP="000005F4">
            <w:pPr>
              <w:pStyle w:val="TableHeadingWhite"/>
            </w:pPr>
            <w:r>
              <w:t xml:space="preserve">Name </w:t>
            </w:r>
          </w:p>
        </w:tc>
        <w:tc>
          <w:tcPr>
            <w:tcW w:w="1497" w:type="pct"/>
            <w:shd w:val="solid" w:color="0067AB" w:fill="auto"/>
          </w:tcPr>
          <w:p w14:paraId="43903D7F" w14:textId="77777777" w:rsidR="000005F4" w:rsidRDefault="000005F4" w:rsidP="000005F4">
            <w:pPr>
              <w:pStyle w:val="TableHeadingWhite"/>
            </w:pPr>
            <w:r>
              <w:t xml:space="preserve">Organisation </w:t>
            </w:r>
          </w:p>
        </w:tc>
        <w:tc>
          <w:tcPr>
            <w:tcW w:w="11" w:type="pct"/>
            <w:shd w:val="solid" w:color="0067AB" w:fill="auto"/>
          </w:tcPr>
          <w:p w14:paraId="0F93FC71" w14:textId="77777777" w:rsidR="000005F4" w:rsidRDefault="000005F4" w:rsidP="000005F4">
            <w:pPr>
              <w:pStyle w:val="TableHeadingWhite"/>
            </w:pPr>
          </w:p>
        </w:tc>
        <w:tc>
          <w:tcPr>
            <w:tcW w:w="1497" w:type="pct"/>
            <w:shd w:val="solid" w:color="0067AB" w:fill="auto"/>
          </w:tcPr>
          <w:p w14:paraId="3B484395" w14:textId="77777777" w:rsidR="000005F4" w:rsidRDefault="000005F4" w:rsidP="000005F4">
            <w:pPr>
              <w:pStyle w:val="TableHeadingWhite"/>
            </w:pPr>
            <w:r>
              <w:t xml:space="preserve">Name </w:t>
            </w:r>
          </w:p>
        </w:tc>
        <w:tc>
          <w:tcPr>
            <w:tcW w:w="998" w:type="pct"/>
            <w:shd w:val="solid" w:color="0067AB" w:fill="auto"/>
          </w:tcPr>
          <w:p w14:paraId="5E557E5F" w14:textId="77777777" w:rsidR="000005F4" w:rsidRDefault="000005F4" w:rsidP="000005F4">
            <w:pPr>
              <w:pStyle w:val="TableHeadingWhite"/>
            </w:pPr>
            <w:r>
              <w:t>Organisation</w:t>
            </w:r>
          </w:p>
        </w:tc>
      </w:tr>
      <w:tr w:rsidR="000005F4" w14:paraId="61992C97" w14:textId="77777777" w:rsidTr="000005F4">
        <w:tc>
          <w:tcPr>
            <w:tcW w:w="998" w:type="pct"/>
            <w:shd w:val="clear" w:color="auto" w:fill="auto"/>
          </w:tcPr>
          <w:p w14:paraId="2EF8A537" w14:textId="77777777" w:rsidR="000005F4" w:rsidRDefault="000005F4" w:rsidP="000005F4">
            <w:pPr>
              <w:pStyle w:val="TableTextNoSpace"/>
            </w:pPr>
            <w:r>
              <w:t>Simon Bilsborough</w:t>
            </w:r>
          </w:p>
        </w:tc>
        <w:tc>
          <w:tcPr>
            <w:tcW w:w="1497" w:type="pct"/>
          </w:tcPr>
          <w:p w14:paraId="13E7029A" w14:textId="77777777" w:rsidR="000005F4" w:rsidRDefault="000005F4" w:rsidP="000005F4">
            <w:pPr>
              <w:pStyle w:val="TableTextNoSpace"/>
            </w:pPr>
            <w:r>
              <w:t xml:space="preserve">Welsh Government </w:t>
            </w:r>
          </w:p>
        </w:tc>
        <w:tc>
          <w:tcPr>
            <w:tcW w:w="11" w:type="pct"/>
          </w:tcPr>
          <w:p w14:paraId="205B9CB2" w14:textId="77777777" w:rsidR="000005F4" w:rsidRDefault="000005F4" w:rsidP="000005F4">
            <w:pPr>
              <w:pStyle w:val="TableTextNoSpace"/>
            </w:pPr>
          </w:p>
        </w:tc>
        <w:tc>
          <w:tcPr>
            <w:tcW w:w="1497" w:type="pct"/>
            <w:shd w:val="clear" w:color="auto" w:fill="auto"/>
          </w:tcPr>
          <w:p w14:paraId="75972ED4" w14:textId="77777777" w:rsidR="000005F4" w:rsidRDefault="000005F4" w:rsidP="000005F4">
            <w:pPr>
              <w:pStyle w:val="TableTextNoSpace"/>
            </w:pPr>
            <w:r>
              <w:t>Graham Cotterhill</w:t>
            </w:r>
          </w:p>
        </w:tc>
        <w:tc>
          <w:tcPr>
            <w:tcW w:w="998" w:type="pct"/>
            <w:shd w:val="clear" w:color="auto" w:fill="auto"/>
          </w:tcPr>
          <w:p w14:paraId="43EC76DF" w14:textId="77777777" w:rsidR="000005F4" w:rsidRDefault="000005F4" w:rsidP="000005F4">
            <w:pPr>
              <w:pStyle w:val="TableTextNoSpace"/>
            </w:pPr>
            <w:r>
              <w:t xml:space="preserve">North Wales Wildlife Trust </w:t>
            </w:r>
          </w:p>
        </w:tc>
      </w:tr>
      <w:tr w:rsidR="000005F4" w14:paraId="73E7037C" w14:textId="77777777" w:rsidTr="000005F4">
        <w:tc>
          <w:tcPr>
            <w:tcW w:w="998" w:type="pct"/>
            <w:shd w:val="clear" w:color="auto" w:fill="auto"/>
          </w:tcPr>
          <w:p w14:paraId="4C50860E" w14:textId="77777777" w:rsidR="000005F4" w:rsidRDefault="000005F4" w:rsidP="000005F4">
            <w:pPr>
              <w:pStyle w:val="TableTextNoSpace"/>
            </w:pPr>
            <w:r>
              <w:t xml:space="preserve">Colette Price </w:t>
            </w:r>
          </w:p>
        </w:tc>
        <w:tc>
          <w:tcPr>
            <w:tcW w:w="1497" w:type="pct"/>
          </w:tcPr>
          <w:p w14:paraId="4833A1D3" w14:textId="552189CD" w:rsidR="000005F4" w:rsidRDefault="00ED03AA" w:rsidP="000005F4">
            <w:pPr>
              <w:pStyle w:val="TableTextNoSpace"/>
            </w:pPr>
            <w:r>
              <w:t>NRW</w:t>
            </w:r>
            <w:r w:rsidR="000005F4">
              <w:t xml:space="preserve"> </w:t>
            </w:r>
          </w:p>
        </w:tc>
        <w:tc>
          <w:tcPr>
            <w:tcW w:w="11" w:type="pct"/>
          </w:tcPr>
          <w:p w14:paraId="7FD3F437" w14:textId="77777777" w:rsidR="000005F4" w:rsidRDefault="000005F4" w:rsidP="000005F4">
            <w:pPr>
              <w:pStyle w:val="TableTextNoSpace"/>
            </w:pPr>
          </w:p>
        </w:tc>
        <w:tc>
          <w:tcPr>
            <w:tcW w:w="1497" w:type="pct"/>
            <w:shd w:val="clear" w:color="auto" w:fill="auto"/>
          </w:tcPr>
          <w:p w14:paraId="014CD6A6" w14:textId="77777777" w:rsidR="000005F4" w:rsidRDefault="000005F4" w:rsidP="000005F4">
            <w:pPr>
              <w:pStyle w:val="TableTextNoSpace"/>
            </w:pPr>
            <w:r>
              <w:t>Steve Cook</w:t>
            </w:r>
          </w:p>
        </w:tc>
        <w:tc>
          <w:tcPr>
            <w:tcW w:w="998" w:type="pct"/>
            <w:shd w:val="clear" w:color="auto" w:fill="auto"/>
          </w:tcPr>
          <w:p w14:paraId="7BD34ABC" w14:textId="77777777" w:rsidR="000005F4" w:rsidRDefault="000005F4" w:rsidP="000005F4">
            <w:pPr>
              <w:pStyle w:val="TableTextNoSpace"/>
            </w:pPr>
            <w:r>
              <w:t xml:space="preserve">NRW </w:t>
            </w:r>
          </w:p>
        </w:tc>
      </w:tr>
      <w:tr w:rsidR="000005F4" w14:paraId="7F41FD2A" w14:textId="77777777" w:rsidTr="000005F4">
        <w:tc>
          <w:tcPr>
            <w:tcW w:w="998" w:type="pct"/>
            <w:shd w:val="clear" w:color="auto" w:fill="auto"/>
          </w:tcPr>
          <w:p w14:paraId="007D94BA" w14:textId="77777777" w:rsidR="000005F4" w:rsidRDefault="000005F4" w:rsidP="000005F4">
            <w:pPr>
              <w:pStyle w:val="TableTextNoSpace"/>
            </w:pPr>
            <w:r>
              <w:t xml:space="preserve">Neil Smith </w:t>
            </w:r>
          </w:p>
        </w:tc>
        <w:tc>
          <w:tcPr>
            <w:tcW w:w="1497" w:type="pct"/>
          </w:tcPr>
          <w:p w14:paraId="6CBF4D9A" w14:textId="77777777" w:rsidR="000005F4" w:rsidRDefault="000005F4" w:rsidP="000005F4">
            <w:pPr>
              <w:pStyle w:val="TableTextNoSpace"/>
            </w:pPr>
            <w:r>
              <w:t xml:space="preserve">NRW </w:t>
            </w:r>
          </w:p>
        </w:tc>
        <w:tc>
          <w:tcPr>
            <w:tcW w:w="11" w:type="pct"/>
          </w:tcPr>
          <w:p w14:paraId="02110955" w14:textId="77777777" w:rsidR="000005F4" w:rsidRDefault="000005F4" w:rsidP="000005F4">
            <w:pPr>
              <w:pStyle w:val="TableTextNoSpace"/>
            </w:pPr>
          </w:p>
        </w:tc>
        <w:tc>
          <w:tcPr>
            <w:tcW w:w="1497" w:type="pct"/>
            <w:shd w:val="clear" w:color="auto" w:fill="auto"/>
          </w:tcPr>
          <w:p w14:paraId="629FAE9C" w14:textId="77777777" w:rsidR="000005F4" w:rsidRDefault="000005F4" w:rsidP="000005F4">
            <w:pPr>
              <w:pStyle w:val="TableTextNoSpace"/>
            </w:pPr>
            <w:r>
              <w:t xml:space="preserve">Louise Pennington </w:t>
            </w:r>
          </w:p>
        </w:tc>
        <w:tc>
          <w:tcPr>
            <w:tcW w:w="998" w:type="pct"/>
            <w:shd w:val="clear" w:color="auto" w:fill="auto"/>
          </w:tcPr>
          <w:p w14:paraId="22FA8160" w14:textId="77777777" w:rsidR="000005F4" w:rsidRDefault="000005F4" w:rsidP="000005F4">
            <w:pPr>
              <w:pStyle w:val="TableTextNoSpace"/>
            </w:pPr>
            <w:r>
              <w:t xml:space="preserve">NRW </w:t>
            </w:r>
          </w:p>
        </w:tc>
      </w:tr>
      <w:tr w:rsidR="000005F4" w14:paraId="56FE17A3" w14:textId="77777777" w:rsidTr="000005F4">
        <w:tc>
          <w:tcPr>
            <w:tcW w:w="998" w:type="pct"/>
            <w:shd w:val="clear" w:color="auto" w:fill="auto"/>
          </w:tcPr>
          <w:p w14:paraId="219A246D" w14:textId="77777777" w:rsidR="000005F4" w:rsidRDefault="000005F4" w:rsidP="000005F4">
            <w:pPr>
              <w:pStyle w:val="TableTextNoSpace"/>
            </w:pPr>
            <w:r>
              <w:t xml:space="preserve">Rhian Thomas </w:t>
            </w:r>
          </w:p>
        </w:tc>
        <w:tc>
          <w:tcPr>
            <w:tcW w:w="1497" w:type="pct"/>
          </w:tcPr>
          <w:p w14:paraId="3174404A" w14:textId="420F89DD" w:rsidR="000005F4" w:rsidRDefault="00ED03AA" w:rsidP="000005F4">
            <w:pPr>
              <w:pStyle w:val="TableTextNoSpace"/>
            </w:pPr>
            <w:r>
              <w:t xml:space="preserve">NRW </w:t>
            </w:r>
          </w:p>
        </w:tc>
        <w:tc>
          <w:tcPr>
            <w:tcW w:w="11" w:type="pct"/>
          </w:tcPr>
          <w:p w14:paraId="53D336CA" w14:textId="77777777" w:rsidR="000005F4" w:rsidRDefault="000005F4" w:rsidP="000005F4">
            <w:pPr>
              <w:pStyle w:val="TableTextNoSpace"/>
            </w:pPr>
          </w:p>
        </w:tc>
        <w:tc>
          <w:tcPr>
            <w:tcW w:w="1497" w:type="pct"/>
            <w:shd w:val="clear" w:color="auto" w:fill="auto"/>
          </w:tcPr>
          <w:p w14:paraId="68E9D067" w14:textId="77777777" w:rsidR="000005F4" w:rsidRDefault="000005F4" w:rsidP="000005F4">
            <w:pPr>
              <w:pStyle w:val="TableTextNoSpace"/>
            </w:pPr>
            <w:r>
              <w:t xml:space="preserve">Victoria Watson </w:t>
            </w:r>
          </w:p>
        </w:tc>
        <w:tc>
          <w:tcPr>
            <w:tcW w:w="998" w:type="pct"/>
            <w:shd w:val="clear" w:color="auto" w:fill="auto"/>
          </w:tcPr>
          <w:p w14:paraId="6CECE445" w14:textId="77777777" w:rsidR="000005F4" w:rsidRDefault="000005F4" w:rsidP="000005F4">
            <w:pPr>
              <w:pStyle w:val="TableTextNoSpace"/>
            </w:pPr>
            <w:r>
              <w:t xml:space="preserve">NRW </w:t>
            </w:r>
          </w:p>
        </w:tc>
      </w:tr>
      <w:tr w:rsidR="000005F4" w14:paraId="75CFEC6B" w14:textId="77777777" w:rsidTr="000005F4">
        <w:tc>
          <w:tcPr>
            <w:tcW w:w="998" w:type="pct"/>
            <w:shd w:val="clear" w:color="auto" w:fill="auto"/>
          </w:tcPr>
          <w:p w14:paraId="6CDDA9B2" w14:textId="77777777" w:rsidR="000005F4" w:rsidRDefault="000005F4" w:rsidP="000005F4">
            <w:pPr>
              <w:pStyle w:val="TableTextNoSpace"/>
            </w:pPr>
            <w:r>
              <w:t>Dusitaporn Thomas</w:t>
            </w:r>
          </w:p>
        </w:tc>
        <w:tc>
          <w:tcPr>
            <w:tcW w:w="1497" w:type="pct"/>
          </w:tcPr>
          <w:p w14:paraId="0EC3F792" w14:textId="77777777" w:rsidR="000005F4" w:rsidRDefault="000005F4" w:rsidP="000005F4">
            <w:pPr>
              <w:pStyle w:val="TableTextNoSpace"/>
            </w:pPr>
            <w:r>
              <w:t xml:space="preserve">Dwr Cymru </w:t>
            </w:r>
          </w:p>
        </w:tc>
        <w:tc>
          <w:tcPr>
            <w:tcW w:w="11" w:type="pct"/>
          </w:tcPr>
          <w:p w14:paraId="0EFD50B8" w14:textId="77777777" w:rsidR="000005F4" w:rsidRDefault="000005F4" w:rsidP="000005F4">
            <w:pPr>
              <w:pStyle w:val="TableTextNoSpace"/>
            </w:pPr>
          </w:p>
        </w:tc>
        <w:tc>
          <w:tcPr>
            <w:tcW w:w="1497" w:type="pct"/>
            <w:shd w:val="clear" w:color="auto" w:fill="auto"/>
          </w:tcPr>
          <w:p w14:paraId="270E4A8F" w14:textId="77777777" w:rsidR="000005F4" w:rsidRDefault="000005F4" w:rsidP="000005F4">
            <w:pPr>
              <w:pStyle w:val="TableTextNoSpace"/>
            </w:pPr>
            <w:r>
              <w:t xml:space="preserve">John Ratcliffe </w:t>
            </w:r>
          </w:p>
        </w:tc>
        <w:tc>
          <w:tcPr>
            <w:tcW w:w="998" w:type="pct"/>
            <w:shd w:val="clear" w:color="auto" w:fill="auto"/>
          </w:tcPr>
          <w:p w14:paraId="6A4F0DC3" w14:textId="77777777" w:rsidR="000005F4" w:rsidRDefault="000005F4" w:rsidP="000005F4">
            <w:pPr>
              <w:pStyle w:val="TableTextNoSpace"/>
            </w:pPr>
            <w:r>
              <w:t xml:space="preserve">NRW </w:t>
            </w:r>
          </w:p>
        </w:tc>
      </w:tr>
      <w:tr w:rsidR="000005F4" w14:paraId="1D0E271B" w14:textId="77777777" w:rsidTr="000005F4">
        <w:tc>
          <w:tcPr>
            <w:tcW w:w="998" w:type="pct"/>
            <w:shd w:val="clear" w:color="auto" w:fill="auto"/>
          </w:tcPr>
          <w:p w14:paraId="44ADCB5E" w14:textId="77777777" w:rsidR="000005F4" w:rsidRDefault="000005F4" w:rsidP="000005F4">
            <w:pPr>
              <w:pStyle w:val="TableTextNoSpace"/>
            </w:pPr>
            <w:r>
              <w:t>Trevor Williams</w:t>
            </w:r>
          </w:p>
        </w:tc>
        <w:tc>
          <w:tcPr>
            <w:tcW w:w="1497" w:type="pct"/>
          </w:tcPr>
          <w:p w14:paraId="5A5FB0C9" w14:textId="77777777" w:rsidR="000005F4" w:rsidRDefault="000005F4" w:rsidP="000005F4">
            <w:pPr>
              <w:pStyle w:val="TableTextNoSpace"/>
            </w:pPr>
            <w:r>
              <w:t xml:space="preserve">NRW </w:t>
            </w:r>
          </w:p>
        </w:tc>
        <w:tc>
          <w:tcPr>
            <w:tcW w:w="11" w:type="pct"/>
          </w:tcPr>
          <w:p w14:paraId="240DEE7B" w14:textId="77777777" w:rsidR="000005F4" w:rsidRPr="00431A1F" w:rsidRDefault="000005F4" w:rsidP="000005F4">
            <w:pPr>
              <w:pStyle w:val="TableTextNoSpace"/>
            </w:pPr>
          </w:p>
        </w:tc>
        <w:tc>
          <w:tcPr>
            <w:tcW w:w="1497" w:type="pct"/>
            <w:shd w:val="clear" w:color="auto" w:fill="auto"/>
          </w:tcPr>
          <w:p w14:paraId="4582A7E5" w14:textId="77777777" w:rsidR="000005F4" w:rsidRDefault="000005F4" w:rsidP="000005F4">
            <w:pPr>
              <w:pStyle w:val="TableTextNoSpace"/>
            </w:pPr>
            <w:r w:rsidRPr="00431A1F">
              <w:t>Vicky Schlottmann</w:t>
            </w:r>
          </w:p>
        </w:tc>
        <w:tc>
          <w:tcPr>
            <w:tcW w:w="998" w:type="pct"/>
            <w:shd w:val="clear" w:color="auto" w:fill="auto"/>
          </w:tcPr>
          <w:p w14:paraId="406FD369" w14:textId="77777777" w:rsidR="000005F4" w:rsidRDefault="000005F4" w:rsidP="000005F4">
            <w:pPr>
              <w:pStyle w:val="TableTextNoSpace"/>
            </w:pPr>
            <w:r>
              <w:t xml:space="preserve">NRW </w:t>
            </w:r>
          </w:p>
        </w:tc>
      </w:tr>
      <w:tr w:rsidR="000005F4" w14:paraId="2F048FC1" w14:textId="77777777" w:rsidTr="000005F4">
        <w:tc>
          <w:tcPr>
            <w:tcW w:w="998" w:type="pct"/>
            <w:shd w:val="clear" w:color="auto" w:fill="auto"/>
          </w:tcPr>
          <w:p w14:paraId="42FF06FB" w14:textId="77777777" w:rsidR="000005F4" w:rsidRDefault="000005F4" w:rsidP="000005F4">
            <w:pPr>
              <w:pStyle w:val="TableTextNoSpace"/>
            </w:pPr>
            <w:r>
              <w:t xml:space="preserve">David Andrew </w:t>
            </w:r>
          </w:p>
        </w:tc>
        <w:tc>
          <w:tcPr>
            <w:tcW w:w="1497" w:type="pct"/>
          </w:tcPr>
          <w:p w14:paraId="4CBBB2A9" w14:textId="77777777" w:rsidR="000005F4" w:rsidRDefault="000005F4" w:rsidP="000005F4">
            <w:pPr>
              <w:pStyle w:val="TableTextNoSpace"/>
            </w:pPr>
            <w:r>
              <w:t xml:space="preserve">Dee Conservancy </w:t>
            </w:r>
          </w:p>
        </w:tc>
        <w:tc>
          <w:tcPr>
            <w:tcW w:w="11" w:type="pct"/>
          </w:tcPr>
          <w:p w14:paraId="57C1D150" w14:textId="77777777" w:rsidR="000005F4" w:rsidRDefault="000005F4" w:rsidP="000005F4">
            <w:pPr>
              <w:pStyle w:val="TableTextNoSpace"/>
            </w:pPr>
          </w:p>
        </w:tc>
        <w:tc>
          <w:tcPr>
            <w:tcW w:w="1497" w:type="pct"/>
            <w:shd w:val="clear" w:color="auto" w:fill="auto"/>
          </w:tcPr>
          <w:p w14:paraId="4187D4B0" w14:textId="77777777" w:rsidR="000005F4" w:rsidRDefault="000005F4" w:rsidP="000005F4">
            <w:pPr>
              <w:pStyle w:val="TableTextNoSpace"/>
            </w:pPr>
            <w:r>
              <w:t xml:space="preserve">Huw Williams </w:t>
            </w:r>
          </w:p>
        </w:tc>
        <w:tc>
          <w:tcPr>
            <w:tcW w:w="998" w:type="pct"/>
            <w:shd w:val="clear" w:color="auto" w:fill="auto"/>
          </w:tcPr>
          <w:p w14:paraId="12F729A0" w14:textId="77777777" w:rsidR="000005F4" w:rsidRDefault="000005F4" w:rsidP="000005F4">
            <w:pPr>
              <w:pStyle w:val="TableTextNoSpace"/>
            </w:pPr>
            <w:r>
              <w:t xml:space="preserve">NRW </w:t>
            </w:r>
          </w:p>
        </w:tc>
      </w:tr>
      <w:tr w:rsidR="000005F4" w14:paraId="174FF36B" w14:textId="77777777" w:rsidTr="000005F4">
        <w:tc>
          <w:tcPr>
            <w:tcW w:w="998" w:type="pct"/>
            <w:shd w:val="clear" w:color="auto" w:fill="auto"/>
          </w:tcPr>
          <w:p w14:paraId="5D0BB488" w14:textId="77777777" w:rsidR="000005F4" w:rsidRDefault="000005F4" w:rsidP="000005F4">
            <w:pPr>
              <w:pStyle w:val="TableTextNoSpace"/>
            </w:pPr>
            <w:r>
              <w:t xml:space="preserve">Peter Jones </w:t>
            </w:r>
          </w:p>
        </w:tc>
        <w:tc>
          <w:tcPr>
            <w:tcW w:w="1497" w:type="pct"/>
          </w:tcPr>
          <w:p w14:paraId="2519A1F2" w14:textId="77777777" w:rsidR="000005F4" w:rsidRDefault="000005F4" w:rsidP="000005F4">
            <w:pPr>
              <w:pStyle w:val="TableTextNoSpace"/>
            </w:pPr>
            <w:r>
              <w:t xml:space="preserve">NRW </w:t>
            </w:r>
          </w:p>
        </w:tc>
        <w:tc>
          <w:tcPr>
            <w:tcW w:w="11" w:type="pct"/>
          </w:tcPr>
          <w:p w14:paraId="636680E7" w14:textId="77777777" w:rsidR="000005F4" w:rsidRDefault="000005F4" w:rsidP="000005F4">
            <w:pPr>
              <w:pStyle w:val="TableTextNoSpace"/>
            </w:pPr>
          </w:p>
        </w:tc>
        <w:tc>
          <w:tcPr>
            <w:tcW w:w="1497" w:type="pct"/>
            <w:shd w:val="clear" w:color="auto" w:fill="auto"/>
          </w:tcPr>
          <w:p w14:paraId="6E6BFC66" w14:textId="77777777" w:rsidR="000005F4" w:rsidRDefault="000005F4" w:rsidP="000005F4">
            <w:pPr>
              <w:pStyle w:val="TableTextNoSpace"/>
            </w:pPr>
            <w:r>
              <w:t xml:space="preserve">Emr Williams </w:t>
            </w:r>
          </w:p>
        </w:tc>
        <w:tc>
          <w:tcPr>
            <w:tcW w:w="998" w:type="pct"/>
            <w:shd w:val="clear" w:color="auto" w:fill="auto"/>
          </w:tcPr>
          <w:p w14:paraId="3FBED721" w14:textId="77777777" w:rsidR="000005F4" w:rsidRDefault="000005F4" w:rsidP="000005F4">
            <w:pPr>
              <w:pStyle w:val="TableTextNoSpace"/>
            </w:pPr>
            <w:r w:rsidRPr="00431A1F">
              <w:t>Pembrokeshire County Council</w:t>
            </w:r>
          </w:p>
        </w:tc>
      </w:tr>
      <w:tr w:rsidR="000005F4" w14:paraId="033B3D1B" w14:textId="77777777" w:rsidTr="000005F4">
        <w:tc>
          <w:tcPr>
            <w:tcW w:w="998" w:type="pct"/>
            <w:shd w:val="clear" w:color="auto" w:fill="auto"/>
          </w:tcPr>
          <w:p w14:paraId="713A0EF5" w14:textId="77777777" w:rsidR="000005F4" w:rsidRDefault="000005F4" w:rsidP="000005F4">
            <w:pPr>
              <w:pStyle w:val="TableTextNoSpace"/>
            </w:pPr>
            <w:r>
              <w:t xml:space="preserve">Emma Thomas </w:t>
            </w:r>
          </w:p>
        </w:tc>
        <w:tc>
          <w:tcPr>
            <w:tcW w:w="1497" w:type="pct"/>
          </w:tcPr>
          <w:p w14:paraId="5B5CCAF5" w14:textId="77777777" w:rsidR="000005F4" w:rsidRDefault="000005F4" w:rsidP="000005F4">
            <w:pPr>
              <w:pStyle w:val="TableTextNoSpace"/>
              <w:ind w:left="0"/>
            </w:pPr>
            <w:r>
              <w:t xml:space="preserve"> NRW </w:t>
            </w:r>
          </w:p>
        </w:tc>
        <w:tc>
          <w:tcPr>
            <w:tcW w:w="11" w:type="pct"/>
          </w:tcPr>
          <w:p w14:paraId="11E2FFE2" w14:textId="77777777" w:rsidR="000005F4" w:rsidRDefault="000005F4" w:rsidP="000005F4">
            <w:pPr>
              <w:pStyle w:val="TableTextNoSpace"/>
            </w:pPr>
          </w:p>
        </w:tc>
        <w:tc>
          <w:tcPr>
            <w:tcW w:w="1497" w:type="pct"/>
            <w:shd w:val="clear" w:color="auto" w:fill="auto"/>
          </w:tcPr>
          <w:p w14:paraId="4C7F43A3" w14:textId="77777777" w:rsidR="000005F4" w:rsidRDefault="000005F4" w:rsidP="000005F4">
            <w:pPr>
              <w:pStyle w:val="TableTextNoSpace"/>
            </w:pPr>
            <w:r>
              <w:t xml:space="preserve">Nicola Rimmington </w:t>
            </w:r>
          </w:p>
        </w:tc>
        <w:tc>
          <w:tcPr>
            <w:tcW w:w="998" w:type="pct"/>
            <w:shd w:val="clear" w:color="auto" w:fill="auto"/>
          </w:tcPr>
          <w:p w14:paraId="4952A971" w14:textId="77777777" w:rsidR="000005F4" w:rsidRDefault="000005F4" w:rsidP="000005F4">
            <w:pPr>
              <w:pStyle w:val="TableTextNoSpace"/>
            </w:pPr>
            <w:r>
              <w:t xml:space="preserve">NRW </w:t>
            </w:r>
          </w:p>
        </w:tc>
      </w:tr>
      <w:tr w:rsidR="000005F4" w14:paraId="2750511E" w14:textId="77777777" w:rsidTr="000005F4">
        <w:tc>
          <w:tcPr>
            <w:tcW w:w="998" w:type="pct"/>
            <w:shd w:val="clear" w:color="auto" w:fill="auto"/>
          </w:tcPr>
          <w:p w14:paraId="12A3DB40" w14:textId="77777777" w:rsidR="000005F4" w:rsidRDefault="000005F4" w:rsidP="000005F4">
            <w:pPr>
              <w:pStyle w:val="TableTextNoSpace"/>
            </w:pPr>
            <w:r>
              <w:t>Eryl Roberts</w:t>
            </w:r>
          </w:p>
        </w:tc>
        <w:tc>
          <w:tcPr>
            <w:tcW w:w="1497" w:type="pct"/>
          </w:tcPr>
          <w:p w14:paraId="331EE0B3" w14:textId="77777777" w:rsidR="000005F4" w:rsidRDefault="000005F4" w:rsidP="000005F4">
            <w:pPr>
              <w:pStyle w:val="TableTextNoSpace"/>
            </w:pPr>
            <w:r>
              <w:t xml:space="preserve">Woodland Trust Wales </w:t>
            </w:r>
          </w:p>
        </w:tc>
        <w:tc>
          <w:tcPr>
            <w:tcW w:w="11" w:type="pct"/>
          </w:tcPr>
          <w:p w14:paraId="429EF138" w14:textId="77777777" w:rsidR="000005F4" w:rsidRDefault="000005F4" w:rsidP="000005F4">
            <w:pPr>
              <w:pStyle w:val="TableTextNoSpace"/>
            </w:pPr>
          </w:p>
        </w:tc>
        <w:tc>
          <w:tcPr>
            <w:tcW w:w="1497" w:type="pct"/>
            <w:shd w:val="clear" w:color="auto" w:fill="auto"/>
          </w:tcPr>
          <w:p w14:paraId="6698C20A" w14:textId="77777777" w:rsidR="000005F4" w:rsidRDefault="000005F4" w:rsidP="000005F4">
            <w:pPr>
              <w:pStyle w:val="TableTextNoSpace"/>
            </w:pPr>
            <w:r>
              <w:t xml:space="preserve">Richard Park </w:t>
            </w:r>
          </w:p>
        </w:tc>
        <w:tc>
          <w:tcPr>
            <w:tcW w:w="998" w:type="pct"/>
            <w:shd w:val="clear" w:color="auto" w:fill="auto"/>
          </w:tcPr>
          <w:p w14:paraId="0D58EB87" w14:textId="77777777" w:rsidR="000005F4" w:rsidRDefault="000005F4" w:rsidP="000005F4">
            <w:pPr>
              <w:pStyle w:val="TableTextNoSpace"/>
            </w:pPr>
            <w:r>
              <w:t>NRW</w:t>
            </w:r>
          </w:p>
        </w:tc>
      </w:tr>
      <w:tr w:rsidR="000005F4" w14:paraId="17A3B1A7" w14:textId="77777777" w:rsidTr="000005F4">
        <w:tc>
          <w:tcPr>
            <w:tcW w:w="998" w:type="pct"/>
            <w:shd w:val="clear" w:color="auto" w:fill="auto"/>
          </w:tcPr>
          <w:p w14:paraId="4F44B2C8" w14:textId="77777777" w:rsidR="000005F4" w:rsidRDefault="000005F4" w:rsidP="000005F4">
            <w:pPr>
              <w:pStyle w:val="TableTextNoSpace"/>
            </w:pPr>
            <w:r>
              <w:t xml:space="preserve">Nia Seaton </w:t>
            </w:r>
          </w:p>
        </w:tc>
        <w:tc>
          <w:tcPr>
            <w:tcW w:w="1497" w:type="pct"/>
          </w:tcPr>
          <w:p w14:paraId="198B760E" w14:textId="77777777" w:rsidR="000005F4" w:rsidRDefault="000005F4" w:rsidP="000005F4">
            <w:pPr>
              <w:pStyle w:val="TableTextNoSpace"/>
            </w:pPr>
            <w:r>
              <w:t xml:space="preserve">Welsh Assembly Research Service </w:t>
            </w:r>
          </w:p>
        </w:tc>
        <w:tc>
          <w:tcPr>
            <w:tcW w:w="11" w:type="pct"/>
          </w:tcPr>
          <w:p w14:paraId="163CB0EF" w14:textId="77777777" w:rsidR="000005F4" w:rsidRDefault="000005F4" w:rsidP="000005F4">
            <w:pPr>
              <w:pStyle w:val="TableTextNoSpace"/>
            </w:pPr>
          </w:p>
        </w:tc>
        <w:tc>
          <w:tcPr>
            <w:tcW w:w="1497" w:type="pct"/>
            <w:shd w:val="clear" w:color="auto" w:fill="auto"/>
          </w:tcPr>
          <w:p w14:paraId="315C7CFE" w14:textId="77777777" w:rsidR="000005F4" w:rsidRDefault="000005F4" w:rsidP="000005F4">
            <w:pPr>
              <w:pStyle w:val="TableTextNoSpace"/>
            </w:pPr>
            <w:r>
              <w:t xml:space="preserve">Liz Howe </w:t>
            </w:r>
          </w:p>
        </w:tc>
        <w:tc>
          <w:tcPr>
            <w:tcW w:w="998" w:type="pct"/>
            <w:shd w:val="clear" w:color="auto" w:fill="auto"/>
          </w:tcPr>
          <w:p w14:paraId="4433F0A5" w14:textId="77777777" w:rsidR="000005F4" w:rsidRDefault="000005F4" w:rsidP="000005F4">
            <w:pPr>
              <w:pStyle w:val="TableTextNoSpace"/>
            </w:pPr>
            <w:r>
              <w:t xml:space="preserve">NRW </w:t>
            </w:r>
          </w:p>
        </w:tc>
      </w:tr>
      <w:tr w:rsidR="000005F4" w14:paraId="4A7A519A" w14:textId="77777777" w:rsidTr="000005F4">
        <w:tc>
          <w:tcPr>
            <w:tcW w:w="998" w:type="pct"/>
            <w:shd w:val="clear" w:color="auto" w:fill="auto"/>
          </w:tcPr>
          <w:p w14:paraId="7DE3009F" w14:textId="77777777" w:rsidR="000005F4" w:rsidRDefault="000005F4" w:rsidP="000005F4">
            <w:pPr>
              <w:pStyle w:val="TableTextNoSpace"/>
            </w:pPr>
            <w:r>
              <w:t xml:space="preserve">Jim O’Toole </w:t>
            </w:r>
          </w:p>
        </w:tc>
        <w:tc>
          <w:tcPr>
            <w:tcW w:w="1497" w:type="pct"/>
          </w:tcPr>
          <w:p w14:paraId="089BD35E" w14:textId="77777777" w:rsidR="000005F4" w:rsidRDefault="000005F4" w:rsidP="000005F4">
            <w:pPr>
              <w:pStyle w:val="TableTextNoSpace"/>
            </w:pPr>
            <w:r w:rsidRPr="00D31B4D">
              <w:t>Port of Mostyn</w:t>
            </w:r>
          </w:p>
        </w:tc>
        <w:tc>
          <w:tcPr>
            <w:tcW w:w="11" w:type="pct"/>
          </w:tcPr>
          <w:p w14:paraId="5D087D83" w14:textId="77777777" w:rsidR="000005F4" w:rsidRDefault="000005F4" w:rsidP="000005F4">
            <w:pPr>
              <w:pStyle w:val="TableTextNoSpace"/>
            </w:pPr>
          </w:p>
        </w:tc>
        <w:tc>
          <w:tcPr>
            <w:tcW w:w="1497" w:type="pct"/>
            <w:shd w:val="clear" w:color="auto" w:fill="auto"/>
          </w:tcPr>
          <w:p w14:paraId="29C3E58E" w14:textId="77777777" w:rsidR="000005F4" w:rsidRDefault="000005F4" w:rsidP="000005F4">
            <w:pPr>
              <w:pStyle w:val="TableTextNoSpace"/>
            </w:pPr>
            <w:r>
              <w:t xml:space="preserve">Russell De’ath </w:t>
            </w:r>
          </w:p>
        </w:tc>
        <w:tc>
          <w:tcPr>
            <w:tcW w:w="998" w:type="pct"/>
            <w:shd w:val="clear" w:color="auto" w:fill="auto"/>
          </w:tcPr>
          <w:p w14:paraId="5B4A3FB1" w14:textId="77777777" w:rsidR="000005F4" w:rsidRDefault="000005F4" w:rsidP="000005F4">
            <w:pPr>
              <w:pStyle w:val="TableTextNoSpace"/>
            </w:pPr>
            <w:r>
              <w:t xml:space="preserve">NRW </w:t>
            </w:r>
          </w:p>
        </w:tc>
      </w:tr>
      <w:tr w:rsidR="000005F4" w14:paraId="281C2D05" w14:textId="77777777" w:rsidTr="000005F4">
        <w:tc>
          <w:tcPr>
            <w:tcW w:w="998" w:type="pct"/>
            <w:shd w:val="clear" w:color="auto" w:fill="auto"/>
          </w:tcPr>
          <w:p w14:paraId="519954CA" w14:textId="77777777" w:rsidR="000005F4" w:rsidRDefault="000005F4" w:rsidP="000005F4">
            <w:pPr>
              <w:pStyle w:val="TableTextNoSpace"/>
            </w:pPr>
            <w:r>
              <w:t xml:space="preserve">Patrick Lilly </w:t>
            </w:r>
          </w:p>
        </w:tc>
        <w:tc>
          <w:tcPr>
            <w:tcW w:w="1497" w:type="pct"/>
          </w:tcPr>
          <w:p w14:paraId="0256AD0B" w14:textId="77777777" w:rsidR="000005F4" w:rsidRPr="00D31B4D" w:rsidRDefault="000005F4" w:rsidP="000005F4">
            <w:pPr>
              <w:pStyle w:val="TableTextNoSpace"/>
            </w:pPr>
            <w:r>
              <w:t xml:space="preserve">WEFO </w:t>
            </w:r>
          </w:p>
        </w:tc>
        <w:tc>
          <w:tcPr>
            <w:tcW w:w="11" w:type="pct"/>
          </w:tcPr>
          <w:p w14:paraId="52392270" w14:textId="77777777" w:rsidR="000005F4" w:rsidRDefault="000005F4" w:rsidP="000005F4">
            <w:pPr>
              <w:pStyle w:val="TableTextNoSpace"/>
            </w:pPr>
          </w:p>
        </w:tc>
        <w:tc>
          <w:tcPr>
            <w:tcW w:w="1497" w:type="pct"/>
            <w:shd w:val="clear" w:color="auto" w:fill="auto"/>
          </w:tcPr>
          <w:p w14:paraId="74EAF94E" w14:textId="77777777" w:rsidR="000005F4" w:rsidRDefault="000005F4" w:rsidP="000005F4">
            <w:pPr>
              <w:pStyle w:val="TableTextNoSpace"/>
            </w:pPr>
            <w:r>
              <w:t xml:space="preserve">Mike McCabe </w:t>
            </w:r>
          </w:p>
        </w:tc>
        <w:tc>
          <w:tcPr>
            <w:tcW w:w="998" w:type="pct"/>
            <w:shd w:val="clear" w:color="auto" w:fill="auto"/>
          </w:tcPr>
          <w:p w14:paraId="756B1547" w14:textId="77777777" w:rsidR="000005F4" w:rsidRDefault="000005F4" w:rsidP="000005F4">
            <w:pPr>
              <w:pStyle w:val="TableTextNoSpace"/>
            </w:pPr>
            <w:r>
              <w:t>NRW</w:t>
            </w:r>
          </w:p>
        </w:tc>
      </w:tr>
      <w:tr w:rsidR="000005F4" w14:paraId="099606A2" w14:textId="77777777" w:rsidTr="000005F4">
        <w:tc>
          <w:tcPr>
            <w:tcW w:w="998" w:type="pct"/>
            <w:shd w:val="clear" w:color="auto" w:fill="auto"/>
          </w:tcPr>
          <w:p w14:paraId="5BF7E5C4" w14:textId="77777777" w:rsidR="000005F4" w:rsidRDefault="000005F4" w:rsidP="000005F4">
            <w:pPr>
              <w:pStyle w:val="TableTextNoSpace"/>
            </w:pPr>
            <w:r>
              <w:t xml:space="preserve">Olly Howells </w:t>
            </w:r>
          </w:p>
        </w:tc>
        <w:tc>
          <w:tcPr>
            <w:tcW w:w="1497" w:type="pct"/>
          </w:tcPr>
          <w:p w14:paraId="50367EF2" w14:textId="77777777" w:rsidR="000005F4" w:rsidRPr="00D31B4D" w:rsidRDefault="000005F4" w:rsidP="000005F4">
            <w:pPr>
              <w:pStyle w:val="TableTextNoSpace"/>
            </w:pPr>
            <w:r>
              <w:t xml:space="preserve">Ministry of Defence </w:t>
            </w:r>
          </w:p>
        </w:tc>
        <w:tc>
          <w:tcPr>
            <w:tcW w:w="11" w:type="pct"/>
          </w:tcPr>
          <w:p w14:paraId="55B0F596" w14:textId="77777777" w:rsidR="000005F4" w:rsidRDefault="000005F4" w:rsidP="000005F4">
            <w:pPr>
              <w:pStyle w:val="TableTextNoSpace"/>
            </w:pPr>
          </w:p>
        </w:tc>
        <w:tc>
          <w:tcPr>
            <w:tcW w:w="1497" w:type="pct"/>
            <w:shd w:val="clear" w:color="auto" w:fill="auto"/>
          </w:tcPr>
          <w:p w14:paraId="00CA5602" w14:textId="77777777" w:rsidR="000005F4" w:rsidRDefault="000005F4" w:rsidP="000005F4">
            <w:pPr>
              <w:pStyle w:val="TableTextNoSpace"/>
            </w:pPr>
            <w:r>
              <w:t xml:space="preserve">Julia Korn </w:t>
            </w:r>
          </w:p>
        </w:tc>
        <w:tc>
          <w:tcPr>
            <w:tcW w:w="998" w:type="pct"/>
            <w:shd w:val="clear" w:color="auto" w:fill="auto"/>
          </w:tcPr>
          <w:p w14:paraId="6D524E62" w14:textId="77777777" w:rsidR="000005F4" w:rsidRDefault="000005F4" w:rsidP="000005F4">
            <w:pPr>
              <w:pStyle w:val="TableTextNoSpace"/>
            </w:pPr>
            <w:r>
              <w:t>NRW</w:t>
            </w:r>
          </w:p>
        </w:tc>
      </w:tr>
      <w:tr w:rsidR="000005F4" w14:paraId="039F7AA8" w14:textId="77777777" w:rsidTr="000005F4">
        <w:tc>
          <w:tcPr>
            <w:tcW w:w="998" w:type="pct"/>
            <w:shd w:val="clear" w:color="auto" w:fill="auto"/>
          </w:tcPr>
          <w:p w14:paraId="5B892B9F" w14:textId="77777777" w:rsidR="000005F4" w:rsidRDefault="000005F4" w:rsidP="000005F4">
            <w:pPr>
              <w:pStyle w:val="TableTextNoSpace"/>
            </w:pPr>
            <w:r>
              <w:t xml:space="preserve">Sue Burton </w:t>
            </w:r>
          </w:p>
        </w:tc>
        <w:tc>
          <w:tcPr>
            <w:tcW w:w="1497" w:type="pct"/>
          </w:tcPr>
          <w:p w14:paraId="385B6A7F" w14:textId="77777777" w:rsidR="000005F4" w:rsidRPr="00D31B4D" w:rsidRDefault="000005F4" w:rsidP="000005F4">
            <w:pPr>
              <w:pStyle w:val="TableTextNoSpace"/>
            </w:pPr>
            <w:r>
              <w:t xml:space="preserve">NRW </w:t>
            </w:r>
          </w:p>
        </w:tc>
        <w:tc>
          <w:tcPr>
            <w:tcW w:w="11" w:type="pct"/>
          </w:tcPr>
          <w:p w14:paraId="26116E05" w14:textId="77777777" w:rsidR="000005F4" w:rsidRDefault="000005F4" w:rsidP="000005F4">
            <w:pPr>
              <w:pStyle w:val="TableTextNoSpace"/>
            </w:pPr>
          </w:p>
        </w:tc>
        <w:tc>
          <w:tcPr>
            <w:tcW w:w="1497" w:type="pct"/>
            <w:shd w:val="clear" w:color="auto" w:fill="auto"/>
          </w:tcPr>
          <w:p w14:paraId="05B66E2B" w14:textId="77777777" w:rsidR="000005F4" w:rsidRDefault="000005F4" w:rsidP="000005F4">
            <w:pPr>
              <w:pStyle w:val="TableTextNoSpace"/>
            </w:pPr>
            <w:r>
              <w:t xml:space="preserve">Clare Southard </w:t>
            </w:r>
          </w:p>
        </w:tc>
        <w:tc>
          <w:tcPr>
            <w:tcW w:w="998" w:type="pct"/>
            <w:shd w:val="clear" w:color="auto" w:fill="auto"/>
          </w:tcPr>
          <w:p w14:paraId="42AD0B83" w14:textId="77777777" w:rsidR="000005F4" w:rsidRDefault="000005F4" w:rsidP="000005F4">
            <w:pPr>
              <w:pStyle w:val="TableTextNoSpace"/>
            </w:pPr>
            <w:r>
              <w:t xml:space="preserve">NRW </w:t>
            </w:r>
          </w:p>
        </w:tc>
      </w:tr>
    </w:tbl>
    <w:p w14:paraId="18313F3F" w14:textId="77777777" w:rsidR="000005F4" w:rsidRPr="000002F3" w:rsidRDefault="000005F4" w:rsidP="000005F4"/>
    <w:p w14:paraId="345420EA" w14:textId="77777777" w:rsidR="000005F4" w:rsidRDefault="000005F4" w:rsidP="000005F4">
      <w:pPr>
        <w:pStyle w:val="AnnexHeading"/>
      </w:pPr>
      <w:bookmarkStart w:id="437" w:name="_Toc405964072"/>
      <w:bookmarkStart w:id="438" w:name="_Toc407618025"/>
      <w:bookmarkStart w:id="439" w:name="_Toc408094050"/>
      <w:bookmarkStart w:id="440" w:name="_Toc408138051"/>
      <w:bookmarkStart w:id="441" w:name="_Toc408851039"/>
      <w:bookmarkStart w:id="442" w:name="_Toc421880715"/>
      <w:r>
        <w:t>References</w:t>
      </w:r>
      <w:bookmarkStart w:id="443" w:name="_Toc402428738"/>
      <w:bookmarkEnd w:id="437"/>
      <w:bookmarkEnd w:id="438"/>
      <w:bookmarkEnd w:id="439"/>
      <w:bookmarkEnd w:id="440"/>
      <w:bookmarkEnd w:id="441"/>
      <w:bookmarkEnd w:id="443"/>
      <w:bookmarkEnd w:id="442"/>
    </w:p>
    <w:p w14:paraId="75702151" w14:textId="3DF2471B" w:rsidR="00380585" w:rsidRDefault="00380585" w:rsidP="000005F4">
      <w:r>
        <w:t xml:space="preserve">European Commission (2013). Management of Natura 2000 sites. Available at: </w:t>
      </w:r>
      <w:hyperlink r:id="rId89" w:anchor="art6" w:history="1">
        <w:r w:rsidRPr="00B8782E">
          <w:rPr>
            <w:rStyle w:val="Hyperlink"/>
          </w:rPr>
          <w:t>http://ec.europa.eu/environment/nature/natura2000/management/guidance_en.htm#art6</w:t>
        </w:r>
      </w:hyperlink>
      <w:r>
        <w:t xml:space="preserve"> </w:t>
      </w:r>
    </w:p>
    <w:p w14:paraId="1A7F805C" w14:textId="56090B65" w:rsidR="000005F4" w:rsidRDefault="000005F4" w:rsidP="000005F4">
      <w:r w:rsidRPr="00E742B9">
        <w:t>Gantioler S., Rayment M., Bassi S., Kettunen M., McConville A., Landgrebe R., Gerdes H., ten Brink P. Costs and Socio-Economic Benefits associated with the Natura 2000 Network. Final report to the European Commission, DG Environment on Contract ENV.B.2/SER/2008/0038. Institute for European Environmental Policy / GHK / Ecologic, Brussels 2010</w:t>
      </w:r>
      <w:r w:rsidR="00380585">
        <w:t>. Available at:</w:t>
      </w:r>
      <w:r w:rsidRPr="00E742B9">
        <w:t xml:space="preserve"> </w:t>
      </w:r>
      <w:r w:rsidR="00380585">
        <w:t xml:space="preserve"> </w:t>
      </w:r>
      <w:hyperlink r:id="rId90" w:history="1">
        <w:r w:rsidRPr="007D0954">
          <w:rPr>
            <w:rStyle w:val="Hyperlink"/>
          </w:rPr>
          <w:t>http://ec.europa.eu/environment/nature/natura2000/financing/docs/natura2000_costs_benefits.pdf</w:t>
        </w:r>
      </w:hyperlink>
    </w:p>
    <w:p w14:paraId="0C08F547" w14:textId="77777777" w:rsidR="00380585" w:rsidRDefault="000005F4" w:rsidP="000005F4">
      <w:r w:rsidRPr="009430D1">
        <w:t>GHK Consulting and RPS Ecology (2006) UK Biodiversity Action Plan: Preparing Costings for Species and Habitat Action Plans.  Costings Summary Report.</w:t>
      </w:r>
      <w:r w:rsidR="00380585">
        <w:t xml:space="preserve"> Available at:</w:t>
      </w:r>
      <w:r w:rsidRPr="009430D1">
        <w:t xml:space="preserve"> </w:t>
      </w:r>
      <w:hyperlink r:id="rId91" w:history="1">
        <w:r w:rsidRPr="00DF6A14">
          <w:rPr>
            <w:rStyle w:val="Hyperlink"/>
          </w:rPr>
          <w:t>http://www.ukbap.org.uk/library/BRIG/TargetsReview06/PreparingCostingsForSAPsAndHAPs.pdf</w:t>
        </w:r>
      </w:hyperlink>
      <w:r>
        <w:t xml:space="preserve"> </w:t>
      </w:r>
    </w:p>
    <w:p w14:paraId="286C0A9C" w14:textId="4EB665D5" w:rsidR="000005F4" w:rsidRDefault="000005F4" w:rsidP="000005F4">
      <w:r>
        <w:t xml:space="preserve">GHK (2010) </w:t>
      </w:r>
      <w:r w:rsidRPr="009430D1">
        <w:t>The Costs of Implementing the UK BAP – 2010 Update</w:t>
      </w:r>
      <w:r>
        <w:t>.</w:t>
      </w:r>
    </w:p>
    <w:p w14:paraId="53DFDD8F" w14:textId="77777777" w:rsidR="000005F4" w:rsidRDefault="000005F4" w:rsidP="000005F4">
      <w:r>
        <w:t>Kettunen, M., Torkler, P.and Rayment, M. (2013) Financing Natura 2000 in 2014-2020: Guidance Handbook, a publication commissioned by the European Commission DG Environment</w:t>
      </w:r>
    </w:p>
    <w:p w14:paraId="4E439D73" w14:textId="77777777" w:rsidR="000005F4" w:rsidRDefault="000005F4" w:rsidP="000005F4">
      <w:r>
        <w:t xml:space="preserve">Kettunen, M, et al. (2010) Costs and socio-economic benefits associated with the Natura 2000 network. Report to the European Commission: DG Environment </w:t>
      </w:r>
    </w:p>
    <w:p w14:paraId="12FC3134" w14:textId="77777777" w:rsidR="000005F4" w:rsidRDefault="000005F4" w:rsidP="000005F4">
      <w:r w:rsidRPr="00C60C1D">
        <w:t>UK National Ecosystem Assessment (2011) The UK National Ecosystem Assessment Technic</w:t>
      </w:r>
      <w:r>
        <w:t>al Report. UNEP-WCMC, Cambridge</w:t>
      </w:r>
    </w:p>
    <w:p w14:paraId="6FF844FF" w14:textId="77777777" w:rsidR="000005F4" w:rsidRDefault="000005F4" w:rsidP="000005F4">
      <w:r>
        <w:t xml:space="preserve">Natural Resources Wales (2014) Challenges Facing Welsh Natura 2000 Habitats and Species. Report 2: Analysis of Issues and Risks (Action A2). </w:t>
      </w:r>
    </w:p>
    <w:p w14:paraId="227BD1D1" w14:textId="77777777" w:rsidR="000005F4" w:rsidRDefault="000005F4" w:rsidP="000005F4">
      <w:r>
        <w:t xml:space="preserve">Natural Resources Wales (2014) Challenges Facing Welsh Natura 2000 Habitats and Species. Report 3: Analysis of Issues and Risks (Action A3). </w:t>
      </w:r>
    </w:p>
    <w:p w14:paraId="032CF70D" w14:textId="77777777" w:rsidR="000005F4" w:rsidRDefault="000005F4" w:rsidP="000005F4">
      <w:r>
        <w:t>Natural Resources Wales (2014) Challenges Facing Welsh Natura 2000 Habitats and Species. Report 4: Analysis of Issues and Risks (Action A4)</w:t>
      </w:r>
    </w:p>
    <w:p w14:paraId="50AF38D9" w14:textId="268691A7" w:rsidR="00380585" w:rsidRDefault="00380585" w:rsidP="000005F4">
      <w:r>
        <w:t xml:space="preserve">Natural Resources Wales (2014) LIFE Natura 2000 Programme for Wales. Available at: </w:t>
      </w:r>
      <w:hyperlink r:id="rId92" w:history="1">
        <w:r w:rsidRPr="00C40C19">
          <w:rPr>
            <w:rStyle w:val="Hyperlink"/>
          </w:rPr>
          <w:t>http://naturalresourceswales.gov.uk/about-us/our-projects/lifenatura-2000-programme-for-wales/?lang=en</w:t>
        </w:r>
      </w:hyperlink>
    </w:p>
    <w:p w14:paraId="6F0E6312" w14:textId="147ED099" w:rsidR="000005F4" w:rsidRDefault="000005F4" w:rsidP="000005F4">
      <w:r w:rsidRPr="00E742B9">
        <w:t>ten Brink P., Badura T., Bassi S., Daly, E., Dickie, I., Ding H., Gantioler S., Gerdes, H., Kettunen M., Lago, M., Lang, S., Markandya A., Nunes P.A.L.D., Pieterse, M., Rayment M., Tinch R., (2011). Estimating the Overall Economic Value of the Benefits provided by the Natura 2000 Network. Final Report to the European Commission, DG Environment on Contract ENV.B.2/SER/2008/0038.</w:t>
      </w:r>
      <w:r w:rsidR="00380585" w:rsidRPr="00380585">
        <w:t xml:space="preserve"> </w:t>
      </w:r>
      <w:r w:rsidR="00380585">
        <w:t xml:space="preserve">Available at: </w:t>
      </w:r>
      <w:hyperlink r:id="rId93" w:history="1">
        <w:r w:rsidRPr="007D0954">
          <w:rPr>
            <w:rStyle w:val="Hyperlink"/>
          </w:rPr>
          <w:t>http://www.ieep.eu/publications/2012/06/estimating-the-overall-economic-value-of-the-benefits-provided-by-the-natura-2000-network</w:t>
        </w:r>
      </w:hyperlink>
    </w:p>
    <w:p w14:paraId="5A479283" w14:textId="06CC970A" w:rsidR="00B31483" w:rsidRDefault="00B31483" w:rsidP="00B31483">
      <w:r>
        <w:t xml:space="preserve">Welsh Government (2013) Prioritised Action Framework for Wales. Available at: </w:t>
      </w:r>
      <w:r w:rsidRPr="00A856F3">
        <w:t>http://wales.gov.uk/docs/desh/policy/141023wales-paf-for-natura-2000-sites-en.pdf</w:t>
      </w:r>
    </w:p>
    <w:p w14:paraId="15FB8FF9" w14:textId="77777777" w:rsidR="000005F4" w:rsidRDefault="000005F4" w:rsidP="000005F4">
      <w:r>
        <w:t>Welsh Government (2014) FORMAT FOR A PRIORITISED ACTION FRAMEWORK (PAF) FOR NATURA 2000 For the EU Multiannual Financing Period 2014-2020.</w:t>
      </w:r>
    </w:p>
    <w:p w14:paraId="6ECEF32F" w14:textId="60153B52" w:rsidR="000005F4" w:rsidRDefault="00B22FCE" w:rsidP="000005F4">
      <w:r>
        <w:t xml:space="preserve">Welsh Government (2013) FORMAT FOR A PRIORITISED ACTION FRAMEWORK (PAF) FOR NATURA 2000 For the EU Multiannual Financing Period 2014-2020. </w:t>
      </w:r>
      <w:r w:rsidR="000005F4">
        <w:t xml:space="preserve">Welsh Government (2014) Public Consultation for Proposed Changes to the Glastir Scheme. </w:t>
      </w:r>
      <w:r w:rsidR="00380585">
        <w:t xml:space="preserve">Available at: </w:t>
      </w:r>
      <w:hyperlink r:id="rId94" w:history="1">
        <w:r w:rsidR="000005F4" w:rsidRPr="00F006BE">
          <w:rPr>
            <w:rStyle w:val="Hyperlink"/>
          </w:rPr>
          <w:t>http://wales.gov.uk/consultations/environmentandcountryside/proposals-for-glastir-scheme-consultation/?lang=en</w:t>
        </w:r>
      </w:hyperlink>
      <w:r w:rsidR="000005F4">
        <w:t xml:space="preserve"> </w:t>
      </w:r>
    </w:p>
    <w:p w14:paraId="145446F7" w14:textId="548FCFAC" w:rsidR="000005F4" w:rsidRDefault="000005F4" w:rsidP="000005F4">
      <w:r>
        <w:t>Welsh Government (2014) Rural Development Plan for Wales, 2014-2020</w:t>
      </w:r>
      <w:r w:rsidR="00380585">
        <w:t xml:space="preserve">. Available at: </w:t>
      </w:r>
      <w:r>
        <w:t xml:space="preserve">  </w:t>
      </w:r>
      <w:hyperlink r:id="rId95" w:history="1">
        <w:r w:rsidRPr="00F006BE">
          <w:rPr>
            <w:rStyle w:val="Hyperlink"/>
          </w:rPr>
          <w:t>http://wales.gov.uk/topics/environmentcountryside/farmingandcountryside/cap/ruraldevelopment/rural-development-plan-for-wales-2014-2020/?lang=en</w:t>
        </w:r>
      </w:hyperlink>
      <w:r>
        <w:t xml:space="preserve"> </w:t>
      </w:r>
    </w:p>
    <w:bookmarkEnd w:id="266"/>
    <w:bookmarkEnd w:id="270"/>
    <w:p w14:paraId="5553E965" w14:textId="77777777" w:rsidR="000005F4" w:rsidRPr="008B11A6" w:rsidRDefault="000005F4" w:rsidP="00BE743B">
      <w:pPr>
        <w:pStyle w:val="BodyText"/>
        <w:ind w:left="0"/>
      </w:pPr>
    </w:p>
    <w:sectPr w:rsidR="000005F4" w:rsidRPr="008B11A6" w:rsidSect="00C50B29">
      <w:footerReference w:type="default" r:id="rId96"/>
      <w:pgSz w:w="11907" w:h="16840" w:code="9"/>
      <w:pgMar w:top="1871" w:right="1418" w:bottom="1021" w:left="1418" w:header="68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D84CA" w14:textId="77777777" w:rsidR="00467097" w:rsidRDefault="00467097" w:rsidP="001E33FA">
      <w:pPr>
        <w:spacing w:after="0" w:line="240" w:lineRule="auto"/>
      </w:pPr>
      <w:r>
        <w:separator/>
      </w:r>
    </w:p>
  </w:endnote>
  <w:endnote w:type="continuationSeparator" w:id="0">
    <w:p w14:paraId="7303E626" w14:textId="77777777" w:rsidR="00467097" w:rsidRDefault="00467097" w:rsidP="001E3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MS">
    <w:panose1 w:val="00000000000000000000"/>
    <w:charset w:val="00"/>
    <w:family w:val="swiss"/>
    <w:notTrueType/>
    <w:pitch w:val="default"/>
    <w:sig w:usb0="00000003" w:usb1="00000000" w:usb2="00000000" w:usb3="00000000" w:csb0="00000001" w:csb1="00000000"/>
  </w:font>
  <w:font w:name="ArialMT-Regula1">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8" w:space="0" w:color="0067AB"/>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1"/>
    </w:tblGrid>
    <w:tr w:rsidR="00467097" w:rsidRPr="005C5357" w14:paraId="1CB2F41C" w14:textId="77777777" w:rsidTr="00FD5DB5">
      <w:tc>
        <w:tcPr>
          <w:tcW w:w="5000" w:type="pct"/>
        </w:tcPr>
        <w:p w14:paraId="61FF5D80" w14:textId="77777777" w:rsidR="00467097" w:rsidRPr="005C5357" w:rsidRDefault="00467097" w:rsidP="00FD5DB5">
          <w:pPr>
            <w:pStyle w:val="DocAddress"/>
          </w:pPr>
        </w:p>
      </w:tc>
    </w:tr>
  </w:tbl>
  <w:p w14:paraId="184B8C46" w14:textId="77777777" w:rsidR="00467097" w:rsidRPr="00A279FE" w:rsidRDefault="00467097" w:rsidP="00C50B29">
    <w:pPr>
      <w:pStyle w:val="Footer"/>
      <w:rPr>
        <w:sz w:val="8"/>
        <w:szCs w:val="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64BCA" w14:textId="77777777" w:rsidR="00467097" w:rsidRDefault="00467097" w:rsidP="004803C5">
    <w:pPr>
      <w:pStyle w:val="Footer"/>
    </w:pPr>
    <w:r>
      <w:tab/>
    </w:r>
  </w:p>
  <w:tbl>
    <w:tblPr>
      <w:tblStyle w:val="TableGrid"/>
      <w:tblW w:w="5000" w:type="pct"/>
      <w:tblBorders>
        <w:top w:val="single" w:sz="48" w:space="0" w:color="0067AB"/>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804"/>
      <w:gridCol w:w="4202"/>
    </w:tblGrid>
    <w:tr w:rsidR="00467097" w14:paraId="18BD9854" w14:textId="77777777" w:rsidTr="00FD5DB5">
      <w:trPr>
        <w:trHeight w:val="454"/>
      </w:trPr>
      <w:tc>
        <w:tcPr>
          <w:tcW w:w="3500" w:type="pct"/>
        </w:tcPr>
        <w:p w14:paraId="64367C7E" w14:textId="77777777" w:rsidR="00467097" w:rsidRDefault="00467097" w:rsidP="00313589">
          <w:pPr>
            <w:pStyle w:val="Footer"/>
          </w:pPr>
          <w:r w:rsidRPr="00A1673D">
            <w:rPr>
              <w:noProof/>
            </w:rPr>
            <w:fldChar w:fldCharType="begin"/>
          </w:r>
          <w:r w:rsidRPr="00A1673D">
            <w:rPr>
              <w:noProof/>
            </w:rPr>
            <w:instrText xml:space="preserve"> IF </w:instrText>
          </w:r>
          <w:r w:rsidRPr="00313589">
            <w:rPr>
              <w:noProof/>
            </w:rPr>
            <w:fldChar w:fldCharType="begin"/>
          </w:r>
          <w:r>
            <w:rPr>
              <w:noProof/>
            </w:rPr>
            <w:instrText xml:space="preserve"> DOCVARIABLE  FooterVersion  \* MERGEFORMAT </w:instrText>
          </w:r>
          <w:r w:rsidRPr="00313589">
            <w:rPr>
              <w:noProof/>
            </w:rPr>
            <w:fldChar w:fldCharType="separate"/>
          </w:r>
          <w:r>
            <w:rPr>
              <w:noProof/>
            </w:rPr>
            <w:instrText xml:space="preserve"> </w:instrText>
          </w:r>
          <w:r w:rsidRPr="00313589">
            <w:rPr>
              <w:noProof/>
            </w:rPr>
            <w:fldChar w:fldCharType="end"/>
          </w:r>
          <w:r w:rsidRPr="00A1673D">
            <w:rPr>
              <w:noProof/>
            </w:rPr>
            <w:instrText xml:space="preserve"> = "Error! No</w:instrText>
          </w:r>
          <w:r>
            <w:rPr>
              <w:noProof/>
            </w:rPr>
            <w:instrText xml:space="preserve"> document variable supplied." " </w:instrText>
          </w:r>
          <w:r w:rsidRPr="00A1673D">
            <w:rPr>
              <w:noProof/>
            </w:rPr>
            <w:instrText xml:space="preserve">" </w:instrText>
          </w:r>
          <w:r>
            <w:rPr>
              <w:noProof/>
            </w:rPr>
            <w:fldChar w:fldCharType="begin"/>
          </w:r>
          <w:r>
            <w:rPr>
              <w:noProof/>
            </w:rPr>
            <w:instrText xml:space="preserve"> DOCVARIABLE  FooterVersion \* MERGEFORMAT </w:instrText>
          </w:r>
          <w:r>
            <w:rPr>
              <w:noProof/>
            </w:rPr>
            <w:fldChar w:fldCharType="separate"/>
          </w:r>
          <w:r>
            <w:rPr>
              <w:noProof/>
            </w:rPr>
            <w:instrText xml:space="preserve"> </w:instrText>
          </w:r>
          <w:r>
            <w:rPr>
              <w:noProof/>
            </w:rPr>
            <w:fldChar w:fldCharType="end"/>
          </w:r>
          <w:r w:rsidRPr="00A1673D">
            <w:rPr>
              <w:noProof/>
            </w:rPr>
            <w:instrText xml:space="preserve"> \* MERGEFORMAT </w:instrText>
          </w:r>
          <w:r w:rsidRPr="00A1673D">
            <w:rPr>
              <w:noProof/>
            </w:rPr>
            <w:fldChar w:fldCharType="separate"/>
          </w:r>
          <w:r>
            <w:rPr>
              <w:noProof/>
            </w:rPr>
            <w:t xml:space="preserve"> </w:t>
          </w:r>
          <w:r w:rsidRPr="00A1673D">
            <w:rPr>
              <w:noProof/>
            </w:rPr>
            <w:fldChar w:fldCharType="end"/>
          </w:r>
        </w:p>
      </w:tc>
      <w:tc>
        <w:tcPr>
          <w:tcW w:w="1500" w:type="pct"/>
        </w:tcPr>
        <w:p w14:paraId="1952CE35" w14:textId="77777777" w:rsidR="00467097" w:rsidRPr="00F00530" w:rsidRDefault="00467097" w:rsidP="00FD5DB5">
          <w:pPr>
            <w:pStyle w:val="Header"/>
            <w:spacing w:before="80"/>
            <w:jc w:val="right"/>
            <w:rPr>
              <w:rStyle w:val="PageNumber"/>
            </w:rPr>
          </w:pPr>
          <w:r w:rsidRPr="00F00530">
            <w:rPr>
              <w:rStyle w:val="PageNumber"/>
            </w:rPr>
            <w:fldChar w:fldCharType="begin"/>
          </w:r>
          <w:r w:rsidRPr="00F00530">
            <w:rPr>
              <w:rStyle w:val="PageNumber"/>
            </w:rPr>
            <w:instrText xml:space="preserve"> PAGE   \* MERGEFORMAT </w:instrText>
          </w:r>
          <w:r w:rsidRPr="00F00530">
            <w:rPr>
              <w:rStyle w:val="PageNumber"/>
            </w:rPr>
            <w:fldChar w:fldCharType="separate"/>
          </w:r>
          <w:r w:rsidR="001655CC">
            <w:rPr>
              <w:rStyle w:val="PageNumber"/>
              <w:noProof/>
            </w:rPr>
            <w:t>40</w:t>
          </w:r>
          <w:r w:rsidRPr="00F00530">
            <w:rPr>
              <w:rStyle w:val="PageNumber"/>
            </w:rPr>
            <w:fldChar w:fldCharType="end"/>
          </w:r>
        </w:p>
      </w:tc>
    </w:tr>
  </w:tbl>
  <w:p w14:paraId="3C899686" w14:textId="77777777" w:rsidR="00467097" w:rsidRPr="00B97405" w:rsidRDefault="00467097" w:rsidP="004803C5">
    <w:pPr>
      <w:pStyle w:val="Footer"/>
      <w:rPr>
        <w:sz w:val="8"/>
        <w:szCs w:val="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6AACF" w14:textId="77777777" w:rsidR="00467097" w:rsidRDefault="00467097">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C541D" w14:textId="77777777" w:rsidR="00467097" w:rsidRDefault="00467097" w:rsidP="004803C5">
    <w:pPr>
      <w:pStyle w:val="Footer"/>
    </w:pPr>
    <w:r>
      <w:tab/>
    </w:r>
  </w:p>
  <w:tbl>
    <w:tblPr>
      <w:tblStyle w:val="TableGrid"/>
      <w:tblW w:w="5000" w:type="pct"/>
      <w:tblBorders>
        <w:top w:val="single" w:sz="48" w:space="0" w:color="0067AB"/>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50"/>
      <w:gridCol w:w="2721"/>
    </w:tblGrid>
    <w:tr w:rsidR="00467097" w14:paraId="575ED081" w14:textId="77777777" w:rsidTr="00FD5DB5">
      <w:trPr>
        <w:trHeight w:val="454"/>
      </w:trPr>
      <w:tc>
        <w:tcPr>
          <w:tcW w:w="3500" w:type="pct"/>
        </w:tcPr>
        <w:p w14:paraId="7C538A63" w14:textId="77777777" w:rsidR="00467097" w:rsidRDefault="00467097" w:rsidP="00313589">
          <w:pPr>
            <w:pStyle w:val="Footer"/>
          </w:pPr>
          <w:r w:rsidRPr="00A1673D">
            <w:rPr>
              <w:noProof/>
            </w:rPr>
            <w:fldChar w:fldCharType="begin"/>
          </w:r>
          <w:r w:rsidRPr="00A1673D">
            <w:rPr>
              <w:noProof/>
            </w:rPr>
            <w:instrText xml:space="preserve"> IF </w:instrText>
          </w:r>
          <w:r w:rsidRPr="00313589">
            <w:rPr>
              <w:noProof/>
            </w:rPr>
            <w:fldChar w:fldCharType="begin"/>
          </w:r>
          <w:r>
            <w:rPr>
              <w:noProof/>
            </w:rPr>
            <w:instrText xml:space="preserve"> DOCVARIABLE  FooterVersion  \* MERGEFORMAT </w:instrText>
          </w:r>
          <w:r w:rsidRPr="00313589">
            <w:rPr>
              <w:noProof/>
            </w:rPr>
            <w:fldChar w:fldCharType="separate"/>
          </w:r>
          <w:r>
            <w:rPr>
              <w:noProof/>
            </w:rPr>
            <w:instrText xml:space="preserve"> </w:instrText>
          </w:r>
          <w:r w:rsidRPr="00313589">
            <w:rPr>
              <w:noProof/>
            </w:rPr>
            <w:fldChar w:fldCharType="end"/>
          </w:r>
          <w:r w:rsidRPr="00A1673D">
            <w:rPr>
              <w:noProof/>
            </w:rPr>
            <w:instrText xml:space="preserve"> = "Error! No</w:instrText>
          </w:r>
          <w:r>
            <w:rPr>
              <w:noProof/>
            </w:rPr>
            <w:instrText xml:space="preserve"> document variable supplied." " </w:instrText>
          </w:r>
          <w:r w:rsidRPr="00A1673D">
            <w:rPr>
              <w:noProof/>
            </w:rPr>
            <w:instrText xml:space="preserve">" </w:instrText>
          </w:r>
          <w:r>
            <w:rPr>
              <w:noProof/>
            </w:rPr>
            <w:fldChar w:fldCharType="begin"/>
          </w:r>
          <w:r>
            <w:rPr>
              <w:noProof/>
            </w:rPr>
            <w:instrText xml:space="preserve"> DOCVARIABLE  FooterVersion \* MERGEFORMAT </w:instrText>
          </w:r>
          <w:r>
            <w:rPr>
              <w:noProof/>
            </w:rPr>
            <w:fldChar w:fldCharType="separate"/>
          </w:r>
          <w:r>
            <w:rPr>
              <w:noProof/>
            </w:rPr>
            <w:instrText xml:space="preserve"> </w:instrText>
          </w:r>
          <w:r>
            <w:rPr>
              <w:noProof/>
            </w:rPr>
            <w:fldChar w:fldCharType="end"/>
          </w:r>
          <w:r w:rsidRPr="00A1673D">
            <w:rPr>
              <w:noProof/>
            </w:rPr>
            <w:instrText xml:space="preserve"> \* MERGEFORMAT </w:instrText>
          </w:r>
          <w:r w:rsidRPr="00A1673D">
            <w:rPr>
              <w:noProof/>
            </w:rPr>
            <w:fldChar w:fldCharType="separate"/>
          </w:r>
          <w:r>
            <w:rPr>
              <w:noProof/>
            </w:rPr>
            <w:t xml:space="preserve"> </w:t>
          </w:r>
          <w:r w:rsidRPr="00A1673D">
            <w:rPr>
              <w:noProof/>
            </w:rPr>
            <w:fldChar w:fldCharType="end"/>
          </w:r>
        </w:p>
      </w:tc>
      <w:tc>
        <w:tcPr>
          <w:tcW w:w="1500" w:type="pct"/>
        </w:tcPr>
        <w:p w14:paraId="2BF0FE76" w14:textId="77777777" w:rsidR="00467097" w:rsidRPr="00F00530" w:rsidRDefault="00467097" w:rsidP="00FD5DB5">
          <w:pPr>
            <w:pStyle w:val="Header"/>
            <w:spacing w:before="80"/>
            <w:jc w:val="right"/>
            <w:rPr>
              <w:rStyle w:val="PageNumber"/>
            </w:rPr>
          </w:pPr>
          <w:r w:rsidRPr="00F00530">
            <w:rPr>
              <w:rStyle w:val="PageNumber"/>
            </w:rPr>
            <w:fldChar w:fldCharType="begin"/>
          </w:r>
          <w:r w:rsidRPr="00F00530">
            <w:rPr>
              <w:rStyle w:val="PageNumber"/>
            </w:rPr>
            <w:instrText xml:space="preserve"> PAGE   \* MERGEFORMAT </w:instrText>
          </w:r>
          <w:r w:rsidRPr="00F00530">
            <w:rPr>
              <w:rStyle w:val="PageNumber"/>
            </w:rPr>
            <w:fldChar w:fldCharType="separate"/>
          </w:r>
          <w:r w:rsidR="001655CC">
            <w:rPr>
              <w:rStyle w:val="PageNumber"/>
              <w:noProof/>
            </w:rPr>
            <w:t>45</w:t>
          </w:r>
          <w:r w:rsidRPr="00F00530">
            <w:rPr>
              <w:rStyle w:val="PageNumber"/>
            </w:rPr>
            <w:fldChar w:fldCharType="end"/>
          </w:r>
        </w:p>
      </w:tc>
    </w:tr>
  </w:tbl>
  <w:p w14:paraId="6B71C452" w14:textId="77777777" w:rsidR="00467097" w:rsidRPr="00B97405" w:rsidRDefault="00467097" w:rsidP="004803C5">
    <w:pPr>
      <w:pStyle w:val="Footer"/>
      <w:rPr>
        <w:sz w:val="8"/>
        <w:szCs w:val="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F68DF" w14:textId="77777777" w:rsidR="00467097" w:rsidRDefault="00467097">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39A48" w14:textId="77777777" w:rsidR="00467097" w:rsidRDefault="00467097" w:rsidP="004803C5">
    <w:pPr>
      <w:pStyle w:val="Footer"/>
    </w:pPr>
    <w:r>
      <w:tab/>
    </w:r>
  </w:p>
  <w:tbl>
    <w:tblPr>
      <w:tblStyle w:val="TableGrid"/>
      <w:tblW w:w="5000" w:type="pct"/>
      <w:tblBorders>
        <w:top w:val="single" w:sz="48" w:space="0" w:color="0067AB"/>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804"/>
      <w:gridCol w:w="4202"/>
    </w:tblGrid>
    <w:tr w:rsidR="00467097" w14:paraId="57A05085" w14:textId="77777777" w:rsidTr="00FD5DB5">
      <w:trPr>
        <w:trHeight w:val="454"/>
      </w:trPr>
      <w:tc>
        <w:tcPr>
          <w:tcW w:w="3500" w:type="pct"/>
        </w:tcPr>
        <w:p w14:paraId="7C429252" w14:textId="77777777" w:rsidR="00467097" w:rsidRDefault="00467097" w:rsidP="00313589">
          <w:pPr>
            <w:pStyle w:val="Footer"/>
          </w:pPr>
          <w:r w:rsidRPr="00A1673D">
            <w:rPr>
              <w:noProof/>
            </w:rPr>
            <w:fldChar w:fldCharType="begin"/>
          </w:r>
          <w:r w:rsidRPr="00A1673D">
            <w:rPr>
              <w:noProof/>
            </w:rPr>
            <w:instrText xml:space="preserve"> IF </w:instrText>
          </w:r>
          <w:r w:rsidRPr="00313589">
            <w:rPr>
              <w:noProof/>
            </w:rPr>
            <w:fldChar w:fldCharType="begin"/>
          </w:r>
          <w:r>
            <w:rPr>
              <w:noProof/>
            </w:rPr>
            <w:instrText xml:space="preserve"> DOCVARIABLE  FooterVersion  \* MERGEFORMAT </w:instrText>
          </w:r>
          <w:r w:rsidRPr="00313589">
            <w:rPr>
              <w:noProof/>
            </w:rPr>
            <w:fldChar w:fldCharType="separate"/>
          </w:r>
          <w:r>
            <w:rPr>
              <w:noProof/>
            </w:rPr>
            <w:instrText xml:space="preserve"> </w:instrText>
          </w:r>
          <w:r w:rsidRPr="00313589">
            <w:rPr>
              <w:noProof/>
            </w:rPr>
            <w:fldChar w:fldCharType="end"/>
          </w:r>
          <w:r w:rsidRPr="00A1673D">
            <w:rPr>
              <w:noProof/>
            </w:rPr>
            <w:instrText xml:space="preserve"> = "Error! No</w:instrText>
          </w:r>
          <w:r>
            <w:rPr>
              <w:noProof/>
            </w:rPr>
            <w:instrText xml:space="preserve"> document variable supplied." " </w:instrText>
          </w:r>
          <w:r w:rsidRPr="00A1673D">
            <w:rPr>
              <w:noProof/>
            </w:rPr>
            <w:instrText xml:space="preserve">" </w:instrText>
          </w:r>
          <w:r>
            <w:rPr>
              <w:noProof/>
            </w:rPr>
            <w:fldChar w:fldCharType="begin"/>
          </w:r>
          <w:r>
            <w:rPr>
              <w:noProof/>
            </w:rPr>
            <w:instrText xml:space="preserve"> DOCVARIABLE  FooterVersion \* MERGEFORMAT </w:instrText>
          </w:r>
          <w:r>
            <w:rPr>
              <w:noProof/>
            </w:rPr>
            <w:fldChar w:fldCharType="separate"/>
          </w:r>
          <w:r>
            <w:rPr>
              <w:noProof/>
            </w:rPr>
            <w:instrText xml:space="preserve"> </w:instrText>
          </w:r>
          <w:r>
            <w:rPr>
              <w:noProof/>
            </w:rPr>
            <w:fldChar w:fldCharType="end"/>
          </w:r>
          <w:r w:rsidRPr="00A1673D">
            <w:rPr>
              <w:noProof/>
            </w:rPr>
            <w:instrText xml:space="preserve"> \* MERGEFORMAT </w:instrText>
          </w:r>
          <w:r w:rsidRPr="00A1673D">
            <w:rPr>
              <w:noProof/>
            </w:rPr>
            <w:fldChar w:fldCharType="separate"/>
          </w:r>
          <w:r>
            <w:rPr>
              <w:noProof/>
            </w:rPr>
            <w:t xml:space="preserve"> </w:t>
          </w:r>
          <w:r w:rsidRPr="00A1673D">
            <w:rPr>
              <w:noProof/>
            </w:rPr>
            <w:fldChar w:fldCharType="end"/>
          </w:r>
        </w:p>
      </w:tc>
      <w:tc>
        <w:tcPr>
          <w:tcW w:w="1500" w:type="pct"/>
        </w:tcPr>
        <w:p w14:paraId="20F44FA6" w14:textId="77777777" w:rsidR="00467097" w:rsidRPr="00F00530" w:rsidRDefault="00467097" w:rsidP="00FD5DB5">
          <w:pPr>
            <w:pStyle w:val="Header"/>
            <w:spacing w:before="80"/>
            <w:jc w:val="right"/>
            <w:rPr>
              <w:rStyle w:val="PageNumber"/>
            </w:rPr>
          </w:pPr>
          <w:r w:rsidRPr="00F00530">
            <w:rPr>
              <w:rStyle w:val="PageNumber"/>
            </w:rPr>
            <w:fldChar w:fldCharType="begin"/>
          </w:r>
          <w:r w:rsidRPr="00F00530">
            <w:rPr>
              <w:rStyle w:val="PageNumber"/>
            </w:rPr>
            <w:instrText xml:space="preserve"> PAGE   \* MERGEFORMAT </w:instrText>
          </w:r>
          <w:r w:rsidRPr="00F00530">
            <w:rPr>
              <w:rStyle w:val="PageNumber"/>
            </w:rPr>
            <w:fldChar w:fldCharType="separate"/>
          </w:r>
          <w:r w:rsidR="001655CC">
            <w:rPr>
              <w:rStyle w:val="PageNumber"/>
              <w:noProof/>
            </w:rPr>
            <w:t>52</w:t>
          </w:r>
          <w:r w:rsidRPr="00F00530">
            <w:rPr>
              <w:rStyle w:val="PageNumber"/>
            </w:rPr>
            <w:fldChar w:fldCharType="end"/>
          </w:r>
        </w:p>
      </w:tc>
    </w:tr>
  </w:tbl>
  <w:p w14:paraId="3C3DE784" w14:textId="77777777" w:rsidR="00467097" w:rsidRPr="00B97405" w:rsidRDefault="00467097" w:rsidP="004803C5">
    <w:pPr>
      <w:pStyle w:val="Footer"/>
      <w:rPr>
        <w:sz w:val="8"/>
        <w:szCs w:val="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EF874" w14:textId="77777777" w:rsidR="00467097" w:rsidRDefault="00467097" w:rsidP="002978F8">
    <w:pPr>
      <w:pStyle w:val="Footer"/>
    </w:pPr>
    <w:r>
      <w:tab/>
    </w:r>
  </w:p>
  <w:tbl>
    <w:tblPr>
      <w:tblStyle w:val="TableGrid"/>
      <w:tblW w:w="5000" w:type="pct"/>
      <w:tblBorders>
        <w:top w:val="single" w:sz="48" w:space="0" w:color="0067AB"/>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50"/>
      <w:gridCol w:w="2721"/>
    </w:tblGrid>
    <w:tr w:rsidR="00467097" w14:paraId="3CDD58CD" w14:textId="77777777" w:rsidTr="00FD5DB5">
      <w:trPr>
        <w:trHeight w:val="454"/>
      </w:trPr>
      <w:tc>
        <w:tcPr>
          <w:tcW w:w="3500" w:type="pct"/>
        </w:tcPr>
        <w:p w14:paraId="400E4452" w14:textId="77777777" w:rsidR="00467097" w:rsidRDefault="00467097" w:rsidP="004E5B10">
          <w:pPr>
            <w:pStyle w:val="Footer"/>
          </w:pPr>
          <w:r w:rsidRPr="00A1673D">
            <w:fldChar w:fldCharType="begin"/>
          </w:r>
          <w:r w:rsidRPr="00A1673D">
            <w:instrText xml:space="preserve"> IF </w:instrText>
          </w:r>
          <w:r w:rsidR="001655CC">
            <w:fldChar w:fldCharType="begin"/>
          </w:r>
          <w:r w:rsidR="001655CC">
            <w:instrText xml:space="preserve"> DOCVARIABLE  FooterVersion  \* MERGEFORMAT </w:instrText>
          </w:r>
          <w:r w:rsidR="001655CC">
            <w:fldChar w:fldCharType="separate"/>
          </w:r>
          <w:r w:rsidRPr="00B31483">
            <w:rPr>
              <w:lang w:val="en-US"/>
            </w:rPr>
            <w:instrText xml:space="preserve"> </w:instrText>
          </w:r>
          <w:r w:rsidR="001655CC">
            <w:rPr>
              <w:lang w:val="en-US"/>
            </w:rPr>
            <w:fldChar w:fldCharType="end"/>
          </w:r>
          <w:r w:rsidRPr="00A1673D">
            <w:instrText xml:space="preserve"> = "Error! No</w:instrText>
          </w:r>
          <w:r>
            <w:instrText xml:space="preserve"> document variable supplied." " </w:instrText>
          </w:r>
          <w:r w:rsidRPr="00A1673D">
            <w:instrText xml:space="preserve">" </w:instrText>
          </w:r>
          <w:r w:rsidR="001655CC">
            <w:fldChar w:fldCharType="begin"/>
          </w:r>
          <w:r w:rsidR="001655CC">
            <w:instrText xml:space="preserve"> DOCVARIABLE  FooterVersion \* MERGEFORMAT </w:instrText>
          </w:r>
          <w:r w:rsidR="001655CC">
            <w:fldChar w:fldCharType="separate"/>
          </w:r>
          <w:r>
            <w:instrText xml:space="preserve"> </w:instrText>
          </w:r>
          <w:r w:rsidR="001655CC">
            <w:fldChar w:fldCharType="end"/>
          </w:r>
          <w:r w:rsidRPr="00A1673D">
            <w:instrText xml:space="preserve"> \* MERGEFORMAT </w:instrText>
          </w:r>
          <w:r w:rsidRPr="00A1673D">
            <w:fldChar w:fldCharType="separate"/>
          </w:r>
          <w:r>
            <w:rPr>
              <w:noProof/>
            </w:rPr>
            <w:t xml:space="preserve"> </w:t>
          </w:r>
          <w:r w:rsidRPr="00A1673D">
            <w:fldChar w:fldCharType="end"/>
          </w:r>
        </w:p>
      </w:tc>
      <w:tc>
        <w:tcPr>
          <w:tcW w:w="1500" w:type="pct"/>
        </w:tcPr>
        <w:p w14:paraId="7E5FD0E2" w14:textId="77777777" w:rsidR="00467097" w:rsidRPr="00F00530" w:rsidRDefault="00467097" w:rsidP="00FD5DB5">
          <w:pPr>
            <w:pStyle w:val="Header"/>
            <w:spacing w:before="80"/>
            <w:jc w:val="right"/>
            <w:rPr>
              <w:rStyle w:val="PageNumber"/>
            </w:rPr>
          </w:pPr>
          <w:r w:rsidRPr="00F00530">
            <w:rPr>
              <w:rStyle w:val="PageNumber"/>
            </w:rPr>
            <w:fldChar w:fldCharType="begin"/>
          </w:r>
          <w:r w:rsidRPr="00F00530">
            <w:rPr>
              <w:rStyle w:val="PageNumber"/>
            </w:rPr>
            <w:instrText xml:space="preserve"> PAGE   \* MERGEFORMAT </w:instrText>
          </w:r>
          <w:r w:rsidRPr="00F00530">
            <w:rPr>
              <w:rStyle w:val="PageNumber"/>
            </w:rPr>
            <w:fldChar w:fldCharType="separate"/>
          </w:r>
          <w:r w:rsidR="001655CC">
            <w:rPr>
              <w:rStyle w:val="PageNumber"/>
              <w:noProof/>
            </w:rPr>
            <w:t>129</w:t>
          </w:r>
          <w:r w:rsidRPr="00F00530">
            <w:rPr>
              <w:rStyle w:val="PageNumber"/>
            </w:rPr>
            <w:fldChar w:fldCharType="end"/>
          </w:r>
        </w:p>
      </w:tc>
    </w:tr>
  </w:tbl>
  <w:p w14:paraId="12A47D21" w14:textId="77777777" w:rsidR="00467097" w:rsidRPr="00B97405" w:rsidRDefault="00467097" w:rsidP="002978F8">
    <w:pPr>
      <w:pStyle w:val="Footer"/>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8" w:space="0" w:color="0067AB"/>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1"/>
    </w:tblGrid>
    <w:tr w:rsidR="00467097" w:rsidRPr="005C5357" w14:paraId="49FF7BF7" w14:textId="77777777" w:rsidTr="00FD5DB5">
      <w:tc>
        <w:tcPr>
          <w:tcW w:w="5000" w:type="pct"/>
        </w:tcPr>
        <w:p w14:paraId="1F0D3882" w14:textId="77777777" w:rsidR="00467097" w:rsidRDefault="00467097" w:rsidP="00FD5DB5">
          <w:pPr>
            <w:pStyle w:val="DocAddress"/>
          </w:pPr>
          <w:r w:rsidRPr="00E0743B">
            <w:rPr>
              <w:rFonts w:ascii="Calibri" w:hAnsi="Calibri"/>
              <w:b/>
              <w:bCs/>
              <w:noProof/>
              <w:color w:val="000000"/>
              <w:sz w:val="22"/>
              <w:szCs w:val="22"/>
              <w:lang w:eastAsia="en-GB"/>
            </w:rPr>
            <w:drawing>
              <wp:inline distT="0" distB="0" distL="0" distR="0" wp14:anchorId="65B5C89D" wp14:editId="09DE28F2">
                <wp:extent cx="4487981" cy="1092115"/>
                <wp:effectExtent l="0" t="0" r="0" b="0"/>
                <wp:docPr id="24" name="Picture 24" descr="C:\Users\andrew.jeffery\Desktop\cropped logo 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w.jeffery\Desktop\cropped logo ba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7981" cy="1092115"/>
                        </a:xfrm>
                        <a:prstGeom prst="rect">
                          <a:avLst/>
                        </a:prstGeom>
                        <a:noFill/>
                        <a:ln>
                          <a:noFill/>
                        </a:ln>
                      </pic:spPr>
                    </pic:pic>
                  </a:graphicData>
                </a:graphic>
              </wp:inline>
            </w:drawing>
          </w:r>
        </w:p>
        <w:p w14:paraId="585138D1" w14:textId="77777777" w:rsidR="00467097" w:rsidRDefault="00467097" w:rsidP="00A86A1C">
          <w:pPr>
            <w:pStyle w:val="NormalWeb"/>
            <w:jc w:val="center"/>
            <w:rPr>
              <w:rFonts w:ascii="Calibri" w:hAnsi="Calibri"/>
              <w:color w:val="000000"/>
            </w:rPr>
          </w:pPr>
          <w:r>
            <w:rPr>
              <w:rFonts w:ascii="Calibri" w:hAnsi="Calibri"/>
              <w:b/>
              <w:bCs/>
              <w:color w:val="000000"/>
              <w:sz w:val="22"/>
              <w:szCs w:val="22"/>
            </w:rPr>
            <w:t>LIFE N2K Wales: LIFE11 NAT/UK/385</w:t>
          </w:r>
        </w:p>
        <w:p w14:paraId="3EFD97EC" w14:textId="77777777" w:rsidR="00467097" w:rsidRDefault="00467097" w:rsidP="00A86A1C">
          <w:pPr>
            <w:pStyle w:val="Footer"/>
            <w:jc w:val="center"/>
          </w:pPr>
          <w:r>
            <w:rPr>
              <w:rFonts w:ascii="Calibri" w:hAnsi="Calibri"/>
              <w:b/>
              <w:bCs/>
              <w:color w:val="000000"/>
              <w:sz w:val="22"/>
              <w:szCs w:val="22"/>
            </w:rPr>
            <w:t>Supported by LIFE, a financial instrument of the European Community</w:t>
          </w:r>
        </w:p>
        <w:p w14:paraId="3E0B13B2" w14:textId="77A3E5DA" w:rsidR="00467097" w:rsidRPr="005C5357" w:rsidRDefault="00467097" w:rsidP="00FD5DB5">
          <w:pPr>
            <w:pStyle w:val="DocAddress"/>
          </w:pPr>
        </w:p>
      </w:tc>
    </w:tr>
  </w:tbl>
  <w:p w14:paraId="69438693" w14:textId="77777777" w:rsidR="00467097" w:rsidRPr="00A279FE" w:rsidRDefault="00467097" w:rsidP="0091335A">
    <w:pPr>
      <w:pStyle w:val="Footer"/>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58260" w14:textId="77777777" w:rsidR="00467097" w:rsidRDefault="00467097" w:rsidP="00C50B29">
    <w:pPr>
      <w:pStyle w:val="Footer"/>
    </w:pPr>
    <w:r>
      <w:tab/>
    </w:r>
  </w:p>
  <w:tbl>
    <w:tblPr>
      <w:tblStyle w:val="TableGrid"/>
      <w:tblW w:w="5000" w:type="pct"/>
      <w:tblBorders>
        <w:top w:val="single" w:sz="48" w:space="0" w:color="0067AB"/>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50"/>
      <w:gridCol w:w="2721"/>
    </w:tblGrid>
    <w:tr w:rsidR="00467097" w14:paraId="0AF5B98A" w14:textId="77777777" w:rsidTr="00FD5DB5">
      <w:trPr>
        <w:trHeight w:val="454"/>
      </w:trPr>
      <w:tc>
        <w:tcPr>
          <w:tcW w:w="3500" w:type="pct"/>
        </w:tcPr>
        <w:p w14:paraId="696767A7" w14:textId="77777777" w:rsidR="00467097" w:rsidRDefault="00467097" w:rsidP="00FD5DB5">
          <w:pPr>
            <w:pStyle w:val="Footer"/>
          </w:pPr>
        </w:p>
      </w:tc>
      <w:tc>
        <w:tcPr>
          <w:tcW w:w="1500" w:type="pct"/>
        </w:tcPr>
        <w:p w14:paraId="3F005626" w14:textId="77777777" w:rsidR="00467097" w:rsidRPr="00F00530" w:rsidRDefault="00467097" w:rsidP="00FD5DB5">
          <w:pPr>
            <w:pStyle w:val="Header"/>
            <w:spacing w:before="80"/>
            <w:jc w:val="right"/>
            <w:rPr>
              <w:rStyle w:val="PageNumber"/>
            </w:rPr>
          </w:pPr>
        </w:p>
      </w:tc>
    </w:tr>
  </w:tbl>
  <w:p w14:paraId="0FDB8C6C" w14:textId="77777777" w:rsidR="00467097" w:rsidRPr="00B97405" w:rsidRDefault="00467097" w:rsidP="00C50B29">
    <w:pPr>
      <w:pStyle w:val="Footer"/>
      <w:rPr>
        <w:sz w:val="8"/>
        <w:szCs w:val="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37DBF" w14:textId="77777777" w:rsidR="00467097" w:rsidRDefault="00467097" w:rsidP="004F5174">
    <w:pPr>
      <w:pStyle w:val="Footer"/>
      <w:jc w:val="center"/>
      <w:rPr>
        <w:i/>
        <w:iCs/>
      </w:rPr>
    </w:pPr>
    <w:r>
      <w:rPr>
        <w:i/>
        <w:iCs/>
      </w:rPr>
      <w:t>This page is intentionally blank</w:t>
    </w:r>
  </w:p>
  <w:p w14:paraId="403BD20B" w14:textId="77777777" w:rsidR="00467097" w:rsidRDefault="00467097" w:rsidP="004F5174">
    <w:pPr>
      <w:pStyle w:val="Footer"/>
      <w:jc w:val="center"/>
      <w:rPr>
        <w:i/>
        <w:iCs/>
      </w:rPr>
    </w:pPr>
  </w:p>
  <w:p w14:paraId="51F5B8AD" w14:textId="77777777" w:rsidR="00467097" w:rsidRDefault="00467097" w:rsidP="004F5174">
    <w:pPr>
      <w:pStyle w:val="Footer"/>
      <w:jc w:val="center"/>
      <w:rPr>
        <w:i/>
        <w:iCs/>
      </w:rPr>
    </w:pPr>
  </w:p>
  <w:p w14:paraId="5ABAA607" w14:textId="77777777" w:rsidR="00467097" w:rsidRDefault="00467097" w:rsidP="004F5174">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3EAE4" w14:textId="77777777" w:rsidR="00467097" w:rsidRDefault="00467097" w:rsidP="00ED420E">
    <w:pPr>
      <w:pStyle w:val="Footer"/>
    </w:pPr>
    <w:r>
      <w:tab/>
    </w:r>
  </w:p>
  <w:tbl>
    <w:tblPr>
      <w:tblStyle w:val="TableGrid"/>
      <w:tblW w:w="5000" w:type="pct"/>
      <w:tblBorders>
        <w:top w:val="single" w:sz="48" w:space="0" w:color="0067AB"/>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50"/>
      <w:gridCol w:w="2721"/>
    </w:tblGrid>
    <w:tr w:rsidR="00467097" w14:paraId="1991FB71" w14:textId="77777777" w:rsidTr="00ED420E">
      <w:trPr>
        <w:trHeight w:val="454"/>
      </w:trPr>
      <w:tc>
        <w:tcPr>
          <w:tcW w:w="3500" w:type="pct"/>
        </w:tcPr>
        <w:p w14:paraId="7506FD99" w14:textId="77777777" w:rsidR="00467097" w:rsidRDefault="00467097" w:rsidP="00ED420E">
          <w:pPr>
            <w:pStyle w:val="Footer"/>
          </w:pPr>
        </w:p>
      </w:tc>
      <w:tc>
        <w:tcPr>
          <w:tcW w:w="1500" w:type="pct"/>
        </w:tcPr>
        <w:p w14:paraId="283BCF71" w14:textId="77777777" w:rsidR="00467097" w:rsidRPr="00F00530" w:rsidRDefault="00467097" w:rsidP="00ED420E">
          <w:pPr>
            <w:pStyle w:val="Header"/>
            <w:spacing w:before="80"/>
            <w:jc w:val="right"/>
            <w:rPr>
              <w:rStyle w:val="PageNumber"/>
            </w:rPr>
          </w:pPr>
        </w:p>
      </w:tc>
    </w:tr>
  </w:tbl>
  <w:p w14:paraId="1067EC47" w14:textId="77777777" w:rsidR="00467097" w:rsidRPr="00B97405" w:rsidRDefault="00467097" w:rsidP="00ED420E">
    <w:pPr>
      <w:pStyle w:val="Footer"/>
      <w:rPr>
        <w:sz w:val="8"/>
        <w:szCs w:val="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4F09E" w14:textId="77777777" w:rsidR="00467097" w:rsidRDefault="00467097" w:rsidP="00244FC3">
    <w:pPr>
      <w:pStyle w:val="Footer"/>
    </w:pPr>
    <w:r>
      <w:tab/>
    </w:r>
  </w:p>
  <w:tbl>
    <w:tblPr>
      <w:tblStyle w:val="TableGrid"/>
      <w:tblW w:w="5000" w:type="pct"/>
      <w:tblBorders>
        <w:top w:val="single" w:sz="48" w:space="0" w:color="0067AB"/>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50"/>
      <w:gridCol w:w="2721"/>
    </w:tblGrid>
    <w:tr w:rsidR="00467097" w14:paraId="4EBB9B22" w14:textId="77777777" w:rsidTr="00FD5DB5">
      <w:trPr>
        <w:trHeight w:val="454"/>
      </w:trPr>
      <w:tc>
        <w:tcPr>
          <w:tcW w:w="3500" w:type="pct"/>
        </w:tcPr>
        <w:p w14:paraId="3DFFC1F4" w14:textId="2E3FA758" w:rsidR="00467097" w:rsidRDefault="00467097" w:rsidP="00313589">
          <w:pPr>
            <w:pStyle w:val="Footer"/>
          </w:pPr>
          <w:r w:rsidRPr="00A1673D">
            <w:rPr>
              <w:noProof/>
            </w:rPr>
            <w:fldChar w:fldCharType="begin"/>
          </w:r>
          <w:r w:rsidRPr="00A1673D">
            <w:rPr>
              <w:noProof/>
            </w:rPr>
            <w:instrText xml:space="preserve"> IF </w:instrText>
          </w:r>
          <w:r>
            <w:rPr>
              <w:noProof/>
            </w:rPr>
            <w:fldChar w:fldCharType="begin"/>
          </w:r>
          <w:r>
            <w:rPr>
              <w:noProof/>
            </w:rPr>
            <w:instrText xml:space="preserve"> DOCVARIABLE  FooterVersion  \* MERGEFORMAT </w:instrText>
          </w:r>
          <w:r>
            <w:rPr>
              <w:noProof/>
            </w:rPr>
            <w:fldChar w:fldCharType="separate"/>
          </w:r>
          <w:r w:rsidRPr="00B31483">
            <w:rPr>
              <w:noProof/>
              <w:lang w:val="en-US"/>
            </w:rPr>
            <w:instrText xml:space="preserve"> </w:instrText>
          </w:r>
          <w:r>
            <w:rPr>
              <w:noProof/>
              <w:lang w:val="en-US"/>
            </w:rPr>
            <w:fldChar w:fldCharType="end"/>
          </w:r>
          <w:r w:rsidRPr="00A1673D">
            <w:rPr>
              <w:noProof/>
            </w:rPr>
            <w:instrText xml:space="preserve"> = "Error! No</w:instrText>
          </w:r>
          <w:r>
            <w:rPr>
              <w:noProof/>
            </w:rPr>
            <w:instrText xml:space="preserve"> document variable supplied." " </w:instrText>
          </w:r>
          <w:r w:rsidRPr="00A1673D">
            <w:rPr>
              <w:noProof/>
            </w:rPr>
            <w:instrText xml:space="preserve">" </w:instrText>
          </w:r>
          <w:r>
            <w:rPr>
              <w:noProof/>
            </w:rPr>
            <w:fldChar w:fldCharType="begin"/>
          </w:r>
          <w:r>
            <w:rPr>
              <w:noProof/>
            </w:rPr>
            <w:instrText xml:space="preserve"> DOCVARIABLE  FooterVersion \* MERGEFORMAT </w:instrText>
          </w:r>
          <w:r>
            <w:rPr>
              <w:noProof/>
            </w:rPr>
            <w:fldChar w:fldCharType="separate"/>
          </w:r>
          <w:r>
            <w:rPr>
              <w:noProof/>
            </w:rPr>
            <w:instrText xml:space="preserve"> </w:instrText>
          </w:r>
          <w:r>
            <w:rPr>
              <w:noProof/>
            </w:rPr>
            <w:fldChar w:fldCharType="end"/>
          </w:r>
          <w:r w:rsidRPr="00A1673D">
            <w:rPr>
              <w:noProof/>
            </w:rPr>
            <w:instrText xml:space="preserve"> \* MERGEFORMAT </w:instrText>
          </w:r>
          <w:r w:rsidRPr="00A1673D">
            <w:rPr>
              <w:noProof/>
            </w:rPr>
            <w:fldChar w:fldCharType="separate"/>
          </w:r>
          <w:r>
            <w:rPr>
              <w:noProof/>
            </w:rPr>
            <w:t xml:space="preserve"> </w:t>
          </w:r>
          <w:r w:rsidRPr="00A1673D">
            <w:rPr>
              <w:noProof/>
            </w:rPr>
            <w:fldChar w:fldCharType="end"/>
          </w:r>
        </w:p>
      </w:tc>
      <w:tc>
        <w:tcPr>
          <w:tcW w:w="1500" w:type="pct"/>
        </w:tcPr>
        <w:p w14:paraId="17C07E57" w14:textId="06420828" w:rsidR="00467097" w:rsidRPr="00F00530" w:rsidRDefault="00467097" w:rsidP="00AF7274">
          <w:pPr>
            <w:pStyle w:val="Header"/>
            <w:tabs>
              <w:tab w:val="right" w:pos="1417"/>
            </w:tabs>
            <w:spacing w:before="80"/>
            <w:rPr>
              <w:rStyle w:val="PageNumber"/>
            </w:rPr>
          </w:pPr>
          <w:r>
            <w:rPr>
              <w:rStyle w:val="PageNumber"/>
            </w:rPr>
            <w:tab/>
          </w:r>
          <w:r w:rsidRPr="00F00530">
            <w:rPr>
              <w:rStyle w:val="PageNumber"/>
            </w:rPr>
            <w:fldChar w:fldCharType="begin"/>
          </w:r>
          <w:r w:rsidRPr="00F00530">
            <w:rPr>
              <w:rStyle w:val="PageNumber"/>
            </w:rPr>
            <w:instrText xml:space="preserve"> PAGE   \* MERGEFORMAT </w:instrText>
          </w:r>
          <w:r w:rsidRPr="00F00530">
            <w:rPr>
              <w:rStyle w:val="PageNumber"/>
            </w:rPr>
            <w:fldChar w:fldCharType="separate"/>
          </w:r>
          <w:r w:rsidR="001655CC">
            <w:rPr>
              <w:rStyle w:val="PageNumber"/>
              <w:noProof/>
            </w:rPr>
            <w:t>i</w:t>
          </w:r>
          <w:r w:rsidRPr="00F00530">
            <w:rPr>
              <w:rStyle w:val="PageNumber"/>
            </w:rPr>
            <w:fldChar w:fldCharType="end"/>
          </w:r>
        </w:p>
      </w:tc>
    </w:tr>
  </w:tbl>
  <w:p w14:paraId="0E3B44CA" w14:textId="77777777" w:rsidR="00467097" w:rsidRPr="00B97405" w:rsidRDefault="00467097" w:rsidP="00244FC3">
    <w:pPr>
      <w:pStyle w:val="Footer"/>
      <w:rPr>
        <w:sz w:val="8"/>
        <w:szCs w:val="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5266E" w14:textId="77777777" w:rsidR="00467097" w:rsidRDefault="0046709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34A06" w14:textId="77777777" w:rsidR="00467097" w:rsidRDefault="00467097" w:rsidP="004803C5">
    <w:pPr>
      <w:pStyle w:val="Footer"/>
    </w:pPr>
    <w:r>
      <w:tab/>
    </w:r>
  </w:p>
  <w:tbl>
    <w:tblPr>
      <w:tblStyle w:val="TableGrid"/>
      <w:tblW w:w="5000" w:type="pct"/>
      <w:tblBorders>
        <w:top w:val="single" w:sz="48" w:space="0" w:color="0067AB"/>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50"/>
      <w:gridCol w:w="2721"/>
    </w:tblGrid>
    <w:tr w:rsidR="00467097" w14:paraId="697B3728" w14:textId="77777777" w:rsidTr="00FD5DB5">
      <w:trPr>
        <w:trHeight w:val="454"/>
      </w:trPr>
      <w:tc>
        <w:tcPr>
          <w:tcW w:w="3500" w:type="pct"/>
        </w:tcPr>
        <w:p w14:paraId="390B78A9" w14:textId="77777777" w:rsidR="00467097" w:rsidRDefault="00467097" w:rsidP="00313589">
          <w:pPr>
            <w:pStyle w:val="Footer"/>
          </w:pPr>
          <w:r w:rsidRPr="00A1673D">
            <w:rPr>
              <w:noProof/>
            </w:rPr>
            <w:fldChar w:fldCharType="begin"/>
          </w:r>
          <w:r w:rsidRPr="00A1673D">
            <w:rPr>
              <w:noProof/>
            </w:rPr>
            <w:instrText xml:space="preserve"> IF </w:instrText>
          </w:r>
          <w:r w:rsidRPr="00313589">
            <w:rPr>
              <w:noProof/>
            </w:rPr>
            <w:fldChar w:fldCharType="begin"/>
          </w:r>
          <w:r>
            <w:rPr>
              <w:noProof/>
            </w:rPr>
            <w:instrText xml:space="preserve"> DOCVARIABLE  FooterVersion  \* MERGEFORMAT </w:instrText>
          </w:r>
          <w:r w:rsidRPr="00313589">
            <w:rPr>
              <w:noProof/>
            </w:rPr>
            <w:fldChar w:fldCharType="separate"/>
          </w:r>
          <w:r>
            <w:rPr>
              <w:noProof/>
            </w:rPr>
            <w:instrText xml:space="preserve"> </w:instrText>
          </w:r>
          <w:r w:rsidRPr="00313589">
            <w:rPr>
              <w:noProof/>
            </w:rPr>
            <w:fldChar w:fldCharType="end"/>
          </w:r>
          <w:r w:rsidRPr="00A1673D">
            <w:rPr>
              <w:noProof/>
            </w:rPr>
            <w:instrText xml:space="preserve"> = "Error! No</w:instrText>
          </w:r>
          <w:r>
            <w:rPr>
              <w:noProof/>
            </w:rPr>
            <w:instrText xml:space="preserve"> document variable supplied." " </w:instrText>
          </w:r>
          <w:r w:rsidRPr="00A1673D">
            <w:rPr>
              <w:noProof/>
            </w:rPr>
            <w:instrText xml:space="preserve">" </w:instrText>
          </w:r>
          <w:r>
            <w:rPr>
              <w:noProof/>
            </w:rPr>
            <w:fldChar w:fldCharType="begin"/>
          </w:r>
          <w:r>
            <w:rPr>
              <w:noProof/>
            </w:rPr>
            <w:instrText xml:space="preserve"> DOCVARIABLE  FooterVersion \* MERGEFORMAT </w:instrText>
          </w:r>
          <w:r>
            <w:rPr>
              <w:noProof/>
            </w:rPr>
            <w:fldChar w:fldCharType="separate"/>
          </w:r>
          <w:r>
            <w:rPr>
              <w:noProof/>
            </w:rPr>
            <w:instrText xml:space="preserve"> </w:instrText>
          </w:r>
          <w:r>
            <w:rPr>
              <w:noProof/>
            </w:rPr>
            <w:fldChar w:fldCharType="end"/>
          </w:r>
          <w:r w:rsidRPr="00A1673D">
            <w:rPr>
              <w:noProof/>
            </w:rPr>
            <w:instrText xml:space="preserve"> \* MERGEFORMAT </w:instrText>
          </w:r>
          <w:r w:rsidRPr="00A1673D">
            <w:rPr>
              <w:noProof/>
            </w:rPr>
            <w:fldChar w:fldCharType="separate"/>
          </w:r>
          <w:r>
            <w:rPr>
              <w:noProof/>
            </w:rPr>
            <w:t xml:space="preserve"> </w:t>
          </w:r>
          <w:r w:rsidRPr="00A1673D">
            <w:rPr>
              <w:noProof/>
            </w:rPr>
            <w:fldChar w:fldCharType="end"/>
          </w:r>
        </w:p>
      </w:tc>
      <w:tc>
        <w:tcPr>
          <w:tcW w:w="1500" w:type="pct"/>
        </w:tcPr>
        <w:p w14:paraId="0820B2E2" w14:textId="77777777" w:rsidR="00467097" w:rsidRPr="00F00530" w:rsidRDefault="00467097" w:rsidP="00FD5DB5">
          <w:pPr>
            <w:pStyle w:val="Header"/>
            <w:spacing w:before="80"/>
            <w:jc w:val="right"/>
            <w:rPr>
              <w:rStyle w:val="PageNumber"/>
            </w:rPr>
          </w:pPr>
          <w:r w:rsidRPr="00F00530">
            <w:rPr>
              <w:rStyle w:val="PageNumber"/>
            </w:rPr>
            <w:fldChar w:fldCharType="begin"/>
          </w:r>
          <w:r w:rsidRPr="00F00530">
            <w:rPr>
              <w:rStyle w:val="PageNumber"/>
            </w:rPr>
            <w:instrText xml:space="preserve"> PAGE   \* MERGEFORMAT </w:instrText>
          </w:r>
          <w:r w:rsidRPr="00F00530">
            <w:rPr>
              <w:rStyle w:val="PageNumber"/>
            </w:rPr>
            <w:fldChar w:fldCharType="separate"/>
          </w:r>
          <w:r w:rsidR="001655CC">
            <w:rPr>
              <w:rStyle w:val="PageNumber"/>
              <w:noProof/>
            </w:rPr>
            <w:t>17</w:t>
          </w:r>
          <w:r w:rsidRPr="00F00530">
            <w:rPr>
              <w:rStyle w:val="PageNumber"/>
            </w:rPr>
            <w:fldChar w:fldCharType="end"/>
          </w:r>
        </w:p>
      </w:tc>
    </w:tr>
  </w:tbl>
  <w:p w14:paraId="36FFD612" w14:textId="77777777" w:rsidR="00467097" w:rsidRPr="00B97405" w:rsidRDefault="00467097" w:rsidP="004803C5">
    <w:pPr>
      <w:pStyle w:val="Footer"/>
      <w:rPr>
        <w:sz w:val="8"/>
        <w:szCs w:val="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8C97E" w14:textId="77777777" w:rsidR="00467097" w:rsidRDefault="004670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EB027" w14:textId="77777777" w:rsidR="00467097" w:rsidRDefault="00467097" w:rsidP="001E33FA">
      <w:pPr>
        <w:spacing w:after="0" w:line="240" w:lineRule="auto"/>
      </w:pPr>
      <w:r>
        <w:separator/>
      </w:r>
    </w:p>
  </w:footnote>
  <w:footnote w:type="continuationSeparator" w:id="0">
    <w:p w14:paraId="4B766E92" w14:textId="77777777" w:rsidR="00467097" w:rsidRDefault="00467097" w:rsidP="001E33FA">
      <w:pPr>
        <w:spacing w:after="0" w:line="240" w:lineRule="auto"/>
      </w:pPr>
      <w:r>
        <w:continuationSeparator/>
      </w:r>
    </w:p>
  </w:footnote>
  <w:footnote w:id="1">
    <w:p w14:paraId="713AB1A2" w14:textId="77777777" w:rsidR="00467097" w:rsidRDefault="00467097" w:rsidP="000904CF">
      <w:pPr>
        <w:pStyle w:val="FootnoteText"/>
      </w:pPr>
      <w:r>
        <w:rPr>
          <w:rStyle w:val="FootnoteReference"/>
        </w:rPr>
        <w:footnoteRef/>
      </w:r>
      <w:r>
        <w:t xml:space="preserve"> </w:t>
      </w:r>
      <w:hyperlink r:id="rId1" w:anchor="lat=52.5145&amp;lon=-3.9111&amp;z=8" w:history="1">
        <w:r>
          <w:rPr>
            <w:rStyle w:val="Hyperlink"/>
          </w:rPr>
          <w:t>http://lle.wales.gov.uk/apps/marineportal/#lat=52.5145&amp;lon=-3.9111&amp;z=8</w:t>
        </w:r>
      </w:hyperlink>
      <w:r>
        <w:t xml:space="preserve"> </w:t>
      </w:r>
    </w:p>
  </w:footnote>
  <w:footnote w:id="2">
    <w:p w14:paraId="6D824F26" w14:textId="77777777" w:rsidR="00467097" w:rsidRDefault="00467097" w:rsidP="000005F4">
      <w:pPr>
        <w:pStyle w:val="FootnoteText"/>
      </w:pPr>
      <w:r>
        <w:rPr>
          <w:rStyle w:val="FootnoteReference"/>
        </w:rPr>
        <w:footnoteRef/>
      </w:r>
      <w:r>
        <w:t xml:space="preserve"> Wales Audit Office (2014). Glastir.</w:t>
      </w:r>
    </w:p>
  </w:footnote>
  <w:footnote w:id="3">
    <w:p w14:paraId="3B2358F2" w14:textId="77777777" w:rsidR="00467097" w:rsidRDefault="00467097" w:rsidP="000005F4">
      <w:pPr>
        <w:autoSpaceDE w:val="0"/>
        <w:autoSpaceDN w:val="0"/>
        <w:adjustRightInd w:val="0"/>
        <w:spacing w:before="0" w:after="0" w:line="240" w:lineRule="auto"/>
        <w:rPr>
          <w:rFonts w:ascii="Calibri" w:hAnsi="Calibri" w:cs="Calibri"/>
          <w:sz w:val="19"/>
          <w:szCs w:val="19"/>
        </w:rPr>
      </w:pPr>
      <w:r>
        <w:rPr>
          <w:rStyle w:val="FootnoteReference"/>
        </w:rPr>
        <w:footnoteRef/>
      </w:r>
      <w:r>
        <w:t xml:space="preserve"> </w:t>
      </w:r>
      <w:r>
        <w:rPr>
          <w:rFonts w:ascii="Calibri" w:hAnsi="Calibri" w:cs="Calibri"/>
          <w:sz w:val="19"/>
          <w:szCs w:val="19"/>
        </w:rPr>
        <w:t>Estimating the Scale of Future Environmental land Management Requirements for the UK”. Cao,Y.,</w:t>
      </w:r>
    </w:p>
    <w:p w14:paraId="5618045E" w14:textId="77777777" w:rsidR="00467097" w:rsidRDefault="00467097" w:rsidP="000005F4">
      <w:pPr>
        <w:autoSpaceDE w:val="0"/>
        <w:autoSpaceDN w:val="0"/>
        <w:adjustRightInd w:val="0"/>
        <w:spacing w:before="0" w:after="0" w:line="240" w:lineRule="auto"/>
        <w:rPr>
          <w:rFonts w:ascii="Calibri" w:hAnsi="Calibri" w:cs="Calibri"/>
          <w:sz w:val="19"/>
          <w:szCs w:val="19"/>
        </w:rPr>
      </w:pPr>
      <w:r>
        <w:rPr>
          <w:rFonts w:ascii="Calibri" w:hAnsi="Calibri" w:cs="Calibri"/>
          <w:sz w:val="19"/>
          <w:szCs w:val="19"/>
        </w:rPr>
        <w:t>Elliott, J., McCracken, D., Rowe, K., Whitehead, J. and Wilson L. Report to Land Use Policy Group by</w:t>
      </w:r>
    </w:p>
    <w:p w14:paraId="726C7CC9" w14:textId="77777777" w:rsidR="00467097" w:rsidRDefault="00467097" w:rsidP="000005F4">
      <w:pPr>
        <w:pStyle w:val="FootnoteText"/>
      </w:pPr>
      <w:r>
        <w:rPr>
          <w:rFonts w:ascii="Calibri" w:hAnsi="Calibri" w:cs="Calibri"/>
          <w:sz w:val="19"/>
          <w:szCs w:val="19"/>
        </w:rPr>
        <w:t xml:space="preserve">ADAS &amp; Scottish Agricultural College. December 2009 </w:t>
      </w:r>
    </w:p>
  </w:footnote>
  <w:footnote w:id="4">
    <w:p w14:paraId="47381C21" w14:textId="77777777" w:rsidR="00467097" w:rsidRDefault="00467097" w:rsidP="000005F4">
      <w:pPr>
        <w:pStyle w:val="FootnoteText"/>
      </w:pPr>
      <w:r>
        <w:rPr>
          <w:rStyle w:val="FootnoteReference"/>
        </w:rPr>
        <w:footnoteRef/>
      </w:r>
      <w:r>
        <w:t xml:space="preserve"> With the exception of visitor payback schemes and agri-environment agreements, which are themselves both forms of PES but are discussed elsewhere in this report.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483BB" w14:textId="77777777" w:rsidR="00467097" w:rsidRDefault="00467097" w:rsidP="00C50B29">
    <w:pPr>
      <w:pStyle w:val="Header"/>
    </w:pPr>
    <w:r>
      <w:rPr>
        <w:noProof/>
        <w:lang w:eastAsia="en-GB"/>
      </w:rPr>
      <w:drawing>
        <wp:anchor distT="0" distB="0" distL="114300" distR="114300" simplePos="0" relativeHeight="251661312" behindDoc="0" locked="0" layoutInCell="0" allowOverlap="1" wp14:anchorId="34F1AA55" wp14:editId="36205BF1">
          <wp:simplePos x="0" y="0"/>
          <wp:positionH relativeFrom="rightMargin">
            <wp:posOffset>-669925</wp:posOffset>
          </wp:positionH>
          <wp:positionV relativeFrom="page">
            <wp:posOffset>427990</wp:posOffset>
          </wp:positionV>
          <wp:extent cx="669600" cy="6696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F Blo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600" cy="669600"/>
                  </a:xfrm>
                  <a:prstGeom prst="rect">
                    <a:avLst/>
                  </a:prstGeom>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883D7" w14:textId="77777777" w:rsidR="00467097" w:rsidRDefault="001655CC" w:rsidP="00F971ED">
    <w:pPr>
      <w:pStyle w:val="Header"/>
    </w:pPr>
    <w:r>
      <w:fldChar w:fldCharType="begin"/>
    </w:r>
    <w:r>
      <w:instrText xml:space="preserve"> DOCVARIABLE  HeaderText  \* MERGEFORMAT </w:instrText>
    </w:r>
    <w:r>
      <w:fldChar w:fldCharType="separate"/>
    </w:r>
    <w:r w:rsidR="00467097">
      <w:t xml:space="preserve"> </w:t>
    </w:r>
    <w:r>
      <w:fldChar w:fldCharType="end"/>
    </w:r>
    <w:r w:rsidR="00467097">
      <w:rPr>
        <w:noProof/>
        <w:lang w:eastAsia="en-GB"/>
      </w:rPr>
      <w:drawing>
        <wp:anchor distT="0" distB="0" distL="114300" distR="114300" simplePos="0" relativeHeight="251684864" behindDoc="0" locked="0" layoutInCell="0" allowOverlap="0" wp14:anchorId="54669550" wp14:editId="7E7AFF77">
          <wp:simplePos x="0" y="0"/>
          <wp:positionH relativeFrom="rightMargin">
            <wp:posOffset>-669925</wp:posOffset>
          </wp:positionH>
          <wp:positionV relativeFrom="paragraph">
            <wp:posOffset>0</wp:posOffset>
          </wp:positionV>
          <wp:extent cx="669600" cy="6696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F Blo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600" cy="66960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45737" w14:textId="77777777" w:rsidR="00467097" w:rsidRDefault="0046709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821B4" w14:textId="77777777" w:rsidR="00467097" w:rsidRDefault="001655CC" w:rsidP="00F971ED">
    <w:pPr>
      <w:pStyle w:val="Header"/>
    </w:pPr>
    <w:r>
      <w:fldChar w:fldCharType="begin"/>
    </w:r>
    <w:r>
      <w:instrText xml:space="preserve"> DOCVARIABLE  HeaderText  \* MERGEFORMAT </w:instrText>
    </w:r>
    <w:r>
      <w:fldChar w:fldCharType="separate"/>
    </w:r>
    <w:r w:rsidR="00467097">
      <w:t xml:space="preserve"> </w:t>
    </w:r>
    <w:r>
      <w:fldChar w:fldCharType="end"/>
    </w:r>
    <w:r w:rsidR="00467097">
      <w:rPr>
        <w:noProof/>
        <w:lang w:eastAsia="en-GB"/>
      </w:rPr>
      <w:drawing>
        <wp:anchor distT="0" distB="0" distL="114300" distR="114300" simplePos="0" relativeHeight="251682816" behindDoc="0" locked="0" layoutInCell="0" allowOverlap="0" wp14:anchorId="6CA1CCA1" wp14:editId="16343F51">
          <wp:simplePos x="0" y="0"/>
          <wp:positionH relativeFrom="rightMargin">
            <wp:posOffset>-669925</wp:posOffset>
          </wp:positionH>
          <wp:positionV relativeFrom="paragraph">
            <wp:posOffset>0</wp:posOffset>
          </wp:positionV>
          <wp:extent cx="669600" cy="6696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F Blo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600" cy="66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50"/>
      <w:gridCol w:w="2721"/>
    </w:tblGrid>
    <w:tr w:rsidR="00467097" w14:paraId="5A1EEB23" w14:textId="77777777" w:rsidTr="00DE3F5F">
      <w:trPr>
        <w:trHeight w:hRule="exact" w:val="284"/>
      </w:trPr>
      <w:tc>
        <w:tcPr>
          <w:tcW w:w="3500" w:type="pct"/>
          <w:shd w:val="clear" w:color="auto" w:fill="0067AB"/>
        </w:tcPr>
        <w:p w14:paraId="323DA862" w14:textId="77777777" w:rsidR="00467097" w:rsidRDefault="00467097" w:rsidP="00DE3F5F">
          <w:pPr>
            <w:pStyle w:val="FootnoteText"/>
            <w:spacing w:before="80"/>
          </w:pPr>
        </w:p>
      </w:tc>
      <w:tc>
        <w:tcPr>
          <w:tcW w:w="1500" w:type="pct"/>
          <w:shd w:val="clear" w:color="auto" w:fill="0067AB"/>
        </w:tcPr>
        <w:p w14:paraId="027192F1" w14:textId="77777777" w:rsidR="00467097" w:rsidRPr="00F00530" w:rsidRDefault="00467097" w:rsidP="00DE3F5F">
          <w:pPr>
            <w:pStyle w:val="Header"/>
            <w:spacing w:before="80"/>
            <w:jc w:val="right"/>
            <w:rPr>
              <w:rStyle w:val="PageNumber"/>
            </w:rPr>
          </w:pPr>
        </w:p>
      </w:tc>
    </w:tr>
    <w:tr w:rsidR="00467097" w14:paraId="5733CEB4" w14:textId="77777777" w:rsidTr="00DE3F5F">
      <w:trPr>
        <w:trHeight w:val="454"/>
      </w:trPr>
      <w:tc>
        <w:tcPr>
          <w:tcW w:w="3500" w:type="pct"/>
        </w:tcPr>
        <w:p w14:paraId="6F2F7169" w14:textId="77777777" w:rsidR="00467097" w:rsidRDefault="00467097" w:rsidP="00DE3F5F">
          <w:pPr>
            <w:pStyle w:val="FootnoteText"/>
            <w:spacing w:before="80"/>
          </w:pPr>
        </w:p>
      </w:tc>
      <w:tc>
        <w:tcPr>
          <w:tcW w:w="1500" w:type="pct"/>
        </w:tcPr>
        <w:p w14:paraId="0A1EB5DE" w14:textId="77777777" w:rsidR="00467097" w:rsidRPr="00F00530" w:rsidRDefault="00467097" w:rsidP="00DE3F5F">
          <w:pPr>
            <w:pStyle w:val="Header"/>
            <w:spacing w:before="80"/>
            <w:jc w:val="right"/>
            <w:rPr>
              <w:rStyle w:val="PageNumber"/>
            </w:rPr>
          </w:pPr>
        </w:p>
      </w:tc>
    </w:tr>
  </w:tbl>
  <w:p w14:paraId="798DAD0C" w14:textId="77777777" w:rsidR="00467097" w:rsidRDefault="00467097" w:rsidP="00DE3F5F">
    <w:pPr>
      <w:pStyle w:val="Foo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29E42" w14:textId="77777777" w:rsidR="00467097" w:rsidRDefault="001655CC" w:rsidP="00F971ED">
    <w:pPr>
      <w:pStyle w:val="Header"/>
    </w:pPr>
    <w:r>
      <w:fldChar w:fldCharType="begin"/>
    </w:r>
    <w:r>
      <w:instrText xml:space="preserve"> DOCVARIABLE  HeaderText  \* MERGEFORMAT </w:instrText>
    </w:r>
    <w:r>
      <w:fldChar w:fldCharType="separate"/>
    </w:r>
    <w:r w:rsidR="00467097">
      <w:t xml:space="preserve"> </w:t>
    </w:r>
    <w:r>
      <w:fldChar w:fldCharType="end"/>
    </w:r>
    <w:r w:rsidR="00467097">
      <w:rPr>
        <w:noProof/>
        <w:lang w:eastAsia="en-GB"/>
      </w:rPr>
      <w:drawing>
        <wp:anchor distT="0" distB="0" distL="114300" distR="114300" simplePos="0" relativeHeight="251656192" behindDoc="0" locked="0" layoutInCell="0" allowOverlap="0" wp14:anchorId="1273F6F5" wp14:editId="05D5D6A5">
          <wp:simplePos x="0" y="0"/>
          <wp:positionH relativeFrom="rightMargin">
            <wp:posOffset>-669925</wp:posOffset>
          </wp:positionH>
          <wp:positionV relativeFrom="paragraph">
            <wp:posOffset>0</wp:posOffset>
          </wp:positionV>
          <wp:extent cx="669600" cy="6696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F Blo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600" cy="6696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AB83B" w14:textId="77777777" w:rsidR="00467097" w:rsidRDefault="00467097" w:rsidP="004F5174">
    <w:pPr>
      <w:pStyle w:val="Header"/>
    </w:pPr>
    <w:r>
      <w:rPr>
        <w:noProof/>
        <w:lang w:eastAsia="en-GB"/>
      </w:rPr>
      <w:drawing>
        <wp:anchor distT="0" distB="0" distL="114300" distR="114300" simplePos="0" relativeHeight="251651072" behindDoc="0" locked="0" layoutInCell="0" allowOverlap="1" wp14:anchorId="77982FE9" wp14:editId="2472F1C9">
          <wp:simplePos x="0" y="0"/>
          <wp:positionH relativeFrom="rightMargin">
            <wp:posOffset>-669925</wp:posOffset>
          </wp:positionH>
          <wp:positionV relativeFrom="page">
            <wp:posOffset>427990</wp:posOffset>
          </wp:positionV>
          <wp:extent cx="669600" cy="6696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F Blo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600" cy="6696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DE9AA" w14:textId="77777777" w:rsidR="00467097" w:rsidRDefault="0046709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D2907" w14:textId="77777777" w:rsidR="00467097" w:rsidRDefault="001655CC" w:rsidP="00F971ED">
    <w:pPr>
      <w:pStyle w:val="Header"/>
    </w:pPr>
    <w:r>
      <w:fldChar w:fldCharType="begin"/>
    </w:r>
    <w:r>
      <w:instrText xml:space="preserve"> DOCVARIABLE  HeaderText  \* MERGEFORMAT </w:instrText>
    </w:r>
    <w:r>
      <w:fldChar w:fldCharType="separate"/>
    </w:r>
    <w:r w:rsidR="00467097">
      <w:t xml:space="preserve"> </w:t>
    </w:r>
    <w:r>
      <w:fldChar w:fldCharType="end"/>
    </w:r>
    <w:r w:rsidR="00467097">
      <w:rPr>
        <w:noProof/>
        <w:lang w:eastAsia="en-GB"/>
      </w:rPr>
      <w:drawing>
        <wp:anchor distT="0" distB="0" distL="114300" distR="114300" simplePos="0" relativeHeight="251668480" behindDoc="0" locked="0" layoutInCell="0" allowOverlap="0" wp14:anchorId="5B5BB115" wp14:editId="67A54DAA">
          <wp:simplePos x="0" y="0"/>
          <wp:positionH relativeFrom="rightMargin">
            <wp:posOffset>-669925</wp:posOffset>
          </wp:positionH>
          <wp:positionV relativeFrom="paragraph">
            <wp:posOffset>0</wp:posOffset>
          </wp:positionV>
          <wp:extent cx="669600" cy="6696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F Blo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600" cy="66960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621D6" w14:textId="77777777" w:rsidR="00467097" w:rsidRDefault="0046709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75568" w14:textId="77777777" w:rsidR="00467097" w:rsidRDefault="001655CC" w:rsidP="00F971ED">
    <w:pPr>
      <w:pStyle w:val="Header"/>
    </w:pPr>
    <w:r>
      <w:fldChar w:fldCharType="begin"/>
    </w:r>
    <w:r>
      <w:instrText xml:space="preserve"> DOCVARIABLE  HeaderText  \* MERGEFORMAT </w:instrText>
    </w:r>
    <w:r>
      <w:fldChar w:fldCharType="separate"/>
    </w:r>
    <w:r w:rsidR="00467097">
      <w:t xml:space="preserve"> </w:t>
    </w:r>
    <w:r>
      <w:fldChar w:fldCharType="end"/>
    </w:r>
    <w:r w:rsidR="00467097">
      <w:rPr>
        <w:noProof/>
        <w:lang w:eastAsia="en-GB"/>
      </w:rPr>
      <w:drawing>
        <wp:anchor distT="0" distB="0" distL="114300" distR="114300" simplePos="0" relativeHeight="251678720" behindDoc="0" locked="0" layoutInCell="0" allowOverlap="0" wp14:anchorId="66645198" wp14:editId="319B13C1">
          <wp:simplePos x="0" y="0"/>
          <wp:positionH relativeFrom="rightMargin">
            <wp:posOffset>-669925</wp:posOffset>
          </wp:positionH>
          <wp:positionV relativeFrom="paragraph">
            <wp:posOffset>0</wp:posOffset>
          </wp:positionV>
          <wp:extent cx="669600" cy="6696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F Blo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600" cy="66960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5C5CC" w14:textId="77777777" w:rsidR="00467097" w:rsidRDefault="004670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1DA7F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9684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7866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A49D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1CDD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D47B0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00C16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BE71E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2620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3077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515EFB"/>
    <w:multiLevelType w:val="multilevel"/>
    <w:tmpl w:val="22266CAE"/>
    <w:styleLink w:val="NumbLstMain"/>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b/>
        <w:i/>
        <w:color w:val="0067AC"/>
        <w:sz w:val="20"/>
      </w:rPr>
    </w:lvl>
    <w:lvl w:ilvl="4">
      <w:start w:val="1"/>
      <w:numFmt w:val="decimal"/>
      <w:pStyle w:val="Heading5"/>
      <w:lvlText w:val="%1.%2.%3.%4.%5"/>
      <w:lvlJc w:val="left"/>
      <w:pPr>
        <w:ind w:left="851" w:hanging="851"/>
      </w:pPr>
      <w:rPr>
        <w:rFonts w:ascii="Calibri" w:hAnsi="Calibri" w:hint="default"/>
        <w:b/>
        <w:i/>
        <w:color w:val="0067AC"/>
        <w:sz w:val="20"/>
      </w:rPr>
    </w:lvl>
    <w:lvl w:ilvl="5">
      <w:start w:val="1"/>
      <w:numFmt w:val="decimal"/>
      <w:lvlRestart w:val="1"/>
      <w:pStyle w:val="Figure"/>
      <w:lvlText w:val="Figure %1.%6"/>
      <w:lvlJc w:val="left"/>
      <w:pPr>
        <w:tabs>
          <w:tab w:val="num" w:pos="851"/>
        </w:tabs>
        <w:ind w:left="1928" w:hanging="1077"/>
      </w:pPr>
      <w:rPr>
        <w:rFonts w:ascii="Calibri" w:hAnsi="Calibri" w:hint="default"/>
        <w:color w:val="0067AC"/>
      </w:rPr>
    </w:lvl>
    <w:lvl w:ilvl="6">
      <w:start w:val="1"/>
      <w:numFmt w:val="decimal"/>
      <w:lvlRestart w:val="1"/>
      <w:pStyle w:val="Table"/>
      <w:lvlText w:val="Table %1.%7"/>
      <w:lvlJc w:val="left"/>
      <w:pPr>
        <w:tabs>
          <w:tab w:val="num" w:pos="851"/>
        </w:tabs>
        <w:ind w:left="1928" w:hanging="1077"/>
      </w:pPr>
      <w:rPr>
        <w:rFonts w:ascii="Calibri" w:hAnsi="Calibri" w:hint="default"/>
      </w:rPr>
    </w:lvl>
    <w:lvl w:ilvl="7">
      <w:start w:val="1"/>
      <w:numFmt w:val="decimal"/>
      <w:lvlRestart w:val="1"/>
      <w:pStyle w:val="Box"/>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0067AC" w:themeColor="text2"/>
      </w:rPr>
    </w:lvl>
  </w:abstractNum>
  <w:abstractNum w:abstractNumId="11" w15:restartNumberingAfterBreak="0">
    <w:nsid w:val="007F467F"/>
    <w:multiLevelType w:val="multilevel"/>
    <w:tmpl w:val="4CAE2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EC3580"/>
    <w:multiLevelType w:val="multilevel"/>
    <w:tmpl w:val="98EC0578"/>
    <w:styleLink w:val="NumbLstTableNumb"/>
    <w:lvl w:ilvl="0">
      <w:start w:val="1"/>
      <w:numFmt w:val="decimal"/>
      <w:pStyle w:val="TableNumbList"/>
      <w:lvlText w:val="%1."/>
      <w:lvlJc w:val="left"/>
      <w:pPr>
        <w:tabs>
          <w:tab w:val="num" w:pos="397"/>
        </w:tabs>
        <w:ind w:left="397" w:hanging="340"/>
      </w:pPr>
      <w:rPr>
        <w:rFonts w:ascii="Arial" w:hAnsi="Arial" w:hint="default"/>
        <w:sz w:val="18"/>
      </w:rPr>
    </w:lvl>
    <w:lvl w:ilvl="1">
      <w:start w:val="1"/>
      <w:numFmt w:val="lowerLetter"/>
      <w:lvlText w:val="%2."/>
      <w:lvlJc w:val="left"/>
      <w:pPr>
        <w:tabs>
          <w:tab w:val="num" w:pos="737"/>
        </w:tabs>
        <w:ind w:left="737" w:hanging="340"/>
      </w:pPr>
      <w:rPr>
        <w:rFonts w:hint="default"/>
      </w:rPr>
    </w:lvl>
    <w:lvl w:ilvl="2">
      <w:start w:val="1"/>
      <w:numFmt w:val="lowerRoman"/>
      <w:lvlRestart w:val="0"/>
      <w:lvlText w:val="%3."/>
      <w:lvlJc w:val="left"/>
      <w:pPr>
        <w:tabs>
          <w:tab w:val="num" w:pos="1077"/>
        </w:tabs>
        <w:ind w:left="1077" w:hanging="340"/>
      </w:pPr>
      <w:rPr>
        <w:rFonts w:hint="default"/>
      </w:rPr>
    </w:lvl>
    <w:lvl w:ilvl="3">
      <w:start w:val="1"/>
      <w:numFmt w:val="none"/>
      <w:suff w:val="nothing"/>
      <w:lvlText w:val=""/>
      <w:lvlJc w:val="left"/>
      <w:pPr>
        <w:ind w:left="1021" w:firstLine="0"/>
      </w:pPr>
      <w:rPr>
        <w:rFonts w:hint="default"/>
      </w:rPr>
    </w:lvl>
    <w:lvl w:ilvl="4">
      <w:start w:val="1"/>
      <w:numFmt w:val="none"/>
      <w:lvlRestart w:val="0"/>
      <w:suff w:val="nothing"/>
      <w:lvlText w:val=""/>
      <w:lvlJc w:val="left"/>
      <w:pPr>
        <w:ind w:left="1021" w:firstLine="0"/>
      </w:pPr>
      <w:rPr>
        <w:rFonts w:hint="default"/>
      </w:rPr>
    </w:lvl>
    <w:lvl w:ilvl="5">
      <w:start w:val="1"/>
      <w:numFmt w:val="none"/>
      <w:suff w:val="nothing"/>
      <w:lvlText w:val=""/>
      <w:lvlJc w:val="righ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right"/>
      <w:pPr>
        <w:ind w:left="1021" w:firstLine="0"/>
      </w:pPr>
      <w:rPr>
        <w:rFonts w:hint="default"/>
      </w:rPr>
    </w:lvl>
  </w:abstractNum>
  <w:abstractNum w:abstractNumId="13" w15:restartNumberingAfterBreak="0">
    <w:nsid w:val="0BE16066"/>
    <w:multiLevelType w:val="multilevel"/>
    <w:tmpl w:val="6412989C"/>
    <w:lvl w:ilvl="0">
      <w:start w:val="1"/>
      <w:numFmt w:val="decimal"/>
      <w:pStyle w:val="BTNumbList"/>
      <w:lvlText w:val="%1."/>
      <w:lvlJc w:val="left"/>
      <w:pPr>
        <w:tabs>
          <w:tab w:val="num" w:pos="1191"/>
        </w:tabs>
        <w:ind w:left="1191" w:hanging="340"/>
      </w:pPr>
      <w:rPr>
        <w:rFonts w:hint="default"/>
      </w:rPr>
    </w:lvl>
    <w:lvl w:ilvl="1">
      <w:start w:val="1"/>
      <w:numFmt w:val="lowerLetter"/>
      <w:pStyle w:val="BTNumbList2"/>
      <w:lvlText w:val="%2."/>
      <w:lvlJc w:val="left"/>
      <w:pPr>
        <w:tabs>
          <w:tab w:val="num" w:pos="1531"/>
        </w:tabs>
        <w:ind w:left="1531" w:hanging="340"/>
      </w:pPr>
      <w:rPr>
        <w:rFonts w:hint="default"/>
      </w:rPr>
    </w:lvl>
    <w:lvl w:ilvl="2">
      <w:start w:val="1"/>
      <w:numFmt w:val="lowerRoman"/>
      <w:lvlRestart w:val="0"/>
      <w:pStyle w:val="BTNumbList3"/>
      <w:lvlText w:val="%3."/>
      <w:lvlJc w:val="left"/>
      <w:pPr>
        <w:tabs>
          <w:tab w:val="num" w:pos="1871"/>
        </w:tabs>
        <w:ind w:left="1871" w:hanging="340"/>
      </w:pPr>
      <w:rPr>
        <w:rFonts w:hint="default"/>
      </w:rPr>
    </w:lvl>
    <w:lvl w:ilvl="3">
      <w:start w:val="1"/>
      <w:numFmt w:val="none"/>
      <w:suff w:val="nothing"/>
      <w:lvlText w:val=""/>
      <w:lvlJc w:val="left"/>
      <w:pPr>
        <w:ind w:left="1871" w:firstLine="0"/>
      </w:pPr>
      <w:rPr>
        <w:rFonts w:hint="default"/>
      </w:rPr>
    </w:lvl>
    <w:lvl w:ilvl="4">
      <w:start w:val="1"/>
      <w:numFmt w:val="none"/>
      <w:lvlRestart w:val="0"/>
      <w:suff w:val="nothing"/>
      <w:lvlText w:val=""/>
      <w:lvlJc w:val="left"/>
      <w:pPr>
        <w:ind w:left="1871" w:firstLine="0"/>
      </w:pPr>
      <w:rPr>
        <w:rFonts w:hint="default"/>
      </w:rPr>
    </w:lvl>
    <w:lvl w:ilvl="5">
      <w:start w:val="1"/>
      <w:numFmt w:val="none"/>
      <w:suff w:val="nothing"/>
      <w:lvlText w:val=""/>
      <w:lvlJc w:val="righ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suff w:val="nothing"/>
      <w:lvlText w:val=""/>
      <w:lvlJc w:val="right"/>
      <w:pPr>
        <w:ind w:left="1871" w:firstLine="0"/>
      </w:pPr>
      <w:rPr>
        <w:rFonts w:hint="default"/>
      </w:rPr>
    </w:lvl>
  </w:abstractNum>
  <w:abstractNum w:abstractNumId="14" w15:restartNumberingAfterBreak="0">
    <w:nsid w:val="0EEC1427"/>
    <w:multiLevelType w:val="hybridMultilevel"/>
    <w:tmpl w:val="ACE0A868"/>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0F572937"/>
    <w:multiLevelType w:val="multilevel"/>
    <w:tmpl w:val="2AF08B76"/>
    <w:name w:val="Bullet"/>
    <w:lvl w:ilvl="0">
      <w:start w:val="1"/>
      <w:numFmt w:val="bullet"/>
      <w:lvlText w:val="▪"/>
      <w:lvlJc w:val="left"/>
      <w:pPr>
        <w:ind w:left="340" w:hanging="340"/>
      </w:pPr>
      <w:rPr>
        <w:rFonts w:ascii="Arial" w:hAnsi="Arial" w:hint="default"/>
        <w:color w:val="0067AC" w:themeColor="text2"/>
        <w:sz w:val="24"/>
      </w:rPr>
    </w:lvl>
    <w:lvl w:ilvl="1">
      <w:start w:val="1"/>
      <w:numFmt w:val="bullet"/>
      <w:lvlText w:val="−"/>
      <w:lvlJc w:val="left"/>
      <w:pPr>
        <w:ind w:left="680" w:hanging="340"/>
      </w:pPr>
      <w:rPr>
        <w:rFonts w:ascii="Calibri" w:hAnsi="Calibri" w:hint="default"/>
        <w:color w:val="0067AC" w:themeColor="text2"/>
      </w:rPr>
    </w:lvl>
    <w:lvl w:ilvl="2">
      <w:start w:val="1"/>
      <w:numFmt w:val="bullet"/>
      <w:lvlText w:val="◦"/>
      <w:lvlJc w:val="left"/>
      <w:pPr>
        <w:ind w:left="1021" w:hanging="341"/>
      </w:pPr>
      <w:rPr>
        <w:rFonts w:ascii="Arial" w:hAnsi="Arial" w:hint="default"/>
        <w:color w:val="0067AC" w:themeColor="text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00D7D88"/>
    <w:multiLevelType w:val="multilevel"/>
    <w:tmpl w:val="75B63B8C"/>
    <w:styleLink w:val="NumbLstStage"/>
    <w:lvl w:ilvl="0">
      <w:start w:val="1"/>
      <w:numFmt w:val="decimal"/>
      <w:pStyle w:val="Stage"/>
      <w:lvlText w:val="Stage %1"/>
      <w:lvlJc w:val="left"/>
      <w:pPr>
        <w:tabs>
          <w:tab w:val="num" w:pos="1814"/>
        </w:tabs>
        <w:ind w:left="1814" w:hanging="963"/>
      </w:pPr>
      <w:rPr>
        <w:rFonts w:hint="default"/>
      </w:rPr>
    </w:lvl>
    <w:lvl w:ilvl="1">
      <w:start w:val="1"/>
      <w:numFmt w:val="decimal"/>
      <w:pStyle w:val="Task"/>
      <w:lvlText w:val="Task %1.%2"/>
      <w:lvlJc w:val="left"/>
      <w:pPr>
        <w:tabs>
          <w:tab w:val="num" w:pos="1814"/>
        </w:tabs>
        <w:ind w:left="1814" w:hanging="96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02C26B6"/>
    <w:multiLevelType w:val="multilevel"/>
    <w:tmpl w:val="1E32C318"/>
    <w:numStyleLink w:val="NumbLstNumb"/>
  </w:abstractNum>
  <w:abstractNum w:abstractNumId="18" w15:restartNumberingAfterBreak="0">
    <w:nsid w:val="113B49E6"/>
    <w:multiLevelType w:val="multilevel"/>
    <w:tmpl w:val="98EC0578"/>
    <w:numStyleLink w:val="NumbLstTableNumb"/>
  </w:abstractNum>
  <w:abstractNum w:abstractNumId="19" w15:restartNumberingAfterBreak="0">
    <w:nsid w:val="13264F5E"/>
    <w:multiLevelType w:val="multilevel"/>
    <w:tmpl w:val="89BC52E8"/>
    <w:numStyleLink w:val="NumbLstBoxes"/>
  </w:abstractNum>
  <w:abstractNum w:abstractNumId="20" w15:restartNumberingAfterBreak="0">
    <w:nsid w:val="13CB0134"/>
    <w:multiLevelType w:val="multilevel"/>
    <w:tmpl w:val="1E32C318"/>
    <w:styleLink w:val="NumbLstNumb"/>
    <w:lvl w:ilvl="0">
      <w:start w:val="1"/>
      <w:numFmt w:val="decimal"/>
      <w:pStyle w:val="NumbList"/>
      <w:lvlText w:val="%1."/>
      <w:lvlJc w:val="left"/>
      <w:pPr>
        <w:ind w:left="340" w:hanging="340"/>
      </w:pPr>
      <w:rPr>
        <w:rFonts w:hint="default"/>
      </w:rPr>
    </w:lvl>
    <w:lvl w:ilvl="1">
      <w:start w:val="1"/>
      <w:numFmt w:val="lowerLetter"/>
      <w:pStyle w:val="NumbList2"/>
      <w:lvlText w:val="%2."/>
      <w:lvlJc w:val="left"/>
      <w:pPr>
        <w:ind w:left="680" w:hanging="340"/>
      </w:pPr>
      <w:rPr>
        <w:rFonts w:hint="default"/>
      </w:rPr>
    </w:lvl>
    <w:lvl w:ilvl="2">
      <w:start w:val="1"/>
      <w:numFmt w:val="lowerRoman"/>
      <w:pStyle w:val="NumbList3"/>
      <w:lvlText w:val="%3."/>
      <w:lvlJc w:val="left"/>
      <w:pPr>
        <w:tabs>
          <w:tab w:val="num" w:pos="85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lvlRestart w:val="0"/>
      <w:suff w:val="nothing"/>
      <w:lvlText w:val=""/>
      <w:lvlJc w:val="left"/>
      <w:pPr>
        <w:ind w:left="1021" w:firstLine="0"/>
      </w:pPr>
      <w:rPr>
        <w:rFonts w:hint="default"/>
      </w:rPr>
    </w:lvl>
    <w:lvl w:ilvl="5">
      <w:start w:val="1"/>
      <w:numFmt w:val="none"/>
      <w:suff w:val="nothing"/>
      <w:lvlText w:val=""/>
      <w:lvlJc w:val="righ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right"/>
      <w:pPr>
        <w:ind w:left="1021" w:firstLine="0"/>
      </w:pPr>
      <w:rPr>
        <w:rFonts w:hint="default"/>
      </w:rPr>
    </w:lvl>
  </w:abstractNum>
  <w:abstractNum w:abstractNumId="21" w15:restartNumberingAfterBreak="0">
    <w:nsid w:val="183010F3"/>
    <w:multiLevelType w:val="multilevel"/>
    <w:tmpl w:val="E20ED5C8"/>
    <w:styleLink w:val="Style1"/>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Restart w:val="1"/>
      <w:lvlText w:val="%1.%2.%3.%4"/>
      <w:lvlJc w:val="left"/>
      <w:pPr>
        <w:ind w:left="851" w:hanging="851"/>
      </w:pPr>
      <w:rPr>
        <w:rFonts w:hint="default"/>
        <w:color w:val="auto"/>
        <w:sz w:val="20"/>
      </w:rPr>
    </w:lvl>
    <w:lvl w:ilvl="4">
      <w:start w:val="1"/>
      <w:numFmt w:val="decimal"/>
      <w:lvlRestart w:val="1"/>
      <w:lvlText w:val="Figure %1.%5"/>
      <w:lvlJc w:val="left"/>
      <w:pPr>
        <w:ind w:left="1928" w:hanging="1077"/>
      </w:pPr>
      <w:rPr>
        <w:rFonts w:ascii="Georgia" w:hAnsi="Georgia" w:hint="default"/>
        <w:color w:val="0067AC" w:themeColor="text2"/>
      </w:rPr>
    </w:lvl>
    <w:lvl w:ilvl="5">
      <w:start w:val="1"/>
      <w:numFmt w:val="decimal"/>
      <w:lvlRestart w:val="3"/>
      <w:lvlText w:val="Table %1.%6"/>
      <w:lvlJc w:val="left"/>
      <w:pPr>
        <w:tabs>
          <w:tab w:val="num" w:pos="851"/>
        </w:tabs>
        <w:ind w:left="1928" w:hanging="1077"/>
      </w:pPr>
      <w:rPr>
        <w:rFonts w:ascii="Georgia" w:hAnsi="Georgia" w:hint="default"/>
        <w:color w:val="0067AC" w:themeColor="text2"/>
      </w:rPr>
    </w:lvl>
    <w:lvl w:ilvl="6">
      <w:start w:val="1"/>
      <w:numFmt w:val="decimal"/>
      <w:lvlRestart w:val="5"/>
      <w:lvlText w:val="%7"/>
      <w:lvlJc w:val="left"/>
      <w:pPr>
        <w:ind w:left="425" w:hanging="425"/>
      </w:pPr>
      <w:rPr>
        <w:rFonts w:hint="default"/>
      </w:rPr>
    </w:lvl>
    <w:lvl w:ilvl="7">
      <w:start w:val="1"/>
      <w:numFmt w:val="lowerLetter"/>
      <w:lvlRestart w:val="0"/>
      <w:lvlText w:val="%8."/>
      <w:lvlJc w:val="left"/>
      <w:pPr>
        <w:ind w:left="425" w:hanging="425"/>
      </w:pPr>
      <w:rPr>
        <w:rFonts w:hint="default"/>
        <w:color w:val="auto"/>
      </w:rPr>
    </w:lvl>
    <w:lvl w:ilvl="8">
      <w:start w:val="1"/>
      <w:numFmt w:val="decimal"/>
      <w:lvlText w:val="Case study %9"/>
      <w:lvlJc w:val="left"/>
      <w:pPr>
        <w:ind w:left="1701" w:hanging="1701"/>
      </w:pPr>
      <w:rPr>
        <w:rFonts w:ascii="Georgia" w:hAnsi="Georgia" w:hint="default"/>
        <w:color w:val="0067AC" w:themeColor="text2"/>
      </w:rPr>
    </w:lvl>
  </w:abstractNum>
  <w:abstractNum w:abstractNumId="22" w15:restartNumberingAfterBreak="0">
    <w:nsid w:val="1897051D"/>
    <w:multiLevelType w:val="multilevel"/>
    <w:tmpl w:val="E7FC4010"/>
    <w:numStyleLink w:val="NumbLstTableBullet"/>
  </w:abstractNum>
  <w:abstractNum w:abstractNumId="23"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24" w15:restartNumberingAfterBreak="0">
    <w:nsid w:val="1FEC4BF0"/>
    <w:multiLevelType w:val="hybridMultilevel"/>
    <w:tmpl w:val="A0F67EA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32462410">
      <w:numFmt w:val="bullet"/>
      <w:lvlText w:val="-"/>
      <w:lvlJc w:val="left"/>
      <w:pPr>
        <w:ind w:left="3600" w:hanging="360"/>
      </w:pPr>
      <w:rPr>
        <w:rFonts w:ascii="Arial" w:eastAsiaTheme="minorHAnsi" w:hAnsi="Arial" w:cs="Arial"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13056DA"/>
    <w:multiLevelType w:val="multilevel"/>
    <w:tmpl w:val="89BC52E8"/>
    <w:styleLink w:val="NumbLstBoxes"/>
    <w:lvl w:ilvl="0">
      <w:start w:val="1"/>
      <w:numFmt w:val="decimal"/>
      <w:pStyle w:val="CaseStudy"/>
      <w:suff w:val="space"/>
      <w:lvlText w:val="Case Study %1"/>
      <w:lvlJc w:val="left"/>
      <w:pPr>
        <w:ind w:left="0" w:firstLine="0"/>
      </w:pPr>
      <w:rPr>
        <w:rFonts w:hint="default"/>
      </w:rPr>
    </w:lvl>
    <w:lvl w:ilvl="1">
      <w:start w:val="1"/>
      <w:numFmt w:val="decimal"/>
      <w:lvlRestart w:val="0"/>
      <w:pStyle w:val="Evidence"/>
      <w:suff w:val="space"/>
      <w:lvlText w:val="Evidence %2"/>
      <w:lvlJc w:val="left"/>
      <w:pPr>
        <w:ind w:left="0" w:firstLine="0"/>
      </w:pPr>
      <w:rPr>
        <w:rFonts w:hint="default"/>
      </w:rPr>
    </w:lvl>
    <w:lvl w:ilvl="2">
      <w:start w:val="1"/>
      <w:numFmt w:val="decimal"/>
      <w:lvlRestart w:val="0"/>
      <w:pStyle w:val="Conclusion"/>
      <w:suff w:val="space"/>
      <w:lvlText w:val="Conclusion %3"/>
      <w:lvlJc w:val="left"/>
      <w:pPr>
        <w:ind w:left="0" w:firstLine="0"/>
      </w:pPr>
      <w:rPr>
        <w:rFonts w:hint="default"/>
      </w:rPr>
    </w:lvl>
    <w:lvl w:ilvl="3">
      <w:start w:val="1"/>
      <w:numFmt w:val="decimal"/>
      <w:lvlRestart w:val="0"/>
      <w:pStyle w:val="Recommendation"/>
      <w:suff w:val="space"/>
      <w:lvlText w:val="Recommendation %4"/>
      <w:lvlJc w:val="left"/>
      <w:pPr>
        <w:ind w:left="0" w:firstLine="0"/>
      </w:pPr>
      <w:rPr>
        <w:rFonts w:hint="default"/>
        <w:b/>
        <w:i w:val="0"/>
        <w:color w:val="0067AC"/>
        <w:sz w:val="28"/>
      </w:rPr>
    </w:lvl>
    <w:lvl w:ilvl="4">
      <w:start w:val="1"/>
      <w:numFmt w:val="decimal"/>
      <w:lvlRestart w:val="0"/>
      <w:pStyle w:val="BoxNumb"/>
      <w:suff w:val="space"/>
      <w:lvlText w:val="Box %5"/>
      <w:lvlJc w:val="left"/>
      <w:pPr>
        <w:ind w:left="0" w:firstLine="0"/>
      </w:pPr>
      <w:rPr>
        <w:rFonts w:hint="default"/>
        <w:color w:val="0067AC"/>
      </w:rPr>
    </w:lvl>
    <w:lvl w:ilvl="5">
      <w:start w:val="1"/>
      <w:numFmt w:val="none"/>
      <w:lvlRestart w:val="3"/>
      <w:lvlText w:val=""/>
      <w:lvlJc w:val="left"/>
      <w:pPr>
        <w:tabs>
          <w:tab w:val="num" w:pos="851"/>
        </w:tabs>
        <w:ind w:left="0" w:firstLine="0"/>
      </w:pPr>
      <w:rPr>
        <w:rFonts w:ascii="Georgia" w:hAnsi="Georgia" w:hint="default"/>
        <w:color w:val="336633"/>
      </w:rPr>
    </w:lvl>
    <w:lvl w:ilvl="6">
      <w:start w:val="1"/>
      <w:numFmt w:val="none"/>
      <w:lvlRestart w:val="5"/>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color w:val="auto"/>
      </w:rPr>
    </w:lvl>
    <w:lvl w:ilvl="8">
      <w:start w:val="1"/>
      <w:numFmt w:val="none"/>
      <w:suff w:val="nothing"/>
      <w:lvlText w:val=""/>
      <w:lvlJc w:val="left"/>
      <w:pPr>
        <w:ind w:left="0" w:firstLine="0"/>
      </w:pPr>
      <w:rPr>
        <w:rFonts w:ascii="Georgia" w:hAnsi="Georgia" w:hint="default"/>
        <w:color w:val="0067AC" w:themeColor="text2"/>
      </w:rPr>
    </w:lvl>
  </w:abstractNum>
  <w:abstractNum w:abstractNumId="26" w15:restartNumberingAfterBreak="0">
    <w:nsid w:val="26FB2156"/>
    <w:multiLevelType w:val="multilevel"/>
    <w:tmpl w:val="10607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2D315A89"/>
    <w:multiLevelType w:val="multilevel"/>
    <w:tmpl w:val="DF5E9792"/>
    <w:lvl w:ilvl="0">
      <w:start w:val="1"/>
      <w:numFmt w:val="bullet"/>
      <w:lvlText w:val="■"/>
      <w:lvlJc w:val="left"/>
      <w:pPr>
        <w:tabs>
          <w:tab w:val="num" w:pos="1191"/>
        </w:tabs>
        <w:ind w:left="1191" w:hanging="340"/>
      </w:pPr>
      <w:rPr>
        <w:rFonts w:ascii="Arial" w:hAnsi="Arial" w:hint="default"/>
        <w:color w:val="0067AC"/>
        <w:sz w:val="18"/>
      </w:rPr>
    </w:lvl>
    <w:lvl w:ilvl="1">
      <w:start w:val="1"/>
      <w:numFmt w:val="bullet"/>
      <w:lvlText w:val="–"/>
      <w:lvlJc w:val="left"/>
      <w:pPr>
        <w:tabs>
          <w:tab w:val="num" w:pos="1531"/>
        </w:tabs>
        <w:ind w:left="1531" w:hanging="340"/>
      </w:pPr>
      <w:rPr>
        <w:rFonts w:ascii="Arial" w:hAnsi="Arial" w:hint="default"/>
        <w:color w:val="0067AC"/>
      </w:rPr>
    </w:lvl>
    <w:lvl w:ilvl="2">
      <w:start w:val="1"/>
      <w:numFmt w:val="bullet"/>
      <w:lvlText w:val="○"/>
      <w:lvlJc w:val="left"/>
      <w:pPr>
        <w:tabs>
          <w:tab w:val="num" w:pos="1531"/>
        </w:tabs>
        <w:ind w:left="1871" w:hanging="340"/>
      </w:pPr>
      <w:rPr>
        <w:rFonts w:ascii="Arial" w:hAnsi="Arial" w:hint="default"/>
        <w:color w:val="0067AC"/>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suff w:val="nothing"/>
      <w:lvlText w:val=""/>
      <w:lvlJc w:val="left"/>
      <w:pPr>
        <w:ind w:left="1871" w:firstLine="0"/>
      </w:pPr>
      <w:rPr>
        <w:rFonts w:hint="default"/>
      </w:rPr>
    </w:lvl>
  </w:abstractNum>
  <w:abstractNum w:abstractNumId="28" w15:restartNumberingAfterBreak="0">
    <w:nsid w:val="34B83BE5"/>
    <w:multiLevelType w:val="multilevel"/>
    <w:tmpl w:val="BEC63A00"/>
    <w:numStyleLink w:val="NumbLstExecSumm"/>
  </w:abstractNum>
  <w:abstractNum w:abstractNumId="29" w15:restartNumberingAfterBreak="0">
    <w:nsid w:val="38776938"/>
    <w:multiLevelType w:val="hybridMultilevel"/>
    <w:tmpl w:val="979251E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0" w15:restartNumberingAfterBreak="0">
    <w:nsid w:val="39801475"/>
    <w:multiLevelType w:val="multilevel"/>
    <w:tmpl w:val="9F9A5336"/>
    <w:styleLink w:val="NumbLstBTBullet"/>
    <w:lvl w:ilvl="0">
      <w:start w:val="1"/>
      <w:numFmt w:val="bullet"/>
      <w:pStyle w:val="BTBullet1"/>
      <w:lvlText w:val="■"/>
      <w:lvlJc w:val="left"/>
      <w:pPr>
        <w:tabs>
          <w:tab w:val="num" w:pos="1191"/>
        </w:tabs>
        <w:ind w:left="1191" w:hanging="340"/>
      </w:pPr>
      <w:rPr>
        <w:rFonts w:ascii="Arial" w:hAnsi="Arial" w:hint="default"/>
        <w:color w:val="0067AC"/>
      </w:rPr>
    </w:lvl>
    <w:lvl w:ilvl="1">
      <w:start w:val="1"/>
      <w:numFmt w:val="bullet"/>
      <w:pStyle w:val="BTBullet2"/>
      <w:lvlText w:val="–"/>
      <w:lvlJc w:val="left"/>
      <w:pPr>
        <w:tabs>
          <w:tab w:val="num" w:pos="1531"/>
        </w:tabs>
        <w:ind w:left="1531" w:hanging="340"/>
      </w:pPr>
      <w:rPr>
        <w:rFonts w:ascii="Arial" w:hAnsi="Arial" w:hint="default"/>
        <w:color w:val="0067AC"/>
      </w:rPr>
    </w:lvl>
    <w:lvl w:ilvl="2">
      <w:start w:val="1"/>
      <w:numFmt w:val="bullet"/>
      <w:pStyle w:val="BTBullet3"/>
      <w:lvlText w:val="○"/>
      <w:lvlJc w:val="left"/>
      <w:pPr>
        <w:tabs>
          <w:tab w:val="num" w:pos="1871"/>
        </w:tabs>
        <w:ind w:left="1871" w:hanging="340"/>
      </w:pPr>
      <w:rPr>
        <w:rFonts w:ascii="Arial" w:hAnsi="Arial" w:hint="default"/>
        <w:color w:val="0067AC"/>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31" w15:restartNumberingAfterBreak="0">
    <w:nsid w:val="3ABC6B85"/>
    <w:multiLevelType w:val="multilevel"/>
    <w:tmpl w:val="585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D10A8D"/>
    <w:multiLevelType w:val="hybridMultilevel"/>
    <w:tmpl w:val="F4B8C79E"/>
    <w:lvl w:ilvl="0" w:tplc="B2084EE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D406DF6"/>
    <w:multiLevelType w:val="hybridMultilevel"/>
    <w:tmpl w:val="B11C11EC"/>
    <w:lvl w:ilvl="0" w:tplc="B2084EEE">
      <w:numFmt w:val="bullet"/>
      <w:lvlText w:val="-"/>
      <w:lvlJc w:val="left"/>
      <w:pPr>
        <w:ind w:left="1117" w:hanging="360"/>
      </w:pPr>
      <w:rPr>
        <w:rFonts w:ascii="Arial" w:eastAsiaTheme="minorHAnsi" w:hAnsi="Arial" w:cs="Aria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34" w15:restartNumberingAfterBreak="0">
    <w:nsid w:val="3E144406"/>
    <w:multiLevelType w:val="multilevel"/>
    <w:tmpl w:val="85BCEBDA"/>
    <w:styleLink w:val="NumbLstBullet"/>
    <w:lvl w:ilvl="0">
      <w:start w:val="1"/>
      <w:numFmt w:val="bullet"/>
      <w:lvlText w:val="■"/>
      <w:lvlJc w:val="left"/>
      <w:pPr>
        <w:tabs>
          <w:tab w:val="num" w:pos="340"/>
        </w:tabs>
        <w:ind w:left="340" w:hanging="340"/>
      </w:pPr>
      <w:rPr>
        <w:rFonts w:ascii="Arial" w:hAnsi="Arial" w:hint="default"/>
        <w:color w:val="0067AC"/>
        <w:sz w:val="18"/>
      </w:rPr>
    </w:lvl>
    <w:lvl w:ilvl="1">
      <w:start w:val="1"/>
      <w:numFmt w:val="bullet"/>
      <w:lvlText w:val="–"/>
      <w:lvlJc w:val="left"/>
      <w:pPr>
        <w:tabs>
          <w:tab w:val="num" w:pos="680"/>
        </w:tabs>
        <w:ind w:left="680" w:hanging="340"/>
      </w:pPr>
      <w:rPr>
        <w:rFonts w:ascii="Arial" w:hAnsi="Arial" w:hint="default"/>
        <w:color w:val="0067AC"/>
      </w:rPr>
    </w:lvl>
    <w:lvl w:ilvl="2">
      <w:start w:val="1"/>
      <w:numFmt w:val="bullet"/>
      <w:lvlText w:val="○"/>
      <w:lvlJc w:val="left"/>
      <w:pPr>
        <w:tabs>
          <w:tab w:val="num" w:pos="1021"/>
        </w:tabs>
        <w:ind w:left="1021" w:hanging="341"/>
      </w:pPr>
      <w:rPr>
        <w:rFonts w:ascii="Arial" w:hAnsi="Arial" w:hint="default"/>
        <w:color w:val="0067AC"/>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35" w15:restartNumberingAfterBreak="0">
    <w:nsid w:val="401E01A2"/>
    <w:multiLevelType w:val="multilevel"/>
    <w:tmpl w:val="1AE085A0"/>
    <w:styleLink w:val="NumbLstTableSimpleNo"/>
    <w:lvl w:ilvl="0">
      <w:start w:val="1"/>
      <w:numFmt w:val="decimal"/>
      <w:pStyle w:val="TableSimpleNo"/>
      <w:lvlText w:val="Table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3AE1DC9"/>
    <w:multiLevelType w:val="multilevel"/>
    <w:tmpl w:val="22B60E78"/>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b/>
        <w:i/>
        <w:color w:val="0067AC"/>
        <w:sz w:val="20"/>
      </w:rPr>
    </w:lvl>
    <w:lvl w:ilvl="4">
      <w:start w:val="1"/>
      <w:numFmt w:val="decimal"/>
      <w:lvlText w:val="%1.%2.%3.%4.%5"/>
      <w:lvlJc w:val="left"/>
      <w:pPr>
        <w:ind w:left="851" w:hanging="851"/>
      </w:pPr>
      <w:rPr>
        <w:rFonts w:ascii="Calibri" w:hAnsi="Calibri" w:hint="default"/>
        <w:b/>
        <w:i/>
        <w:color w:val="0067AC"/>
        <w:sz w:val="20"/>
      </w:rPr>
    </w:lvl>
    <w:lvl w:ilvl="5">
      <w:start w:val="1"/>
      <w:numFmt w:val="decimal"/>
      <w:lvlRestart w:val="1"/>
      <w:lvlText w:val="Figure %1.%6"/>
      <w:lvlJc w:val="left"/>
      <w:pPr>
        <w:tabs>
          <w:tab w:val="num" w:pos="1077"/>
        </w:tabs>
        <w:ind w:left="1077" w:hanging="1077"/>
      </w:pPr>
      <w:rPr>
        <w:rFonts w:ascii="Calibri" w:hAnsi="Calibri" w:hint="default"/>
        <w:color w:val="0067AC"/>
      </w:rPr>
    </w:lvl>
    <w:lvl w:ilvl="6">
      <w:start w:val="1"/>
      <w:numFmt w:val="decimal"/>
      <w:lvlRestart w:val="1"/>
      <w:lvlText w:val="Table %1.%7"/>
      <w:lvlJc w:val="left"/>
      <w:pPr>
        <w:tabs>
          <w:tab w:val="num" w:pos="851"/>
        </w:tabs>
        <w:ind w:left="1928" w:hanging="1077"/>
      </w:pPr>
      <w:rPr>
        <w:rFonts w:ascii="Calibri" w:hAnsi="Calibri" w:hint="default"/>
      </w:rPr>
    </w:lvl>
    <w:lvl w:ilvl="7">
      <w:start w:val="1"/>
      <w:numFmt w:val="decimal"/>
      <w:lvlRestart w:val="1"/>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0067AC" w:themeColor="text2"/>
      </w:rPr>
    </w:lvl>
  </w:abstractNum>
  <w:abstractNum w:abstractNumId="37" w15:restartNumberingAfterBreak="0">
    <w:nsid w:val="4425021D"/>
    <w:multiLevelType w:val="hybridMultilevel"/>
    <w:tmpl w:val="6358BF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8" w15:restartNumberingAfterBreak="0">
    <w:nsid w:val="49271712"/>
    <w:multiLevelType w:val="multilevel"/>
    <w:tmpl w:val="1C228E2C"/>
    <w:name w:val="BTBulletList"/>
    <w:lvl w:ilvl="0">
      <w:start w:val="1"/>
      <w:numFmt w:val="bullet"/>
      <w:lvlText w:val="▪"/>
      <w:lvlJc w:val="left"/>
      <w:pPr>
        <w:ind w:left="1191" w:hanging="340"/>
      </w:pPr>
      <w:rPr>
        <w:rFonts w:ascii="Arial" w:hAnsi="Arial" w:hint="default"/>
        <w:color w:val="0067AC" w:themeColor="text2"/>
        <w:sz w:val="24"/>
      </w:rPr>
    </w:lvl>
    <w:lvl w:ilvl="1">
      <w:start w:val="1"/>
      <w:numFmt w:val="bullet"/>
      <w:lvlText w:val="–"/>
      <w:lvlJc w:val="left"/>
      <w:pPr>
        <w:tabs>
          <w:tab w:val="num" w:pos="1990"/>
        </w:tabs>
        <w:ind w:left="1531" w:hanging="340"/>
      </w:pPr>
      <w:rPr>
        <w:rFonts w:ascii="Arial" w:hAnsi="Arial" w:hint="default"/>
        <w:color w:val="0067AC" w:themeColor="text2"/>
      </w:rPr>
    </w:lvl>
    <w:lvl w:ilvl="2">
      <w:start w:val="1"/>
      <w:numFmt w:val="bullet"/>
      <w:lvlText w:val="◦"/>
      <w:lvlJc w:val="left"/>
      <w:pPr>
        <w:ind w:left="1871" w:hanging="340"/>
      </w:pPr>
      <w:rPr>
        <w:rFonts w:ascii="Arial" w:hAnsi="Arial" w:hint="default"/>
        <w:color w:val="0067AC" w:themeColor="text2"/>
      </w:rPr>
    </w:lvl>
    <w:lvl w:ilvl="3">
      <w:start w:val="1"/>
      <w:numFmt w:val="bullet"/>
      <w:lvlText w:val=""/>
      <w:lvlJc w:val="left"/>
      <w:pPr>
        <w:ind w:left="3788" w:hanging="360"/>
      </w:pPr>
      <w:rPr>
        <w:rFonts w:ascii="Symbol" w:hAnsi="Symbol" w:hint="default"/>
      </w:rPr>
    </w:lvl>
    <w:lvl w:ilvl="4">
      <w:start w:val="1"/>
      <w:numFmt w:val="bullet"/>
      <w:lvlText w:val="o"/>
      <w:lvlJc w:val="left"/>
      <w:pPr>
        <w:ind w:left="4508" w:hanging="360"/>
      </w:pPr>
      <w:rPr>
        <w:rFonts w:ascii="Courier New" w:hAnsi="Courier New" w:cs="Courier New" w:hint="default"/>
      </w:rPr>
    </w:lvl>
    <w:lvl w:ilvl="5">
      <w:start w:val="1"/>
      <w:numFmt w:val="bullet"/>
      <w:lvlText w:val=""/>
      <w:lvlJc w:val="left"/>
      <w:pPr>
        <w:ind w:left="5228" w:hanging="360"/>
      </w:pPr>
      <w:rPr>
        <w:rFonts w:ascii="Wingdings" w:hAnsi="Wingdings" w:hint="default"/>
      </w:rPr>
    </w:lvl>
    <w:lvl w:ilvl="6">
      <w:start w:val="1"/>
      <w:numFmt w:val="bullet"/>
      <w:lvlText w:val=""/>
      <w:lvlJc w:val="left"/>
      <w:pPr>
        <w:ind w:left="5948" w:hanging="360"/>
      </w:pPr>
      <w:rPr>
        <w:rFonts w:ascii="Symbol" w:hAnsi="Symbol" w:hint="default"/>
      </w:rPr>
    </w:lvl>
    <w:lvl w:ilvl="7">
      <w:start w:val="1"/>
      <w:numFmt w:val="bullet"/>
      <w:lvlText w:val="o"/>
      <w:lvlJc w:val="left"/>
      <w:pPr>
        <w:ind w:left="6668" w:hanging="360"/>
      </w:pPr>
      <w:rPr>
        <w:rFonts w:ascii="Courier New" w:hAnsi="Courier New" w:cs="Courier New" w:hint="default"/>
      </w:rPr>
    </w:lvl>
    <w:lvl w:ilvl="8">
      <w:start w:val="1"/>
      <w:numFmt w:val="bullet"/>
      <w:lvlText w:val=""/>
      <w:lvlJc w:val="left"/>
      <w:pPr>
        <w:ind w:left="7388" w:hanging="360"/>
      </w:pPr>
      <w:rPr>
        <w:rFonts w:ascii="Wingdings" w:hAnsi="Wingdings" w:hint="default"/>
      </w:rPr>
    </w:lvl>
  </w:abstractNum>
  <w:abstractNum w:abstractNumId="39" w15:restartNumberingAfterBreak="0">
    <w:nsid w:val="497C5E09"/>
    <w:multiLevelType w:val="multilevel"/>
    <w:tmpl w:val="E7FC4010"/>
    <w:styleLink w:val="NumbLstTableBullet"/>
    <w:lvl w:ilvl="0">
      <w:start w:val="1"/>
      <w:numFmt w:val="bullet"/>
      <w:pStyle w:val="TableBullet"/>
      <w:lvlText w:val="■"/>
      <w:lvlJc w:val="left"/>
      <w:pPr>
        <w:tabs>
          <w:tab w:val="num" w:pos="397"/>
        </w:tabs>
        <w:ind w:left="397" w:hanging="340"/>
      </w:pPr>
      <w:rPr>
        <w:rFonts w:ascii="Arial" w:hAnsi="Arial" w:cs="Arial" w:hint="default"/>
        <w:color w:val="0067AC"/>
      </w:rPr>
    </w:lvl>
    <w:lvl w:ilvl="1">
      <w:start w:val="1"/>
      <w:numFmt w:val="bullet"/>
      <w:lvlText w:val="–"/>
      <w:lvlJc w:val="left"/>
      <w:pPr>
        <w:tabs>
          <w:tab w:val="num" w:pos="737"/>
        </w:tabs>
        <w:ind w:left="737" w:hanging="340"/>
      </w:pPr>
      <w:rPr>
        <w:rFonts w:ascii="Arial" w:hAnsi="Arial" w:cs="Arial" w:hint="default"/>
        <w:color w:val="0067AC" w:themeColor="text2"/>
      </w:rPr>
    </w:lvl>
    <w:lvl w:ilvl="2">
      <w:start w:val="1"/>
      <w:numFmt w:val="bullet"/>
      <w:lvlText w:val="○"/>
      <w:lvlJc w:val="left"/>
      <w:pPr>
        <w:tabs>
          <w:tab w:val="num" w:pos="1077"/>
        </w:tabs>
        <w:ind w:left="1077" w:hanging="340"/>
      </w:pPr>
      <w:rPr>
        <w:rFonts w:ascii="Arial" w:hAnsi="Arial" w:cs="Arial" w:hint="default"/>
        <w:color w:val="0067AC" w:themeColor="text2"/>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40" w15:restartNumberingAfterBreak="0">
    <w:nsid w:val="504936E5"/>
    <w:multiLevelType w:val="multilevel"/>
    <w:tmpl w:val="9F9A5336"/>
    <w:numStyleLink w:val="NumbLstBTBullet"/>
  </w:abstractNum>
  <w:abstractNum w:abstractNumId="41" w15:restartNumberingAfterBreak="0">
    <w:nsid w:val="51380656"/>
    <w:multiLevelType w:val="multilevel"/>
    <w:tmpl w:val="BEC63A00"/>
    <w:styleLink w:val="NumbLstExecSumm"/>
    <w:lvl w:ilvl="0">
      <w:start w:val="1"/>
      <w:numFmt w:val="decimal"/>
      <w:pStyle w:val="ESHeading1"/>
      <w:lvlText w:val="ES%1"/>
      <w:lvlJc w:val="left"/>
      <w:pPr>
        <w:tabs>
          <w:tab w:val="num" w:pos="851"/>
        </w:tabs>
        <w:ind w:left="851" w:hanging="851"/>
      </w:pPr>
      <w:rPr>
        <w:rFonts w:hint="default"/>
      </w:rPr>
    </w:lvl>
    <w:lvl w:ilvl="1">
      <w:start w:val="1"/>
      <w:numFmt w:val="decimal"/>
      <w:pStyle w:val="ESHeading2"/>
      <w:lvlText w:val="ES%1.%2"/>
      <w:lvlJc w:val="left"/>
      <w:pPr>
        <w:tabs>
          <w:tab w:val="num" w:pos="851"/>
        </w:tabs>
        <w:ind w:left="851" w:hanging="851"/>
      </w:pPr>
      <w:rPr>
        <w:rFonts w:hint="default"/>
      </w:rPr>
    </w:lvl>
    <w:lvl w:ilvl="2">
      <w:start w:val="1"/>
      <w:numFmt w:val="decimal"/>
      <w:pStyle w:val="ESHeading3"/>
      <w:lvlText w:val="ES%1.%2.%3"/>
      <w:lvlJc w:val="left"/>
      <w:pPr>
        <w:tabs>
          <w:tab w:val="num" w:pos="851"/>
        </w:tabs>
        <w:ind w:left="851" w:hanging="851"/>
      </w:pPr>
      <w:rPr>
        <w:rFonts w:hint="default"/>
      </w:rPr>
    </w:lvl>
    <w:lvl w:ilvl="3">
      <w:start w:val="1"/>
      <w:numFmt w:val="decimal"/>
      <w:lvlRestart w:val="1"/>
      <w:pStyle w:val="ESTable"/>
      <w:lvlText w:val="Table ES%1.%4"/>
      <w:lvlJc w:val="left"/>
      <w:pPr>
        <w:tabs>
          <w:tab w:val="num" w:pos="1985"/>
        </w:tabs>
        <w:ind w:left="1985" w:hanging="1134"/>
      </w:pPr>
      <w:rPr>
        <w:rFonts w:hint="default"/>
      </w:rPr>
    </w:lvl>
    <w:lvl w:ilvl="4">
      <w:start w:val="1"/>
      <w:numFmt w:val="decimal"/>
      <w:pStyle w:val="ESFigure"/>
      <w:lvlText w:val="Figure ES%1.%5"/>
      <w:lvlJc w:val="left"/>
      <w:pPr>
        <w:ind w:left="1985"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1EF7A48"/>
    <w:multiLevelType w:val="multilevel"/>
    <w:tmpl w:val="85BCEBDA"/>
    <w:numStyleLink w:val="NumbLstBullet"/>
  </w:abstractNum>
  <w:abstractNum w:abstractNumId="43" w15:restartNumberingAfterBreak="0">
    <w:nsid w:val="5A611787"/>
    <w:multiLevelType w:val="multilevel"/>
    <w:tmpl w:val="85BCEBDA"/>
    <w:lvl w:ilvl="0">
      <w:start w:val="1"/>
      <w:numFmt w:val="bullet"/>
      <w:pStyle w:val="Bullet1"/>
      <w:lvlText w:val="■"/>
      <w:lvlJc w:val="left"/>
      <w:pPr>
        <w:tabs>
          <w:tab w:val="num" w:pos="340"/>
        </w:tabs>
        <w:ind w:left="340" w:hanging="340"/>
      </w:pPr>
      <w:rPr>
        <w:rFonts w:ascii="Arial" w:hAnsi="Arial" w:hint="default"/>
        <w:color w:val="0067AC"/>
        <w:sz w:val="18"/>
      </w:rPr>
    </w:lvl>
    <w:lvl w:ilvl="1">
      <w:start w:val="1"/>
      <w:numFmt w:val="bullet"/>
      <w:pStyle w:val="Bullet2"/>
      <w:lvlText w:val="–"/>
      <w:lvlJc w:val="left"/>
      <w:pPr>
        <w:tabs>
          <w:tab w:val="num" w:pos="680"/>
        </w:tabs>
        <w:ind w:left="680" w:hanging="340"/>
      </w:pPr>
      <w:rPr>
        <w:rFonts w:ascii="Arial" w:hAnsi="Arial" w:hint="default"/>
        <w:color w:val="0067AC"/>
      </w:rPr>
    </w:lvl>
    <w:lvl w:ilvl="2">
      <w:start w:val="1"/>
      <w:numFmt w:val="bullet"/>
      <w:pStyle w:val="Bullet3"/>
      <w:lvlText w:val="○"/>
      <w:lvlJc w:val="left"/>
      <w:pPr>
        <w:tabs>
          <w:tab w:val="num" w:pos="1021"/>
        </w:tabs>
        <w:ind w:left="1021" w:hanging="341"/>
      </w:pPr>
      <w:rPr>
        <w:rFonts w:ascii="Arial" w:hAnsi="Arial" w:hint="default"/>
        <w:color w:val="0067AC"/>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44" w15:restartNumberingAfterBreak="0">
    <w:nsid w:val="5DEE3258"/>
    <w:multiLevelType w:val="hybridMultilevel"/>
    <w:tmpl w:val="79A2C5F2"/>
    <w:lvl w:ilvl="0" w:tplc="B2084EEE">
      <w:numFmt w:val="bullet"/>
      <w:lvlText w:val="-"/>
      <w:lvlJc w:val="left"/>
      <w:pPr>
        <w:ind w:left="417" w:hanging="360"/>
      </w:pPr>
      <w:rPr>
        <w:rFonts w:ascii="Arial" w:eastAsiaTheme="minorHAnsi"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45" w15:restartNumberingAfterBreak="0">
    <w:nsid w:val="5EDE3929"/>
    <w:multiLevelType w:val="hybridMultilevel"/>
    <w:tmpl w:val="BC4A1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0BE17EF"/>
    <w:multiLevelType w:val="multilevel"/>
    <w:tmpl w:val="22266CAE"/>
    <w:numStyleLink w:val="NumbLstMain"/>
  </w:abstractNum>
  <w:abstractNum w:abstractNumId="47" w15:restartNumberingAfterBreak="0">
    <w:nsid w:val="62BB7342"/>
    <w:multiLevelType w:val="hybridMultilevel"/>
    <w:tmpl w:val="0ADE3F02"/>
    <w:lvl w:ilvl="0" w:tplc="04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8" w15:restartNumberingAfterBreak="0">
    <w:nsid w:val="6324220D"/>
    <w:multiLevelType w:val="multilevel"/>
    <w:tmpl w:val="6412989C"/>
    <w:lvl w:ilvl="0">
      <w:start w:val="1"/>
      <w:numFmt w:val="decimal"/>
      <w:lvlText w:val="%1."/>
      <w:lvlJc w:val="left"/>
      <w:pPr>
        <w:tabs>
          <w:tab w:val="num" w:pos="1191"/>
        </w:tabs>
        <w:ind w:left="1191" w:hanging="340"/>
      </w:pPr>
      <w:rPr>
        <w:rFonts w:hint="default"/>
      </w:rPr>
    </w:lvl>
    <w:lvl w:ilvl="1">
      <w:start w:val="1"/>
      <w:numFmt w:val="lowerLetter"/>
      <w:lvlText w:val="%2."/>
      <w:lvlJc w:val="left"/>
      <w:pPr>
        <w:tabs>
          <w:tab w:val="num" w:pos="1531"/>
        </w:tabs>
        <w:ind w:left="1531" w:hanging="340"/>
      </w:pPr>
      <w:rPr>
        <w:rFonts w:hint="default"/>
      </w:rPr>
    </w:lvl>
    <w:lvl w:ilvl="2">
      <w:start w:val="1"/>
      <w:numFmt w:val="lowerRoman"/>
      <w:lvlRestart w:val="0"/>
      <w:lvlText w:val="%3."/>
      <w:lvlJc w:val="left"/>
      <w:pPr>
        <w:tabs>
          <w:tab w:val="num" w:pos="1871"/>
        </w:tabs>
        <w:ind w:left="1871" w:hanging="340"/>
      </w:pPr>
      <w:rPr>
        <w:rFonts w:hint="default"/>
      </w:rPr>
    </w:lvl>
    <w:lvl w:ilvl="3">
      <w:start w:val="1"/>
      <w:numFmt w:val="none"/>
      <w:suff w:val="nothing"/>
      <w:lvlText w:val=""/>
      <w:lvlJc w:val="left"/>
      <w:pPr>
        <w:ind w:left="1871" w:firstLine="0"/>
      </w:pPr>
      <w:rPr>
        <w:rFonts w:hint="default"/>
      </w:rPr>
    </w:lvl>
    <w:lvl w:ilvl="4">
      <w:start w:val="1"/>
      <w:numFmt w:val="none"/>
      <w:lvlRestart w:val="0"/>
      <w:suff w:val="nothing"/>
      <w:lvlText w:val=""/>
      <w:lvlJc w:val="left"/>
      <w:pPr>
        <w:ind w:left="1871" w:firstLine="0"/>
      </w:pPr>
      <w:rPr>
        <w:rFonts w:hint="default"/>
      </w:rPr>
    </w:lvl>
    <w:lvl w:ilvl="5">
      <w:start w:val="1"/>
      <w:numFmt w:val="none"/>
      <w:suff w:val="nothing"/>
      <w:lvlText w:val=""/>
      <w:lvlJc w:val="righ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suff w:val="nothing"/>
      <w:lvlText w:val=""/>
      <w:lvlJc w:val="right"/>
      <w:pPr>
        <w:ind w:left="1871" w:firstLine="0"/>
      </w:pPr>
      <w:rPr>
        <w:rFonts w:hint="default"/>
      </w:rPr>
    </w:lvl>
  </w:abstractNum>
  <w:abstractNum w:abstractNumId="49" w15:restartNumberingAfterBreak="0">
    <w:nsid w:val="66941201"/>
    <w:multiLevelType w:val="multilevel"/>
    <w:tmpl w:val="E0F2629E"/>
    <w:lvl w:ilvl="0">
      <w:start w:val="1"/>
      <w:numFmt w:val="decimal"/>
      <w:suff w:val="space"/>
      <w:lvlText w:val="Case Study %1"/>
      <w:lvlJc w:val="left"/>
      <w:pPr>
        <w:ind w:left="0" w:firstLine="0"/>
      </w:pPr>
      <w:rPr>
        <w:rFonts w:hint="default"/>
      </w:rPr>
    </w:lvl>
    <w:lvl w:ilvl="1">
      <w:start w:val="1"/>
      <w:numFmt w:val="decimal"/>
      <w:lvlRestart w:val="0"/>
      <w:suff w:val="space"/>
      <w:lvlText w:val="Evidence %2"/>
      <w:lvlJc w:val="left"/>
      <w:pPr>
        <w:ind w:left="0" w:firstLine="0"/>
      </w:pPr>
      <w:rPr>
        <w:rFonts w:hint="default"/>
      </w:rPr>
    </w:lvl>
    <w:lvl w:ilvl="2">
      <w:start w:val="1"/>
      <w:numFmt w:val="decimal"/>
      <w:lvlRestart w:val="0"/>
      <w:suff w:val="space"/>
      <w:lvlText w:val="Conclusion %3"/>
      <w:lvlJc w:val="left"/>
      <w:pPr>
        <w:ind w:left="0" w:firstLine="0"/>
      </w:pPr>
      <w:rPr>
        <w:rFonts w:hint="default"/>
      </w:rPr>
    </w:lvl>
    <w:lvl w:ilvl="3">
      <w:start w:val="1"/>
      <w:numFmt w:val="decimal"/>
      <w:lvlRestart w:val="0"/>
      <w:suff w:val="space"/>
      <w:lvlText w:val="Recommendation %4"/>
      <w:lvlJc w:val="left"/>
      <w:pPr>
        <w:ind w:left="0" w:firstLine="0"/>
      </w:pPr>
      <w:rPr>
        <w:rFonts w:hint="default"/>
        <w:b/>
        <w:i w:val="0"/>
        <w:color w:val="0067AC"/>
        <w:sz w:val="28"/>
      </w:rPr>
    </w:lvl>
    <w:lvl w:ilvl="4">
      <w:start w:val="1"/>
      <w:numFmt w:val="decimal"/>
      <w:lvlRestart w:val="0"/>
      <w:suff w:val="space"/>
      <w:lvlText w:val="Box %5"/>
      <w:lvlJc w:val="left"/>
      <w:pPr>
        <w:ind w:left="0" w:firstLine="0"/>
      </w:pPr>
      <w:rPr>
        <w:rFonts w:hint="default"/>
        <w:color w:val="0067AC"/>
      </w:rPr>
    </w:lvl>
    <w:lvl w:ilvl="5">
      <w:start w:val="1"/>
      <w:numFmt w:val="none"/>
      <w:lvlRestart w:val="3"/>
      <w:lvlText w:val=""/>
      <w:lvlJc w:val="left"/>
      <w:pPr>
        <w:tabs>
          <w:tab w:val="num" w:pos="851"/>
        </w:tabs>
        <w:ind w:left="0" w:firstLine="0"/>
      </w:pPr>
      <w:rPr>
        <w:rFonts w:ascii="Georgia" w:hAnsi="Georgia" w:hint="default"/>
        <w:color w:val="336633"/>
      </w:rPr>
    </w:lvl>
    <w:lvl w:ilvl="6">
      <w:start w:val="1"/>
      <w:numFmt w:val="none"/>
      <w:lvlRestart w:val="5"/>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color w:val="auto"/>
      </w:rPr>
    </w:lvl>
    <w:lvl w:ilvl="8">
      <w:start w:val="1"/>
      <w:numFmt w:val="none"/>
      <w:suff w:val="nothing"/>
      <w:lvlText w:val=""/>
      <w:lvlJc w:val="left"/>
      <w:pPr>
        <w:ind w:left="0" w:firstLine="0"/>
      </w:pPr>
      <w:rPr>
        <w:rFonts w:ascii="Georgia" w:hAnsi="Georgia" w:hint="default"/>
        <w:color w:val="0067AC" w:themeColor="text2"/>
      </w:rPr>
    </w:lvl>
  </w:abstractNum>
  <w:abstractNum w:abstractNumId="50" w15:restartNumberingAfterBreak="0">
    <w:nsid w:val="66F10AD0"/>
    <w:multiLevelType w:val="multilevel"/>
    <w:tmpl w:val="A8C2921C"/>
    <w:numStyleLink w:val="NumbLstAnnex"/>
  </w:abstractNum>
  <w:abstractNum w:abstractNumId="51" w15:restartNumberingAfterBreak="0">
    <w:nsid w:val="7B9D7E01"/>
    <w:multiLevelType w:val="multilevel"/>
    <w:tmpl w:val="4B9E565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b/>
        <w:i/>
        <w:color w:val="0067AC"/>
        <w:sz w:val="20"/>
      </w:rPr>
    </w:lvl>
    <w:lvl w:ilvl="4">
      <w:start w:val="1"/>
      <w:numFmt w:val="decimal"/>
      <w:lvlText w:val="%1.%2.%3.%4.%5"/>
      <w:lvlJc w:val="left"/>
      <w:pPr>
        <w:ind w:left="851" w:hanging="851"/>
      </w:pPr>
      <w:rPr>
        <w:rFonts w:ascii="Georgia" w:hAnsi="Georgia" w:hint="default"/>
        <w:color w:val="0067AC"/>
      </w:rPr>
    </w:lvl>
    <w:lvl w:ilvl="5">
      <w:start w:val="1"/>
      <w:numFmt w:val="decimal"/>
      <w:lvlRestart w:val="1"/>
      <w:lvlText w:val="Figure %1.%6"/>
      <w:lvlJc w:val="left"/>
      <w:pPr>
        <w:tabs>
          <w:tab w:val="num" w:pos="851"/>
        </w:tabs>
        <w:ind w:left="1928" w:hanging="1077"/>
      </w:pPr>
      <w:rPr>
        <w:rFonts w:ascii="Calibri" w:hAnsi="Calibri" w:hint="default"/>
        <w:color w:val="0067AC"/>
      </w:rPr>
    </w:lvl>
    <w:lvl w:ilvl="6">
      <w:start w:val="1"/>
      <w:numFmt w:val="decimal"/>
      <w:lvlRestart w:val="1"/>
      <w:lvlText w:val="Table %1.%7"/>
      <w:lvlJc w:val="left"/>
      <w:pPr>
        <w:tabs>
          <w:tab w:val="num" w:pos="851"/>
        </w:tabs>
        <w:ind w:left="1928" w:hanging="1077"/>
      </w:pPr>
      <w:rPr>
        <w:rFonts w:ascii="Calibri" w:hAnsi="Calibri" w:hint="default"/>
      </w:rPr>
    </w:lvl>
    <w:lvl w:ilvl="7">
      <w:start w:val="1"/>
      <w:numFmt w:val="decimal"/>
      <w:lvlRestart w:val="1"/>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0067AC" w:themeColor="text2"/>
      </w:rPr>
    </w:lvl>
  </w:abstractNum>
  <w:num w:numId="1">
    <w:abstractNumId w:val="9"/>
  </w:num>
  <w:num w:numId="2">
    <w:abstractNumId w:val="7"/>
  </w:num>
  <w:num w:numId="3">
    <w:abstractNumId w:val="6"/>
  </w:num>
  <w:num w:numId="4">
    <w:abstractNumId w:val="5"/>
  </w:num>
  <w:num w:numId="5">
    <w:abstractNumId w:val="21"/>
  </w:num>
  <w:num w:numId="6">
    <w:abstractNumId w:val="25"/>
  </w:num>
  <w:num w:numId="7">
    <w:abstractNumId w:val="10"/>
  </w:num>
  <w:num w:numId="8">
    <w:abstractNumId w:val="12"/>
  </w:num>
  <w:num w:numId="9">
    <w:abstractNumId w:val="20"/>
  </w:num>
  <w:num w:numId="10">
    <w:abstractNumId w:val="17"/>
  </w:num>
  <w:num w:numId="11">
    <w:abstractNumId w:val="34"/>
  </w:num>
  <w:num w:numId="12">
    <w:abstractNumId w:val="39"/>
  </w:num>
  <w:num w:numId="13">
    <w:abstractNumId w:val="13"/>
  </w:num>
  <w:num w:numId="14">
    <w:abstractNumId w:val="16"/>
  </w:num>
  <w:num w:numId="15">
    <w:abstractNumId w:val="19"/>
  </w:num>
  <w:num w:numId="16">
    <w:abstractNumId w:val="43"/>
  </w:num>
  <w:num w:numId="17">
    <w:abstractNumId w:val="23"/>
  </w:num>
  <w:num w:numId="18">
    <w:abstractNumId w:val="50"/>
    <w:lvlOverride w:ilvl="0">
      <w:lvl w:ilvl="0">
        <w:start w:val="1"/>
        <w:numFmt w:val="decimal"/>
        <w:pStyle w:val="AnnexHeading"/>
        <w:lvlText w:val="Annex %1"/>
        <w:lvlJc w:val="left"/>
        <w:pPr>
          <w:tabs>
            <w:tab w:val="num" w:pos="1871"/>
          </w:tabs>
          <w:ind w:left="1871" w:hanging="1304"/>
        </w:pPr>
        <w:rPr>
          <w:rFonts w:hint="default"/>
        </w:rPr>
      </w:lvl>
    </w:lvlOverride>
    <w:lvlOverride w:ilvl="1">
      <w:lvl w:ilvl="1">
        <w:start w:val="1"/>
        <w:numFmt w:val="decimal"/>
        <w:pStyle w:val="AnnexH2"/>
        <w:lvlText w:val="A%1.%2"/>
        <w:lvlJc w:val="left"/>
        <w:pPr>
          <w:tabs>
            <w:tab w:val="num" w:pos="851"/>
          </w:tabs>
          <w:ind w:left="851" w:hanging="851"/>
        </w:pPr>
        <w:rPr>
          <w:rFonts w:hint="default"/>
        </w:rPr>
      </w:lvl>
    </w:lvlOverride>
    <w:lvlOverride w:ilvl="2">
      <w:lvl w:ilvl="2">
        <w:start w:val="1"/>
        <w:numFmt w:val="decimal"/>
        <w:pStyle w:val="AnnexH3"/>
        <w:lvlText w:val="A%1.%2.%3"/>
        <w:lvlJc w:val="left"/>
        <w:pPr>
          <w:tabs>
            <w:tab w:val="num" w:pos="851"/>
          </w:tabs>
          <w:ind w:left="851" w:hanging="851"/>
        </w:pPr>
        <w:rPr>
          <w:rFonts w:hint="default"/>
        </w:rPr>
      </w:lvl>
    </w:lvlOverride>
    <w:lvlOverride w:ilvl="3">
      <w:lvl w:ilvl="3">
        <w:start w:val="1"/>
        <w:numFmt w:val="decimal"/>
        <w:pStyle w:val="AnnexH4"/>
        <w:lvlText w:val="A%1.%2.%3.%4"/>
        <w:lvlJc w:val="left"/>
        <w:pPr>
          <w:tabs>
            <w:tab w:val="num" w:pos="851"/>
          </w:tabs>
          <w:ind w:left="851" w:hanging="851"/>
        </w:pPr>
        <w:rPr>
          <w:rFonts w:hint="default"/>
        </w:rPr>
      </w:lvl>
    </w:lvlOverride>
    <w:lvlOverride w:ilvl="4">
      <w:lvl w:ilvl="4">
        <w:start w:val="1"/>
        <w:numFmt w:val="decimal"/>
        <w:lvlRestart w:val="1"/>
        <w:pStyle w:val="AnnexTable"/>
        <w:lvlText w:val="Table A%1.%5"/>
        <w:lvlJc w:val="left"/>
        <w:pPr>
          <w:tabs>
            <w:tab w:val="num" w:pos="1247"/>
          </w:tabs>
          <w:ind w:left="1247" w:hanging="1247"/>
        </w:pPr>
        <w:rPr>
          <w:rFonts w:hint="default"/>
        </w:rPr>
      </w:lvl>
    </w:lvlOverride>
    <w:lvlOverride w:ilvl="5">
      <w:lvl w:ilvl="5">
        <w:start w:val="1"/>
        <w:numFmt w:val="decimal"/>
        <w:lvlRestart w:val="1"/>
        <w:pStyle w:val="AnnexFigure"/>
        <w:lvlText w:val="Figure A%1.%6"/>
        <w:lvlJc w:val="left"/>
        <w:pPr>
          <w:tabs>
            <w:tab w:val="num" w:pos="1247"/>
          </w:tabs>
          <w:ind w:left="1247" w:hanging="1247"/>
        </w:pPr>
        <w:rPr>
          <w:rFonts w:hint="default"/>
        </w:rPr>
      </w:lvl>
    </w:lvlOverride>
    <w:lvlOverride w:ilvl="6">
      <w:lvl w:ilvl="6">
        <w:start w:val="1"/>
        <w:numFmt w:val="none"/>
        <w:suff w:val="nothing"/>
        <w:lvlText w:val=""/>
        <w:lvlJc w:val="left"/>
        <w:pPr>
          <w:ind w:left="851" w:firstLine="0"/>
        </w:pPr>
        <w:rPr>
          <w:rFonts w:hint="default"/>
        </w:rPr>
      </w:lvl>
    </w:lvlOverride>
    <w:lvlOverride w:ilvl="7">
      <w:lvl w:ilvl="7">
        <w:start w:val="1"/>
        <w:numFmt w:val="none"/>
        <w:suff w:val="nothing"/>
        <w:lvlText w:val=""/>
        <w:lvlJc w:val="left"/>
        <w:pPr>
          <w:ind w:left="851" w:firstLine="0"/>
        </w:pPr>
        <w:rPr>
          <w:rFonts w:hint="default"/>
        </w:rPr>
      </w:lvl>
    </w:lvlOverride>
    <w:lvlOverride w:ilvl="8">
      <w:lvl w:ilvl="8">
        <w:start w:val="1"/>
        <w:numFmt w:val="none"/>
        <w:suff w:val="nothing"/>
        <w:lvlText w:val=""/>
        <w:lvlJc w:val="left"/>
        <w:pPr>
          <w:ind w:left="851" w:firstLine="0"/>
        </w:pPr>
        <w:rPr>
          <w:rFonts w:hint="default"/>
        </w:rPr>
      </w:lvl>
    </w:lvlOverride>
  </w:num>
  <w:num w:numId="19">
    <w:abstractNumId w:val="46"/>
    <w:lvlOverride w:ilvl="0">
      <w:lvl w:ilvl="0">
        <w:start w:val="1"/>
        <w:numFmt w:val="decimal"/>
        <w:pStyle w:val="Heading1"/>
        <w:lvlText w:val="%1"/>
        <w:lvlJc w:val="left"/>
        <w:pPr>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
        <w:lvlText w:val="%1.%2"/>
        <w:lvlJc w:val="left"/>
        <w:pPr>
          <w:ind w:left="851" w:hanging="851"/>
        </w:pPr>
        <w:rPr>
          <w:rFonts w:hint="default"/>
        </w:rPr>
      </w:lvl>
    </w:lvlOverride>
    <w:lvlOverride w:ilvl="2">
      <w:lvl w:ilvl="2">
        <w:start w:val="1"/>
        <w:numFmt w:val="decimal"/>
        <w:pStyle w:val="Heading3"/>
        <w:lvlText w:val="%1.%2.%3"/>
        <w:lvlJc w:val="left"/>
        <w:pPr>
          <w:ind w:left="851" w:hanging="851"/>
        </w:pPr>
        <w:rPr>
          <w:rFonts w:hint="default"/>
        </w:rPr>
      </w:lvl>
    </w:lvlOverride>
    <w:lvlOverride w:ilvl="3">
      <w:lvl w:ilvl="3">
        <w:start w:val="1"/>
        <w:numFmt w:val="decimal"/>
        <w:pStyle w:val="Heading4"/>
        <w:lvlText w:val="%1.%2.%3.%4"/>
        <w:lvlJc w:val="left"/>
        <w:pPr>
          <w:ind w:left="851" w:hanging="851"/>
        </w:pPr>
        <w:rPr>
          <w:rFonts w:hint="default"/>
          <w:b/>
          <w:i/>
          <w:color w:val="0067AC"/>
          <w:sz w:val="20"/>
        </w:rPr>
      </w:lvl>
    </w:lvlOverride>
    <w:lvlOverride w:ilvl="4">
      <w:lvl w:ilvl="4">
        <w:start w:val="1"/>
        <w:numFmt w:val="decimal"/>
        <w:pStyle w:val="Heading5"/>
        <w:lvlText w:val="%1.%2.%3.%4.%5"/>
        <w:lvlJc w:val="left"/>
        <w:pPr>
          <w:ind w:left="851" w:hanging="851"/>
        </w:pPr>
        <w:rPr>
          <w:rFonts w:ascii="Calibri" w:hAnsi="Calibri" w:hint="default"/>
          <w:b/>
          <w:i/>
          <w:color w:val="0067AC"/>
          <w:sz w:val="20"/>
        </w:rPr>
      </w:lvl>
    </w:lvlOverride>
    <w:lvlOverride w:ilvl="5">
      <w:lvl w:ilvl="5">
        <w:start w:val="1"/>
        <w:numFmt w:val="decimal"/>
        <w:lvlRestart w:val="1"/>
        <w:pStyle w:val="Figure"/>
        <w:lvlText w:val="Figure %1.%6"/>
        <w:lvlJc w:val="left"/>
        <w:pPr>
          <w:tabs>
            <w:tab w:val="num" w:pos="3402"/>
          </w:tabs>
          <w:ind w:left="4479" w:hanging="1077"/>
        </w:pPr>
        <w:rPr>
          <w:rFonts w:ascii="Calibri" w:hAnsi="Calibri" w:hint="default"/>
          <w:color w:val="0067AC"/>
        </w:rPr>
      </w:lvl>
    </w:lvlOverride>
    <w:lvlOverride w:ilvl="6">
      <w:lvl w:ilvl="6">
        <w:start w:val="1"/>
        <w:numFmt w:val="decimal"/>
        <w:lvlRestart w:val="1"/>
        <w:pStyle w:val="Table"/>
        <w:lvlText w:val="Table %1.%7"/>
        <w:lvlJc w:val="left"/>
        <w:pPr>
          <w:tabs>
            <w:tab w:val="num" w:pos="2976"/>
          </w:tabs>
          <w:ind w:left="4053" w:hanging="1077"/>
        </w:pPr>
        <w:rPr>
          <w:rFonts w:ascii="Calibri" w:hAnsi="Calibri" w:hint="default"/>
        </w:rPr>
      </w:lvl>
    </w:lvlOverride>
    <w:lvlOverride w:ilvl="7">
      <w:lvl w:ilvl="7">
        <w:start w:val="1"/>
        <w:numFmt w:val="decimal"/>
        <w:lvlRestart w:val="1"/>
        <w:pStyle w:val="Box"/>
        <w:lvlText w:val="Box %1.%8"/>
        <w:lvlJc w:val="left"/>
        <w:pPr>
          <w:ind w:left="1928" w:hanging="1077"/>
        </w:pPr>
        <w:rPr>
          <w:rFonts w:ascii="Calibri" w:hAnsi="Calibri" w:hint="default"/>
          <w:color w:val="0067AC"/>
        </w:rPr>
      </w:lvl>
    </w:lvlOverride>
    <w:lvlOverride w:ilvl="8">
      <w:lvl w:ilvl="8">
        <w:start w:val="1"/>
        <w:numFmt w:val="none"/>
        <w:lvlText w:val=""/>
        <w:lvlJc w:val="left"/>
        <w:pPr>
          <w:ind w:left="425" w:hanging="425"/>
        </w:pPr>
        <w:rPr>
          <w:rFonts w:ascii="Georgia" w:hAnsi="Georgia" w:hint="default"/>
          <w:color w:val="0067AC" w:themeColor="text2"/>
        </w:rPr>
      </w:lvl>
    </w:lvlOverride>
  </w:num>
  <w:num w:numId="20">
    <w:abstractNumId w:val="30"/>
  </w:num>
  <w:num w:numId="21">
    <w:abstractNumId w:val="40"/>
  </w:num>
  <w:num w:numId="22">
    <w:abstractNumId w:val="18"/>
  </w:num>
  <w:num w:numId="23">
    <w:abstractNumId w:val="22"/>
  </w:num>
  <w:num w:numId="24">
    <w:abstractNumId w:val="41"/>
  </w:num>
  <w:num w:numId="25">
    <w:abstractNumId w:val="35"/>
  </w:num>
  <w:num w:numId="26">
    <w:abstractNumId w:val="28"/>
  </w:num>
  <w:num w:numId="27">
    <w:abstractNumId w:val="50"/>
    <w:lvlOverride w:ilvl="0">
      <w:lvl w:ilvl="0">
        <w:start w:val="1"/>
        <w:numFmt w:val="decimal"/>
        <w:pStyle w:val="AnnexHeading"/>
        <w:lvlText w:val="Annex %1"/>
        <w:lvlJc w:val="left"/>
        <w:pPr>
          <w:tabs>
            <w:tab w:val="num" w:pos="1304"/>
          </w:tabs>
          <w:ind w:left="1304" w:hanging="1304"/>
        </w:pPr>
        <w:rPr>
          <w:rFonts w:hint="default"/>
        </w:rPr>
      </w:lvl>
    </w:lvlOverride>
  </w:num>
  <w:num w:numId="28">
    <w:abstractNumId w:val="44"/>
  </w:num>
  <w:num w:numId="29">
    <w:abstractNumId w:val="37"/>
  </w:num>
  <w:num w:numId="30">
    <w:abstractNumId w:val="24"/>
  </w:num>
  <w:num w:numId="31">
    <w:abstractNumId w:val="47"/>
  </w:num>
  <w:num w:numId="32">
    <w:abstractNumId w:val="31"/>
  </w:num>
  <w:num w:numId="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num>
  <w:num w:numId="35">
    <w:abstractNumId w:val="46"/>
    <w:lvlOverride w:ilvl="0">
      <w:startOverride w:val="1"/>
      <w:lvl w:ilvl="0">
        <w:start w:val="1"/>
        <w:numFmt w:val="decimal"/>
        <w:pStyle w:val="Heading1"/>
        <w:lvlText w:val="%1"/>
        <w:lvlJc w:val="left"/>
        <w:pPr>
          <w:ind w:left="851" w:hanging="851"/>
        </w:pPr>
        <w:rPr>
          <w:rFonts w:hint="default"/>
        </w:rPr>
      </w:lvl>
    </w:lvlOverride>
    <w:lvlOverride w:ilvl="1">
      <w:startOverride w:val="1"/>
      <w:lvl w:ilvl="1">
        <w:start w:val="1"/>
        <w:numFmt w:val="decimal"/>
        <w:pStyle w:val="Heading2"/>
        <w:lvlText w:val="%1.%2"/>
        <w:lvlJc w:val="left"/>
        <w:pPr>
          <w:ind w:left="851" w:hanging="851"/>
        </w:pPr>
        <w:rPr>
          <w:rFonts w:hint="default"/>
        </w:rPr>
      </w:lvl>
    </w:lvlOverride>
    <w:lvlOverride w:ilvl="2">
      <w:startOverride w:val="1"/>
      <w:lvl w:ilvl="2">
        <w:start w:val="1"/>
        <w:numFmt w:val="decimal"/>
        <w:pStyle w:val="Heading3"/>
        <w:lvlText w:val="%1.%2.%3"/>
        <w:lvlJc w:val="left"/>
        <w:pPr>
          <w:ind w:left="851" w:hanging="851"/>
        </w:pPr>
        <w:rPr>
          <w:rFonts w:hint="default"/>
        </w:rPr>
      </w:lvl>
    </w:lvlOverride>
    <w:lvlOverride w:ilvl="3">
      <w:startOverride w:val="1"/>
      <w:lvl w:ilvl="3">
        <w:start w:val="1"/>
        <w:numFmt w:val="decimal"/>
        <w:pStyle w:val="Heading4"/>
        <w:lvlText w:val="%1.%2.%3.%4"/>
        <w:lvlJc w:val="left"/>
        <w:pPr>
          <w:ind w:left="851" w:hanging="851"/>
        </w:pPr>
        <w:rPr>
          <w:rFonts w:hint="default"/>
          <w:b/>
          <w:i/>
          <w:color w:val="0067AC"/>
          <w:sz w:val="20"/>
        </w:rPr>
      </w:lvl>
    </w:lvlOverride>
    <w:lvlOverride w:ilvl="4">
      <w:startOverride w:val="1"/>
      <w:lvl w:ilvl="4">
        <w:start w:val="1"/>
        <w:numFmt w:val="decimal"/>
        <w:pStyle w:val="Heading5"/>
        <w:lvlText w:val="%1.%2.%3.%4.%5"/>
        <w:lvlJc w:val="left"/>
        <w:pPr>
          <w:ind w:left="851" w:hanging="851"/>
        </w:pPr>
        <w:rPr>
          <w:rFonts w:ascii="Calibri" w:hAnsi="Calibri" w:hint="default"/>
          <w:b/>
          <w:i/>
          <w:color w:val="0067AC"/>
          <w:sz w:val="20"/>
        </w:rPr>
      </w:lvl>
    </w:lvlOverride>
    <w:lvlOverride w:ilvl="5">
      <w:startOverride w:val="1"/>
      <w:lvl w:ilvl="5">
        <w:start w:val="1"/>
        <w:numFmt w:val="decimal"/>
        <w:lvlRestart w:val="1"/>
        <w:pStyle w:val="Figure"/>
        <w:lvlText w:val="Figure %1.%6"/>
        <w:lvlJc w:val="left"/>
        <w:pPr>
          <w:tabs>
            <w:tab w:val="num" w:pos="851"/>
          </w:tabs>
          <w:ind w:left="1928" w:hanging="1077"/>
        </w:pPr>
        <w:rPr>
          <w:rFonts w:ascii="Calibri" w:hAnsi="Calibri" w:hint="default"/>
          <w:color w:val="0067AC"/>
        </w:rPr>
      </w:lvl>
    </w:lvlOverride>
    <w:lvlOverride w:ilvl="6">
      <w:startOverride w:val="1"/>
      <w:lvl w:ilvl="6">
        <w:start w:val="1"/>
        <w:numFmt w:val="decimal"/>
        <w:lvlRestart w:val="1"/>
        <w:pStyle w:val="Table"/>
        <w:lvlText w:val="Table %1.%7"/>
        <w:lvlJc w:val="left"/>
        <w:pPr>
          <w:tabs>
            <w:tab w:val="num" w:pos="851"/>
          </w:tabs>
          <w:ind w:left="1928" w:hanging="1077"/>
        </w:pPr>
        <w:rPr>
          <w:rFonts w:ascii="Calibri" w:hAnsi="Calibri" w:hint="default"/>
        </w:rPr>
      </w:lvl>
    </w:lvlOverride>
    <w:lvlOverride w:ilvl="7">
      <w:startOverride w:val="1"/>
      <w:lvl w:ilvl="7">
        <w:start w:val="1"/>
        <w:numFmt w:val="decimal"/>
        <w:lvlRestart w:val="1"/>
        <w:pStyle w:val="Box"/>
        <w:lvlText w:val="Box %1.%8"/>
        <w:lvlJc w:val="left"/>
        <w:pPr>
          <w:ind w:left="1928" w:hanging="1077"/>
        </w:pPr>
        <w:rPr>
          <w:rFonts w:ascii="Calibri" w:hAnsi="Calibri" w:hint="default"/>
          <w:color w:val="0067AC"/>
        </w:rPr>
      </w:lvl>
    </w:lvlOverride>
    <w:lvlOverride w:ilvl="8">
      <w:startOverride w:val="1"/>
      <w:lvl w:ilvl="8">
        <w:start w:val="1"/>
        <w:numFmt w:val="none"/>
        <w:lvlText w:val=""/>
        <w:lvlJc w:val="left"/>
        <w:pPr>
          <w:ind w:left="425" w:hanging="425"/>
        </w:pPr>
        <w:rPr>
          <w:rFonts w:ascii="Georgia" w:hAnsi="Georgia" w:hint="default"/>
          <w:color w:val="0067AC" w:themeColor="text2"/>
        </w:rPr>
      </w:lvl>
    </w:lvlOverride>
  </w:num>
  <w:num w:numId="36">
    <w:abstractNumId w:val="46"/>
  </w:num>
  <w:num w:numId="37">
    <w:abstractNumId w:val="4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num>
  <w:num w:numId="39">
    <w:abstractNumId w:val="42"/>
  </w:num>
  <w:num w:numId="40">
    <w:abstractNumId w:val="36"/>
  </w:num>
  <w:num w:numId="41">
    <w:abstractNumId w:val="49"/>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46"/>
    <w:lvlOverride w:ilvl="0">
      <w:lvl w:ilvl="0">
        <w:start w:val="1"/>
        <w:numFmt w:val="decimal"/>
        <w:pStyle w:val="Heading1"/>
        <w:lvlText w:val="%1"/>
        <w:lvlJc w:val="left"/>
        <w:pPr>
          <w:ind w:left="851" w:hanging="851"/>
        </w:pPr>
        <w:rPr>
          <w:rFonts w:hint="default"/>
        </w:rPr>
      </w:lvl>
    </w:lvlOverride>
    <w:lvlOverride w:ilvl="1">
      <w:lvl w:ilvl="1">
        <w:start w:val="1"/>
        <w:numFmt w:val="decimal"/>
        <w:pStyle w:val="Heading2"/>
        <w:lvlText w:val="%1.%2"/>
        <w:lvlJc w:val="left"/>
        <w:pPr>
          <w:ind w:left="851" w:hanging="851"/>
        </w:pPr>
        <w:rPr>
          <w:rFonts w:hint="default"/>
        </w:rPr>
      </w:lvl>
    </w:lvlOverride>
    <w:lvlOverride w:ilvl="2">
      <w:lvl w:ilvl="2">
        <w:start w:val="1"/>
        <w:numFmt w:val="decimal"/>
        <w:pStyle w:val="Heading3"/>
        <w:lvlText w:val="%1.%2.%3"/>
        <w:lvlJc w:val="left"/>
        <w:pPr>
          <w:ind w:left="851" w:hanging="851"/>
        </w:pPr>
        <w:rPr>
          <w:rFonts w:hint="default"/>
        </w:rPr>
      </w:lvl>
    </w:lvlOverride>
    <w:lvlOverride w:ilvl="3">
      <w:lvl w:ilvl="3">
        <w:start w:val="1"/>
        <w:numFmt w:val="decimal"/>
        <w:pStyle w:val="Heading4"/>
        <w:lvlText w:val="%1.%2.%3.%4"/>
        <w:lvlJc w:val="left"/>
        <w:pPr>
          <w:ind w:left="851" w:hanging="851"/>
        </w:pPr>
        <w:rPr>
          <w:rFonts w:hint="default"/>
          <w:b/>
          <w:i/>
          <w:color w:val="0067AC"/>
          <w:sz w:val="20"/>
        </w:rPr>
      </w:lvl>
    </w:lvlOverride>
    <w:lvlOverride w:ilvl="4">
      <w:lvl w:ilvl="4">
        <w:start w:val="1"/>
        <w:numFmt w:val="decimal"/>
        <w:pStyle w:val="Heading5"/>
        <w:lvlText w:val="%1.%2.%3.%4.%5"/>
        <w:lvlJc w:val="left"/>
        <w:pPr>
          <w:ind w:left="851" w:hanging="851"/>
        </w:pPr>
        <w:rPr>
          <w:rFonts w:ascii="Calibri" w:hAnsi="Calibri" w:hint="default"/>
          <w:b/>
          <w:i/>
          <w:color w:val="0067AC"/>
          <w:sz w:val="20"/>
        </w:rPr>
      </w:lvl>
    </w:lvlOverride>
    <w:lvlOverride w:ilvl="5">
      <w:lvl w:ilvl="5">
        <w:start w:val="1"/>
        <w:numFmt w:val="decimal"/>
        <w:lvlRestart w:val="1"/>
        <w:pStyle w:val="Figure"/>
        <w:lvlText w:val="Figure %1.%6"/>
        <w:lvlJc w:val="left"/>
        <w:pPr>
          <w:tabs>
            <w:tab w:val="num" w:pos="851"/>
          </w:tabs>
          <w:ind w:left="1928" w:hanging="1077"/>
        </w:pPr>
        <w:rPr>
          <w:rFonts w:ascii="Calibri" w:hAnsi="Calibri" w:hint="default"/>
          <w:color w:val="0067AC"/>
        </w:rPr>
      </w:lvl>
    </w:lvlOverride>
    <w:lvlOverride w:ilvl="6">
      <w:lvl w:ilvl="6">
        <w:start w:val="1"/>
        <w:numFmt w:val="decimal"/>
        <w:lvlRestart w:val="1"/>
        <w:pStyle w:val="Table"/>
        <w:lvlText w:val="Table %1.%7"/>
        <w:lvlJc w:val="left"/>
        <w:pPr>
          <w:tabs>
            <w:tab w:val="num" w:pos="851"/>
          </w:tabs>
          <w:ind w:left="1928" w:hanging="1077"/>
        </w:pPr>
        <w:rPr>
          <w:rFonts w:ascii="Calibri" w:hAnsi="Calibri" w:hint="default"/>
        </w:rPr>
      </w:lvl>
    </w:lvlOverride>
    <w:lvlOverride w:ilvl="7">
      <w:lvl w:ilvl="7">
        <w:start w:val="1"/>
        <w:numFmt w:val="decimal"/>
        <w:lvlRestart w:val="1"/>
        <w:pStyle w:val="Box"/>
        <w:lvlText w:val="Box %1.%8"/>
        <w:lvlJc w:val="left"/>
        <w:pPr>
          <w:ind w:left="1928" w:hanging="1077"/>
        </w:pPr>
        <w:rPr>
          <w:rFonts w:ascii="Calibri" w:hAnsi="Calibri" w:hint="default"/>
          <w:color w:val="0067AC"/>
        </w:rPr>
      </w:lvl>
    </w:lvlOverride>
    <w:lvlOverride w:ilvl="8">
      <w:lvl w:ilvl="8">
        <w:start w:val="1"/>
        <w:numFmt w:val="none"/>
        <w:lvlText w:val=""/>
        <w:lvlJc w:val="left"/>
        <w:pPr>
          <w:ind w:left="425" w:hanging="425"/>
        </w:pPr>
        <w:rPr>
          <w:rFonts w:ascii="Georgia" w:hAnsi="Georgia" w:hint="default"/>
          <w:color w:val="0067AC" w:themeColor="text2"/>
        </w:rPr>
      </w:lvl>
    </w:lvlOverride>
  </w:num>
  <w:num w:numId="45">
    <w:abstractNumId w:val="27"/>
  </w:num>
  <w:num w:numId="46">
    <w:abstractNumId w:val="51"/>
  </w:num>
  <w:num w:numId="47">
    <w:abstractNumId w:val="29"/>
  </w:num>
  <w:num w:numId="48">
    <w:abstractNumId w:val="22"/>
  </w:num>
  <w:num w:numId="49">
    <w:abstractNumId w:val="22"/>
  </w:num>
  <w:num w:numId="50">
    <w:abstractNumId w:val="4"/>
  </w:num>
  <w:num w:numId="51">
    <w:abstractNumId w:val="8"/>
  </w:num>
  <w:num w:numId="52">
    <w:abstractNumId w:val="3"/>
  </w:num>
  <w:num w:numId="53">
    <w:abstractNumId w:val="2"/>
  </w:num>
  <w:num w:numId="54">
    <w:abstractNumId w:val="1"/>
  </w:num>
  <w:num w:numId="55">
    <w:abstractNumId w:val="0"/>
  </w:num>
  <w:num w:numId="56">
    <w:abstractNumId w:val="46"/>
    <w:lvlOverride w:ilvl="0">
      <w:lvl w:ilvl="0">
        <w:start w:val="1"/>
        <w:numFmt w:val="decimal"/>
        <w:pStyle w:val="Heading1"/>
        <w:lvlText w:val="%1"/>
        <w:lvlJc w:val="left"/>
        <w:pPr>
          <w:ind w:left="851" w:hanging="851"/>
        </w:pPr>
        <w:rPr>
          <w:rFonts w:hint="default"/>
        </w:rPr>
      </w:lvl>
    </w:lvlOverride>
    <w:lvlOverride w:ilvl="1">
      <w:lvl w:ilvl="1">
        <w:start w:val="1"/>
        <w:numFmt w:val="decimal"/>
        <w:pStyle w:val="Heading2"/>
        <w:lvlText w:val="%1.%2"/>
        <w:lvlJc w:val="left"/>
        <w:pPr>
          <w:ind w:left="851" w:hanging="851"/>
        </w:pPr>
        <w:rPr>
          <w:rFonts w:hint="default"/>
        </w:rPr>
      </w:lvl>
    </w:lvlOverride>
    <w:lvlOverride w:ilvl="2">
      <w:lvl w:ilvl="2">
        <w:start w:val="1"/>
        <w:numFmt w:val="decimal"/>
        <w:pStyle w:val="Heading3"/>
        <w:lvlText w:val="%1.%2.%3"/>
        <w:lvlJc w:val="left"/>
        <w:pPr>
          <w:ind w:left="993" w:hanging="851"/>
        </w:pPr>
        <w:rPr>
          <w:rFonts w:hint="default"/>
        </w:rPr>
      </w:lvl>
    </w:lvlOverride>
    <w:lvlOverride w:ilvl="3">
      <w:lvl w:ilvl="3">
        <w:start w:val="1"/>
        <w:numFmt w:val="decimal"/>
        <w:pStyle w:val="Heading4"/>
        <w:lvlText w:val="%1.%2.%3.%4"/>
        <w:lvlJc w:val="left"/>
        <w:pPr>
          <w:ind w:left="851" w:hanging="851"/>
        </w:pPr>
        <w:rPr>
          <w:rFonts w:hint="default"/>
          <w:b/>
          <w:i/>
          <w:color w:val="0067AC"/>
          <w:sz w:val="20"/>
        </w:rPr>
      </w:lvl>
    </w:lvlOverride>
    <w:lvlOverride w:ilvl="4">
      <w:lvl w:ilvl="4">
        <w:start w:val="1"/>
        <w:numFmt w:val="decimal"/>
        <w:pStyle w:val="Heading5"/>
        <w:lvlText w:val="%1.%2.%3.%4.%5"/>
        <w:lvlJc w:val="left"/>
        <w:pPr>
          <w:ind w:left="851" w:hanging="851"/>
        </w:pPr>
        <w:rPr>
          <w:rFonts w:ascii="Calibri" w:hAnsi="Calibri" w:hint="default"/>
          <w:b/>
          <w:i/>
          <w:color w:val="0067AC"/>
          <w:sz w:val="20"/>
        </w:rPr>
      </w:lvl>
    </w:lvlOverride>
    <w:lvlOverride w:ilvl="5">
      <w:lvl w:ilvl="5">
        <w:start w:val="1"/>
        <w:numFmt w:val="decimal"/>
        <w:lvlRestart w:val="1"/>
        <w:pStyle w:val="Figure"/>
        <w:lvlText w:val="Figure %1.%6"/>
        <w:lvlJc w:val="left"/>
        <w:pPr>
          <w:tabs>
            <w:tab w:val="num" w:pos="851"/>
          </w:tabs>
          <w:ind w:left="1928" w:hanging="1077"/>
        </w:pPr>
        <w:rPr>
          <w:rFonts w:ascii="Calibri" w:hAnsi="Calibri" w:hint="default"/>
          <w:color w:val="0067AC"/>
        </w:rPr>
      </w:lvl>
    </w:lvlOverride>
    <w:lvlOverride w:ilvl="6">
      <w:lvl w:ilvl="6">
        <w:start w:val="1"/>
        <w:numFmt w:val="decimal"/>
        <w:lvlRestart w:val="1"/>
        <w:pStyle w:val="Table"/>
        <w:lvlText w:val="Table %1.%7"/>
        <w:lvlJc w:val="left"/>
        <w:pPr>
          <w:tabs>
            <w:tab w:val="num" w:pos="851"/>
          </w:tabs>
          <w:ind w:left="1928" w:hanging="1077"/>
        </w:pPr>
        <w:rPr>
          <w:rFonts w:ascii="Calibri" w:hAnsi="Calibri" w:hint="default"/>
        </w:rPr>
      </w:lvl>
    </w:lvlOverride>
    <w:lvlOverride w:ilvl="7">
      <w:lvl w:ilvl="7">
        <w:start w:val="1"/>
        <w:numFmt w:val="decimal"/>
        <w:lvlRestart w:val="1"/>
        <w:pStyle w:val="Box"/>
        <w:lvlText w:val="Box %1.%8"/>
        <w:lvlJc w:val="left"/>
        <w:pPr>
          <w:ind w:left="1928" w:hanging="1077"/>
        </w:pPr>
        <w:rPr>
          <w:rFonts w:ascii="Calibri" w:hAnsi="Calibri" w:hint="default"/>
          <w:color w:val="0067AC"/>
        </w:rPr>
      </w:lvl>
    </w:lvlOverride>
    <w:lvlOverride w:ilvl="8">
      <w:lvl w:ilvl="8">
        <w:start w:val="1"/>
        <w:numFmt w:val="none"/>
        <w:lvlText w:val=""/>
        <w:lvlJc w:val="left"/>
        <w:pPr>
          <w:ind w:left="425" w:hanging="425"/>
        </w:pPr>
        <w:rPr>
          <w:rFonts w:ascii="Georgia" w:hAnsi="Georgia" w:hint="default"/>
          <w:color w:val="0067AC" w:themeColor="text2"/>
        </w:rPr>
      </w:lvl>
    </w:lvlOverride>
  </w:num>
  <w:num w:numId="57">
    <w:abstractNumId w:val="14"/>
  </w:num>
  <w:num w:numId="58">
    <w:abstractNumId w:val="33"/>
  </w:num>
  <w:num w:numId="59">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B04" w:allStyles="0" w:customStyles="0" w:latentStyles="1" w:stylesInUse="0" w:headingStyles="0" w:numberingStyles="0" w:tableStyles="0" w:directFormattingOnRuns="1" w:directFormattingOnParagraphs="1" w:directFormattingOnNumbering="0" w:directFormattingOnTables="1" w:clearFormatting="1" w:top3HeadingStyles="1" w:visibleStyles="0" w:alternateStyleNames="0"/>
  <w:defaultTabStop w:val="851"/>
  <w:drawingGridHorizontalSpacing w:val="10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ntentsPage" w:val="True"/>
    <w:docVar w:name="ContentsPageFiguresTOC" w:val="False"/>
    <w:docVar w:name="ContentsPageTableTOC" w:val="False"/>
    <w:docVar w:name="ContentsPageTOCAnnex" w:val="True"/>
    <w:docVar w:name="ContentsPageTOCExec" w:val="True"/>
    <w:docVar w:name="ContentsPageTOCType1" w:val="1"/>
    <w:docVar w:name="CurrentTemplateVersion" w:val="6.20"/>
    <w:docVar w:name="DocReport" w:val="True"/>
    <w:docVar w:name="ExecSummaryPage" w:val="True"/>
    <w:docVar w:name="FooterVersion" w:val=" "/>
    <w:docVar w:name="HeaderText" w:val=" "/>
    <w:docVar w:name="ICFCompany" w:val="ICF Consulting Limited"/>
    <w:docVar w:name="ICFOffice" w:val="London (ICF Consulting Services Ltd)"/>
    <w:docVar w:name="InitialTemplateVersion" w:val="6.20"/>
    <w:docVar w:name="InsideTitlePage" w:val="True"/>
    <w:docVar w:name="ReportClientInfo" w:val="True"/>
    <w:docVar w:name="ReportOption1" w:val="True"/>
    <w:docVar w:name="TitlePage" w:val="True"/>
    <w:docVar w:name="TitlePageImageName" w:val="Climate 3 - Coloured.jpg"/>
  </w:docVars>
  <w:rsids>
    <w:rsidRoot w:val="00CA5B8E"/>
    <w:rsid w:val="000002F3"/>
    <w:rsid w:val="000005F4"/>
    <w:rsid w:val="00000791"/>
    <w:rsid w:val="00000C93"/>
    <w:rsid w:val="00001A14"/>
    <w:rsid w:val="00001ED0"/>
    <w:rsid w:val="00002939"/>
    <w:rsid w:val="000032D9"/>
    <w:rsid w:val="00004F6C"/>
    <w:rsid w:val="00005A26"/>
    <w:rsid w:val="0000759E"/>
    <w:rsid w:val="00007651"/>
    <w:rsid w:val="00011AAB"/>
    <w:rsid w:val="000142F4"/>
    <w:rsid w:val="000167D6"/>
    <w:rsid w:val="000174C7"/>
    <w:rsid w:val="000207BD"/>
    <w:rsid w:val="00021CE5"/>
    <w:rsid w:val="00024986"/>
    <w:rsid w:val="00026010"/>
    <w:rsid w:val="00026E16"/>
    <w:rsid w:val="00027196"/>
    <w:rsid w:val="00032CB4"/>
    <w:rsid w:val="00034269"/>
    <w:rsid w:val="0003453F"/>
    <w:rsid w:val="00034691"/>
    <w:rsid w:val="000415C7"/>
    <w:rsid w:val="000429B8"/>
    <w:rsid w:val="0004603C"/>
    <w:rsid w:val="0005425D"/>
    <w:rsid w:val="000576DF"/>
    <w:rsid w:val="00065855"/>
    <w:rsid w:val="00066A93"/>
    <w:rsid w:val="00066BF5"/>
    <w:rsid w:val="00067CD8"/>
    <w:rsid w:val="00070C78"/>
    <w:rsid w:val="000715F8"/>
    <w:rsid w:val="00073778"/>
    <w:rsid w:val="000742F4"/>
    <w:rsid w:val="00075B95"/>
    <w:rsid w:val="00075DD0"/>
    <w:rsid w:val="000770C0"/>
    <w:rsid w:val="0008291B"/>
    <w:rsid w:val="00082CFB"/>
    <w:rsid w:val="00082DF1"/>
    <w:rsid w:val="00083B20"/>
    <w:rsid w:val="00084528"/>
    <w:rsid w:val="000869CD"/>
    <w:rsid w:val="0008717B"/>
    <w:rsid w:val="00087F7A"/>
    <w:rsid w:val="000904CF"/>
    <w:rsid w:val="00091F04"/>
    <w:rsid w:val="000927EF"/>
    <w:rsid w:val="00093B43"/>
    <w:rsid w:val="0009599B"/>
    <w:rsid w:val="00095BA6"/>
    <w:rsid w:val="00095DED"/>
    <w:rsid w:val="0009675F"/>
    <w:rsid w:val="000972AD"/>
    <w:rsid w:val="000A35C8"/>
    <w:rsid w:val="000A49DC"/>
    <w:rsid w:val="000A5CCF"/>
    <w:rsid w:val="000A5F31"/>
    <w:rsid w:val="000A636C"/>
    <w:rsid w:val="000A71F4"/>
    <w:rsid w:val="000A7315"/>
    <w:rsid w:val="000A76DA"/>
    <w:rsid w:val="000A7E2C"/>
    <w:rsid w:val="000B14B1"/>
    <w:rsid w:val="000B151B"/>
    <w:rsid w:val="000B24D3"/>
    <w:rsid w:val="000B33DE"/>
    <w:rsid w:val="000B5542"/>
    <w:rsid w:val="000B738F"/>
    <w:rsid w:val="000B7B34"/>
    <w:rsid w:val="000C43B2"/>
    <w:rsid w:val="000C4B0C"/>
    <w:rsid w:val="000C6C9E"/>
    <w:rsid w:val="000C7D31"/>
    <w:rsid w:val="000D0454"/>
    <w:rsid w:val="000D1317"/>
    <w:rsid w:val="000D2EB6"/>
    <w:rsid w:val="000D354F"/>
    <w:rsid w:val="000D47D5"/>
    <w:rsid w:val="000D4CA6"/>
    <w:rsid w:val="000E1441"/>
    <w:rsid w:val="000E2B5C"/>
    <w:rsid w:val="000E4B83"/>
    <w:rsid w:val="000E5D1E"/>
    <w:rsid w:val="000E62A1"/>
    <w:rsid w:val="000E7662"/>
    <w:rsid w:val="000E7F9D"/>
    <w:rsid w:val="000F0A27"/>
    <w:rsid w:val="000F2DA6"/>
    <w:rsid w:val="000F7B8B"/>
    <w:rsid w:val="000F7EC6"/>
    <w:rsid w:val="001016E9"/>
    <w:rsid w:val="0010277E"/>
    <w:rsid w:val="00103E28"/>
    <w:rsid w:val="00105F0A"/>
    <w:rsid w:val="0011071D"/>
    <w:rsid w:val="00110FFD"/>
    <w:rsid w:val="00111107"/>
    <w:rsid w:val="001114E8"/>
    <w:rsid w:val="001116D3"/>
    <w:rsid w:val="0011351E"/>
    <w:rsid w:val="00114FBD"/>
    <w:rsid w:val="00117830"/>
    <w:rsid w:val="00120495"/>
    <w:rsid w:val="00123D34"/>
    <w:rsid w:val="00124BD0"/>
    <w:rsid w:val="00124D8B"/>
    <w:rsid w:val="0012553C"/>
    <w:rsid w:val="00130939"/>
    <w:rsid w:val="00135F62"/>
    <w:rsid w:val="00136425"/>
    <w:rsid w:val="001368BD"/>
    <w:rsid w:val="001368FE"/>
    <w:rsid w:val="00137BDC"/>
    <w:rsid w:val="00141A81"/>
    <w:rsid w:val="00141AD4"/>
    <w:rsid w:val="001448F7"/>
    <w:rsid w:val="00145624"/>
    <w:rsid w:val="00146C58"/>
    <w:rsid w:val="00147D47"/>
    <w:rsid w:val="00150EA7"/>
    <w:rsid w:val="00151369"/>
    <w:rsid w:val="00151F29"/>
    <w:rsid w:val="00152CBD"/>
    <w:rsid w:val="00152D19"/>
    <w:rsid w:val="00153642"/>
    <w:rsid w:val="001554C3"/>
    <w:rsid w:val="001578B7"/>
    <w:rsid w:val="00162245"/>
    <w:rsid w:val="00162E98"/>
    <w:rsid w:val="001648BF"/>
    <w:rsid w:val="00165091"/>
    <w:rsid w:val="001655CC"/>
    <w:rsid w:val="00165CAF"/>
    <w:rsid w:val="00167926"/>
    <w:rsid w:val="00170582"/>
    <w:rsid w:val="00171F24"/>
    <w:rsid w:val="00172697"/>
    <w:rsid w:val="001736E1"/>
    <w:rsid w:val="00174333"/>
    <w:rsid w:val="00174800"/>
    <w:rsid w:val="001760B9"/>
    <w:rsid w:val="00176220"/>
    <w:rsid w:val="0017652E"/>
    <w:rsid w:val="00176B08"/>
    <w:rsid w:val="001807E1"/>
    <w:rsid w:val="001809F3"/>
    <w:rsid w:val="001817C4"/>
    <w:rsid w:val="00182166"/>
    <w:rsid w:val="00183320"/>
    <w:rsid w:val="001844C7"/>
    <w:rsid w:val="001851C5"/>
    <w:rsid w:val="00185721"/>
    <w:rsid w:val="001858FD"/>
    <w:rsid w:val="001868D7"/>
    <w:rsid w:val="001869F6"/>
    <w:rsid w:val="00191C0D"/>
    <w:rsid w:val="00192D1A"/>
    <w:rsid w:val="001938F8"/>
    <w:rsid w:val="001943AC"/>
    <w:rsid w:val="001949F2"/>
    <w:rsid w:val="001A1FDE"/>
    <w:rsid w:val="001A2B30"/>
    <w:rsid w:val="001A62A5"/>
    <w:rsid w:val="001A6870"/>
    <w:rsid w:val="001B1C20"/>
    <w:rsid w:val="001B1F0E"/>
    <w:rsid w:val="001B2443"/>
    <w:rsid w:val="001B2612"/>
    <w:rsid w:val="001B5108"/>
    <w:rsid w:val="001B6F36"/>
    <w:rsid w:val="001B71D7"/>
    <w:rsid w:val="001B7D1E"/>
    <w:rsid w:val="001C1208"/>
    <w:rsid w:val="001C134A"/>
    <w:rsid w:val="001C24D0"/>
    <w:rsid w:val="001C2EB5"/>
    <w:rsid w:val="001C3284"/>
    <w:rsid w:val="001C4E00"/>
    <w:rsid w:val="001C5593"/>
    <w:rsid w:val="001C5F8E"/>
    <w:rsid w:val="001C657A"/>
    <w:rsid w:val="001C7BA9"/>
    <w:rsid w:val="001D15FE"/>
    <w:rsid w:val="001D26FF"/>
    <w:rsid w:val="001D2748"/>
    <w:rsid w:val="001D3316"/>
    <w:rsid w:val="001D39FB"/>
    <w:rsid w:val="001D4A64"/>
    <w:rsid w:val="001D4ADD"/>
    <w:rsid w:val="001D69D3"/>
    <w:rsid w:val="001D71B4"/>
    <w:rsid w:val="001D7226"/>
    <w:rsid w:val="001D7DF0"/>
    <w:rsid w:val="001E0711"/>
    <w:rsid w:val="001E0723"/>
    <w:rsid w:val="001E0752"/>
    <w:rsid w:val="001E2063"/>
    <w:rsid w:val="001E33FA"/>
    <w:rsid w:val="001E3574"/>
    <w:rsid w:val="001E3AF7"/>
    <w:rsid w:val="001E43BF"/>
    <w:rsid w:val="001E4CD0"/>
    <w:rsid w:val="001E4ED8"/>
    <w:rsid w:val="001E51AE"/>
    <w:rsid w:val="001E5D45"/>
    <w:rsid w:val="001E63AE"/>
    <w:rsid w:val="001E6E8A"/>
    <w:rsid w:val="001F0141"/>
    <w:rsid w:val="001F133B"/>
    <w:rsid w:val="001F211C"/>
    <w:rsid w:val="001F2842"/>
    <w:rsid w:val="001F5A7E"/>
    <w:rsid w:val="002023E5"/>
    <w:rsid w:val="00203D5C"/>
    <w:rsid w:val="00203FC7"/>
    <w:rsid w:val="00204329"/>
    <w:rsid w:val="00204B02"/>
    <w:rsid w:val="00204C13"/>
    <w:rsid w:val="00206851"/>
    <w:rsid w:val="00207D44"/>
    <w:rsid w:val="00211076"/>
    <w:rsid w:val="002119DF"/>
    <w:rsid w:val="00212962"/>
    <w:rsid w:val="00213A9E"/>
    <w:rsid w:val="00213D1A"/>
    <w:rsid w:val="002153F2"/>
    <w:rsid w:val="002159F5"/>
    <w:rsid w:val="00215DFA"/>
    <w:rsid w:val="002163F8"/>
    <w:rsid w:val="00216E5C"/>
    <w:rsid w:val="002179F1"/>
    <w:rsid w:val="002211C2"/>
    <w:rsid w:val="002218E7"/>
    <w:rsid w:val="00223B39"/>
    <w:rsid w:val="002248F3"/>
    <w:rsid w:val="00227858"/>
    <w:rsid w:val="002305FC"/>
    <w:rsid w:val="00230DE9"/>
    <w:rsid w:val="00231312"/>
    <w:rsid w:val="00233F3D"/>
    <w:rsid w:val="00234128"/>
    <w:rsid w:val="00234EF4"/>
    <w:rsid w:val="0024104F"/>
    <w:rsid w:val="00241A20"/>
    <w:rsid w:val="00243223"/>
    <w:rsid w:val="00243847"/>
    <w:rsid w:val="002449F2"/>
    <w:rsid w:val="00244FC3"/>
    <w:rsid w:val="00244FCA"/>
    <w:rsid w:val="0024644F"/>
    <w:rsid w:val="0024796D"/>
    <w:rsid w:val="00250907"/>
    <w:rsid w:val="00251E47"/>
    <w:rsid w:val="00254E0B"/>
    <w:rsid w:val="00255570"/>
    <w:rsid w:val="00256B5A"/>
    <w:rsid w:val="00256BC8"/>
    <w:rsid w:val="00257AB1"/>
    <w:rsid w:val="002620A2"/>
    <w:rsid w:val="00263351"/>
    <w:rsid w:val="00264A31"/>
    <w:rsid w:val="002650A3"/>
    <w:rsid w:val="00265C20"/>
    <w:rsid w:val="002675FB"/>
    <w:rsid w:val="002725DD"/>
    <w:rsid w:val="00273225"/>
    <w:rsid w:val="00273C30"/>
    <w:rsid w:val="0027409A"/>
    <w:rsid w:val="002759DC"/>
    <w:rsid w:val="002769E4"/>
    <w:rsid w:val="00280668"/>
    <w:rsid w:val="00281FA6"/>
    <w:rsid w:val="00284965"/>
    <w:rsid w:val="00285C8F"/>
    <w:rsid w:val="00287D85"/>
    <w:rsid w:val="00290380"/>
    <w:rsid w:val="0029157B"/>
    <w:rsid w:val="00292A18"/>
    <w:rsid w:val="00292C2B"/>
    <w:rsid w:val="00292E8F"/>
    <w:rsid w:val="0029367C"/>
    <w:rsid w:val="0029512C"/>
    <w:rsid w:val="00296A66"/>
    <w:rsid w:val="002978F8"/>
    <w:rsid w:val="002A338B"/>
    <w:rsid w:val="002A3EF5"/>
    <w:rsid w:val="002A476C"/>
    <w:rsid w:val="002A4F65"/>
    <w:rsid w:val="002A5002"/>
    <w:rsid w:val="002B03E0"/>
    <w:rsid w:val="002B0C2C"/>
    <w:rsid w:val="002B10CB"/>
    <w:rsid w:val="002B1963"/>
    <w:rsid w:val="002B29C2"/>
    <w:rsid w:val="002B2F02"/>
    <w:rsid w:val="002B359F"/>
    <w:rsid w:val="002B3B7F"/>
    <w:rsid w:val="002B56FB"/>
    <w:rsid w:val="002B7716"/>
    <w:rsid w:val="002C1AFA"/>
    <w:rsid w:val="002C2E21"/>
    <w:rsid w:val="002C350B"/>
    <w:rsid w:val="002C38D3"/>
    <w:rsid w:val="002C3A68"/>
    <w:rsid w:val="002C44BC"/>
    <w:rsid w:val="002C4B6F"/>
    <w:rsid w:val="002D48BF"/>
    <w:rsid w:val="002D4BF7"/>
    <w:rsid w:val="002E5F2F"/>
    <w:rsid w:val="002E776D"/>
    <w:rsid w:val="002F0929"/>
    <w:rsid w:val="002F0FB4"/>
    <w:rsid w:val="002F10BB"/>
    <w:rsid w:val="002F3542"/>
    <w:rsid w:val="0030062C"/>
    <w:rsid w:val="00300A57"/>
    <w:rsid w:val="003016AD"/>
    <w:rsid w:val="0030260C"/>
    <w:rsid w:val="00303262"/>
    <w:rsid w:val="0030346B"/>
    <w:rsid w:val="00304A33"/>
    <w:rsid w:val="00306292"/>
    <w:rsid w:val="00306B77"/>
    <w:rsid w:val="00307870"/>
    <w:rsid w:val="00310573"/>
    <w:rsid w:val="0031065A"/>
    <w:rsid w:val="003107D0"/>
    <w:rsid w:val="003114F4"/>
    <w:rsid w:val="003120EA"/>
    <w:rsid w:val="00312372"/>
    <w:rsid w:val="00312E80"/>
    <w:rsid w:val="00313589"/>
    <w:rsid w:val="003150A0"/>
    <w:rsid w:val="0031553F"/>
    <w:rsid w:val="0032006A"/>
    <w:rsid w:val="00323685"/>
    <w:rsid w:val="0032396D"/>
    <w:rsid w:val="00323E73"/>
    <w:rsid w:val="00325EDB"/>
    <w:rsid w:val="00326662"/>
    <w:rsid w:val="003273E1"/>
    <w:rsid w:val="00327BF6"/>
    <w:rsid w:val="0033183B"/>
    <w:rsid w:val="00331A46"/>
    <w:rsid w:val="0033791B"/>
    <w:rsid w:val="00337949"/>
    <w:rsid w:val="00340E3A"/>
    <w:rsid w:val="0034237C"/>
    <w:rsid w:val="0034310E"/>
    <w:rsid w:val="00343EA0"/>
    <w:rsid w:val="00344C48"/>
    <w:rsid w:val="00345D27"/>
    <w:rsid w:val="003477AD"/>
    <w:rsid w:val="00347FE2"/>
    <w:rsid w:val="003503D4"/>
    <w:rsid w:val="00350C79"/>
    <w:rsid w:val="00351252"/>
    <w:rsid w:val="00351CC0"/>
    <w:rsid w:val="003530CF"/>
    <w:rsid w:val="00353DA6"/>
    <w:rsid w:val="00354098"/>
    <w:rsid w:val="00355A89"/>
    <w:rsid w:val="00356A2B"/>
    <w:rsid w:val="00357A31"/>
    <w:rsid w:val="003615B0"/>
    <w:rsid w:val="00361A03"/>
    <w:rsid w:val="00361D39"/>
    <w:rsid w:val="00362227"/>
    <w:rsid w:val="00362253"/>
    <w:rsid w:val="00364C19"/>
    <w:rsid w:val="00366762"/>
    <w:rsid w:val="003678AA"/>
    <w:rsid w:val="003678F5"/>
    <w:rsid w:val="00367A05"/>
    <w:rsid w:val="00370860"/>
    <w:rsid w:val="00370C6A"/>
    <w:rsid w:val="00373077"/>
    <w:rsid w:val="00373224"/>
    <w:rsid w:val="003733D6"/>
    <w:rsid w:val="0037371E"/>
    <w:rsid w:val="003740C4"/>
    <w:rsid w:val="00374A59"/>
    <w:rsid w:val="00374E53"/>
    <w:rsid w:val="003760DC"/>
    <w:rsid w:val="003763D1"/>
    <w:rsid w:val="003777D6"/>
    <w:rsid w:val="00380585"/>
    <w:rsid w:val="00381826"/>
    <w:rsid w:val="00382388"/>
    <w:rsid w:val="00382968"/>
    <w:rsid w:val="003835CE"/>
    <w:rsid w:val="00383825"/>
    <w:rsid w:val="00384D14"/>
    <w:rsid w:val="003860E7"/>
    <w:rsid w:val="0039029D"/>
    <w:rsid w:val="00390F5E"/>
    <w:rsid w:val="00391BEC"/>
    <w:rsid w:val="00392544"/>
    <w:rsid w:val="003935CF"/>
    <w:rsid w:val="0039458B"/>
    <w:rsid w:val="00395CE1"/>
    <w:rsid w:val="0039694A"/>
    <w:rsid w:val="003A00E0"/>
    <w:rsid w:val="003A03EE"/>
    <w:rsid w:val="003A06EE"/>
    <w:rsid w:val="003A0D64"/>
    <w:rsid w:val="003A0D71"/>
    <w:rsid w:val="003A1332"/>
    <w:rsid w:val="003A262C"/>
    <w:rsid w:val="003A46D3"/>
    <w:rsid w:val="003A4FC4"/>
    <w:rsid w:val="003A5A74"/>
    <w:rsid w:val="003A73A2"/>
    <w:rsid w:val="003A76D2"/>
    <w:rsid w:val="003B03FE"/>
    <w:rsid w:val="003B296D"/>
    <w:rsid w:val="003B2D23"/>
    <w:rsid w:val="003B38D4"/>
    <w:rsid w:val="003B4F1B"/>
    <w:rsid w:val="003B615A"/>
    <w:rsid w:val="003B7964"/>
    <w:rsid w:val="003C00D7"/>
    <w:rsid w:val="003C020A"/>
    <w:rsid w:val="003C04D7"/>
    <w:rsid w:val="003C1601"/>
    <w:rsid w:val="003C25EE"/>
    <w:rsid w:val="003C2DA1"/>
    <w:rsid w:val="003C6AC7"/>
    <w:rsid w:val="003D0514"/>
    <w:rsid w:val="003D1305"/>
    <w:rsid w:val="003D2272"/>
    <w:rsid w:val="003D22ED"/>
    <w:rsid w:val="003D2E79"/>
    <w:rsid w:val="003D5508"/>
    <w:rsid w:val="003D6EBF"/>
    <w:rsid w:val="003D7993"/>
    <w:rsid w:val="003E0489"/>
    <w:rsid w:val="003E1E5C"/>
    <w:rsid w:val="003E2615"/>
    <w:rsid w:val="003E45F6"/>
    <w:rsid w:val="003E4AED"/>
    <w:rsid w:val="003E4B0D"/>
    <w:rsid w:val="003E58A8"/>
    <w:rsid w:val="003E5AF2"/>
    <w:rsid w:val="003F1BDD"/>
    <w:rsid w:val="003F2962"/>
    <w:rsid w:val="003F2BEF"/>
    <w:rsid w:val="003F388F"/>
    <w:rsid w:val="003F5007"/>
    <w:rsid w:val="003F5DA6"/>
    <w:rsid w:val="003F5E2A"/>
    <w:rsid w:val="004005EB"/>
    <w:rsid w:val="00401698"/>
    <w:rsid w:val="00401E38"/>
    <w:rsid w:val="00402014"/>
    <w:rsid w:val="00402C19"/>
    <w:rsid w:val="00403B59"/>
    <w:rsid w:val="00404FE4"/>
    <w:rsid w:val="004055DA"/>
    <w:rsid w:val="004056BC"/>
    <w:rsid w:val="0040659B"/>
    <w:rsid w:val="0040788F"/>
    <w:rsid w:val="00410115"/>
    <w:rsid w:val="00410549"/>
    <w:rsid w:val="00410F10"/>
    <w:rsid w:val="00411678"/>
    <w:rsid w:val="00413501"/>
    <w:rsid w:val="004148E4"/>
    <w:rsid w:val="00414F03"/>
    <w:rsid w:val="00417E8C"/>
    <w:rsid w:val="00426383"/>
    <w:rsid w:val="004267E2"/>
    <w:rsid w:val="00427B8C"/>
    <w:rsid w:val="00430C1F"/>
    <w:rsid w:val="00431A1F"/>
    <w:rsid w:val="0043265A"/>
    <w:rsid w:val="00435686"/>
    <w:rsid w:val="0044073E"/>
    <w:rsid w:val="00441196"/>
    <w:rsid w:val="004419C4"/>
    <w:rsid w:val="00442337"/>
    <w:rsid w:val="004442DF"/>
    <w:rsid w:val="004443EA"/>
    <w:rsid w:val="00445353"/>
    <w:rsid w:val="0044587F"/>
    <w:rsid w:val="00446B26"/>
    <w:rsid w:val="004471AE"/>
    <w:rsid w:val="004478B6"/>
    <w:rsid w:val="004479CE"/>
    <w:rsid w:val="00450987"/>
    <w:rsid w:val="00450CC9"/>
    <w:rsid w:val="0045192D"/>
    <w:rsid w:val="00452136"/>
    <w:rsid w:val="00453109"/>
    <w:rsid w:val="00453173"/>
    <w:rsid w:val="004544C4"/>
    <w:rsid w:val="00455360"/>
    <w:rsid w:val="0045580E"/>
    <w:rsid w:val="00455B40"/>
    <w:rsid w:val="00455F70"/>
    <w:rsid w:val="00457621"/>
    <w:rsid w:val="00457F5F"/>
    <w:rsid w:val="004607B1"/>
    <w:rsid w:val="004626CF"/>
    <w:rsid w:val="00462DD0"/>
    <w:rsid w:val="00463309"/>
    <w:rsid w:val="00464E05"/>
    <w:rsid w:val="00464ED6"/>
    <w:rsid w:val="00465344"/>
    <w:rsid w:val="00467097"/>
    <w:rsid w:val="004718E8"/>
    <w:rsid w:val="00471B02"/>
    <w:rsid w:val="0047207A"/>
    <w:rsid w:val="004728FC"/>
    <w:rsid w:val="004757D9"/>
    <w:rsid w:val="004803C5"/>
    <w:rsid w:val="00481429"/>
    <w:rsid w:val="00482F4C"/>
    <w:rsid w:val="004841F0"/>
    <w:rsid w:val="00484240"/>
    <w:rsid w:val="00484384"/>
    <w:rsid w:val="004848C2"/>
    <w:rsid w:val="00485298"/>
    <w:rsid w:val="004867CC"/>
    <w:rsid w:val="004911E8"/>
    <w:rsid w:val="00492BA9"/>
    <w:rsid w:val="00494045"/>
    <w:rsid w:val="0049424C"/>
    <w:rsid w:val="004945A1"/>
    <w:rsid w:val="00495771"/>
    <w:rsid w:val="00496386"/>
    <w:rsid w:val="00496629"/>
    <w:rsid w:val="00497505"/>
    <w:rsid w:val="00497E94"/>
    <w:rsid w:val="004A1645"/>
    <w:rsid w:val="004A2CB9"/>
    <w:rsid w:val="004A3815"/>
    <w:rsid w:val="004A38B2"/>
    <w:rsid w:val="004A3B3B"/>
    <w:rsid w:val="004A53CA"/>
    <w:rsid w:val="004B115D"/>
    <w:rsid w:val="004B1B14"/>
    <w:rsid w:val="004B329C"/>
    <w:rsid w:val="004B35D3"/>
    <w:rsid w:val="004B39FF"/>
    <w:rsid w:val="004B42EF"/>
    <w:rsid w:val="004B437B"/>
    <w:rsid w:val="004B45D1"/>
    <w:rsid w:val="004B5E88"/>
    <w:rsid w:val="004B605B"/>
    <w:rsid w:val="004B6D02"/>
    <w:rsid w:val="004B7144"/>
    <w:rsid w:val="004B7371"/>
    <w:rsid w:val="004C0706"/>
    <w:rsid w:val="004C1F41"/>
    <w:rsid w:val="004C39AA"/>
    <w:rsid w:val="004C4BFC"/>
    <w:rsid w:val="004C5446"/>
    <w:rsid w:val="004C5D38"/>
    <w:rsid w:val="004C623A"/>
    <w:rsid w:val="004D4030"/>
    <w:rsid w:val="004D416A"/>
    <w:rsid w:val="004D6397"/>
    <w:rsid w:val="004E4270"/>
    <w:rsid w:val="004E5B10"/>
    <w:rsid w:val="004E7471"/>
    <w:rsid w:val="004E7FCA"/>
    <w:rsid w:val="004F029C"/>
    <w:rsid w:val="004F5174"/>
    <w:rsid w:val="004F6920"/>
    <w:rsid w:val="004F696D"/>
    <w:rsid w:val="004F6A81"/>
    <w:rsid w:val="00500144"/>
    <w:rsid w:val="005001BC"/>
    <w:rsid w:val="0050054A"/>
    <w:rsid w:val="0050070E"/>
    <w:rsid w:val="00500DCF"/>
    <w:rsid w:val="0050177B"/>
    <w:rsid w:val="0050437E"/>
    <w:rsid w:val="0050737E"/>
    <w:rsid w:val="00510BBF"/>
    <w:rsid w:val="00512A89"/>
    <w:rsid w:val="00513487"/>
    <w:rsid w:val="00513A8B"/>
    <w:rsid w:val="0051706A"/>
    <w:rsid w:val="00520B54"/>
    <w:rsid w:val="005256EB"/>
    <w:rsid w:val="0052581F"/>
    <w:rsid w:val="00526AAE"/>
    <w:rsid w:val="005271B5"/>
    <w:rsid w:val="00532B21"/>
    <w:rsid w:val="00533068"/>
    <w:rsid w:val="00533996"/>
    <w:rsid w:val="00533A50"/>
    <w:rsid w:val="00533DF6"/>
    <w:rsid w:val="005406E3"/>
    <w:rsid w:val="00540E69"/>
    <w:rsid w:val="00541215"/>
    <w:rsid w:val="005423F1"/>
    <w:rsid w:val="00542962"/>
    <w:rsid w:val="0054352E"/>
    <w:rsid w:val="005452A8"/>
    <w:rsid w:val="005456F6"/>
    <w:rsid w:val="005462AE"/>
    <w:rsid w:val="005469EF"/>
    <w:rsid w:val="00547C20"/>
    <w:rsid w:val="00553010"/>
    <w:rsid w:val="00556C8E"/>
    <w:rsid w:val="00561B22"/>
    <w:rsid w:val="00561FEA"/>
    <w:rsid w:val="00566027"/>
    <w:rsid w:val="00567670"/>
    <w:rsid w:val="0057033C"/>
    <w:rsid w:val="0057044A"/>
    <w:rsid w:val="00570A3A"/>
    <w:rsid w:val="00571D3A"/>
    <w:rsid w:val="00572207"/>
    <w:rsid w:val="00573305"/>
    <w:rsid w:val="00574B7C"/>
    <w:rsid w:val="0057677C"/>
    <w:rsid w:val="00577C28"/>
    <w:rsid w:val="00577C51"/>
    <w:rsid w:val="00582E32"/>
    <w:rsid w:val="0058305A"/>
    <w:rsid w:val="00584565"/>
    <w:rsid w:val="005860AC"/>
    <w:rsid w:val="005900F5"/>
    <w:rsid w:val="00593AAF"/>
    <w:rsid w:val="00593CD2"/>
    <w:rsid w:val="00594D13"/>
    <w:rsid w:val="00597DCA"/>
    <w:rsid w:val="005A21E6"/>
    <w:rsid w:val="005A6A9A"/>
    <w:rsid w:val="005A74CD"/>
    <w:rsid w:val="005A7774"/>
    <w:rsid w:val="005A7BC9"/>
    <w:rsid w:val="005B0719"/>
    <w:rsid w:val="005B0B91"/>
    <w:rsid w:val="005B10E4"/>
    <w:rsid w:val="005B5B2C"/>
    <w:rsid w:val="005B7CE5"/>
    <w:rsid w:val="005C09F2"/>
    <w:rsid w:val="005C13C9"/>
    <w:rsid w:val="005C185C"/>
    <w:rsid w:val="005C1B53"/>
    <w:rsid w:val="005C219F"/>
    <w:rsid w:val="005C3B69"/>
    <w:rsid w:val="005C4ADC"/>
    <w:rsid w:val="005D01F2"/>
    <w:rsid w:val="005D1332"/>
    <w:rsid w:val="005D1643"/>
    <w:rsid w:val="005D1936"/>
    <w:rsid w:val="005D2BAD"/>
    <w:rsid w:val="005D3292"/>
    <w:rsid w:val="005D4045"/>
    <w:rsid w:val="005D41A0"/>
    <w:rsid w:val="005D5CAD"/>
    <w:rsid w:val="005E0A4B"/>
    <w:rsid w:val="005E2D29"/>
    <w:rsid w:val="005E46DC"/>
    <w:rsid w:val="005E48D0"/>
    <w:rsid w:val="005E5044"/>
    <w:rsid w:val="005E516B"/>
    <w:rsid w:val="005E6348"/>
    <w:rsid w:val="005E7143"/>
    <w:rsid w:val="005F0456"/>
    <w:rsid w:val="005F359B"/>
    <w:rsid w:val="005F3EAF"/>
    <w:rsid w:val="005F74B7"/>
    <w:rsid w:val="00602884"/>
    <w:rsid w:val="00604B45"/>
    <w:rsid w:val="00606C0C"/>
    <w:rsid w:val="00606D1D"/>
    <w:rsid w:val="00607524"/>
    <w:rsid w:val="00611352"/>
    <w:rsid w:val="00612400"/>
    <w:rsid w:val="006140D5"/>
    <w:rsid w:val="00621291"/>
    <w:rsid w:val="006231F6"/>
    <w:rsid w:val="006245F7"/>
    <w:rsid w:val="00633420"/>
    <w:rsid w:val="006378F1"/>
    <w:rsid w:val="00642993"/>
    <w:rsid w:val="00642BD5"/>
    <w:rsid w:val="00643A19"/>
    <w:rsid w:val="00645801"/>
    <w:rsid w:val="00646129"/>
    <w:rsid w:val="00647085"/>
    <w:rsid w:val="006473DC"/>
    <w:rsid w:val="006515B7"/>
    <w:rsid w:val="00652EA8"/>
    <w:rsid w:val="00654DF3"/>
    <w:rsid w:val="006557DB"/>
    <w:rsid w:val="00656054"/>
    <w:rsid w:val="00656E94"/>
    <w:rsid w:val="006641C5"/>
    <w:rsid w:val="006643DB"/>
    <w:rsid w:val="00664F15"/>
    <w:rsid w:val="00666378"/>
    <w:rsid w:val="00667E05"/>
    <w:rsid w:val="00671DC0"/>
    <w:rsid w:val="00672F83"/>
    <w:rsid w:val="006736FD"/>
    <w:rsid w:val="0067423C"/>
    <w:rsid w:val="00675D27"/>
    <w:rsid w:val="006761D7"/>
    <w:rsid w:val="00677773"/>
    <w:rsid w:val="00677F97"/>
    <w:rsid w:val="00680F3F"/>
    <w:rsid w:val="006813B2"/>
    <w:rsid w:val="00683BEC"/>
    <w:rsid w:val="00683F2D"/>
    <w:rsid w:val="00684BB6"/>
    <w:rsid w:val="0068624A"/>
    <w:rsid w:val="006862B1"/>
    <w:rsid w:val="006863D4"/>
    <w:rsid w:val="00691A5B"/>
    <w:rsid w:val="00691C0D"/>
    <w:rsid w:val="0069296B"/>
    <w:rsid w:val="00693BA0"/>
    <w:rsid w:val="00695770"/>
    <w:rsid w:val="0069621D"/>
    <w:rsid w:val="00696984"/>
    <w:rsid w:val="00696F67"/>
    <w:rsid w:val="006A00A8"/>
    <w:rsid w:val="006A07F0"/>
    <w:rsid w:val="006A2179"/>
    <w:rsid w:val="006A3C94"/>
    <w:rsid w:val="006A3E29"/>
    <w:rsid w:val="006A4F54"/>
    <w:rsid w:val="006A509B"/>
    <w:rsid w:val="006A56CB"/>
    <w:rsid w:val="006A577B"/>
    <w:rsid w:val="006A6493"/>
    <w:rsid w:val="006A6862"/>
    <w:rsid w:val="006A7D56"/>
    <w:rsid w:val="006B0413"/>
    <w:rsid w:val="006B055A"/>
    <w:rsid w:val="006B4213"/>
    <w:rsid w:val="006B7A1F"/>
    <w:rsid w:val="006C1CE7"/>
    <w:rsid w:val="006C331E"/>
    <w:rsid w:val="006C4506"/>
    <w:rsid w:val="006C48F0"/>
    <w:rsid w:val="006C574D"/>
    <w:rsid w:val="006C62A2"/>
    <w:rsid w:val="006C66B0"/>
    <w:rsid w:val="006C6F0A"/>
    <w:rsid w:val="006D06B0"/>
    <w:rsid w:val="006D239B"/>
    <w:rsid w:val="006D24E8"/>
    <w:rsid w:val="006D52BB"/>
    <w:rsid w:val="006D7177"/>
    <w:rsid w:val="006D74C3"/>
    <w:rsid w:val="006D7C73"/>
    <w:rsid w:val="006D7D19"/>
    <w:rsid w:val="006E0930"/>
    <w:rsid w:val="006E132C"/>
    <w:rsid w:val="006E1446"/>
    <w:rsid w:val="006E187B"/>
    <w:rsid w:val="006E2356"/>
    <w:rsid w:val="006E2A43"/>
    <w:rsid w:val="006E306D"/>
    <w:rsid w:val="006E3373"/>
    <w:rsid w:val="006E505F"/>
    <w:rsid w:val="006E560E"/>
    <w:rsid w:val="006E7675"/>
    <w:rsid w:val="006F0C8C"/>
    <w:rsid w:val="006F11BC"/>
    <w:rsid w:val="006F38F9"/>
    <w:rsid w:val="006F42E6"/>
    <w:rsid w:val="006F4812"/>
    <w:rsid w:val="006F5998"/>
    <w:rsid w:val="006F6194"/>
    <w:rsid w:val="006F6C99"/>
    <w:rsid w:val="006F739D"/>
    <w:rsid w:val="006F75FD"/>
    <w:rsid w:val="006F7AA0"/>
    <w:rsid w:val="006F7AFA"/>
    <w:rsid w:val="006F7CF1"/>
    <w:rsid w:val="007008D2"/>
    <w:rsid w:val="00700E15"/>
    <w:rsid w:val="00703BB6"/>
    <w:rsid w:val="00706A15"/>
    <w:rsid w:val="00710CD3"/>
    <w:rsid w:val="00712093"/>
    <w:rsid w:val="007122F8"/>
    <w:rsid w:val="0071239B"/>
    <w:rsid w:val="00712B1D"/>
    <w:rsid w:val="00715E32"/>
    <w:rsid w:val="007165BC"/>
    <w:rsid w:val="007165F9"/>
    <w:rsid w:val="00717C87"/>
    <w:rsid w:val="00721281"/>
    <w:rsid w:val="0072281C"/>
    <w:rsid w:val="0072383D"/>
    <w:rsid w:val="00724401"/>
    <w:rsid w:val="007253EB"/>
    <w:rsid w:val="00725520"/>
    <w:rsid w:val="00726D9E"/>
    <w:rsid w:val="0072772F"/>
    <w:rsid w:val="0072774A"/>
    <w:rsid w:val="007301D5"/>
    <w:rsid w:val="007308B7"/>
    <w:rsid w:val="007317A6"/>
    <w:rsid w:val="00731D5B"/>
    <w:rsid w:val="007353F1"/>
    <w:rsid w:val="007358C8"/>
    <w:rsid w:val="007364F4"/>
    <w:rsid w:val="00740B76"/>
    <w:rsid w:val="00740F76"/>
    <w:rsid w:val="0074120F"/>
    <w:rsid w:val="00741B14"/>
    <w:rsid w:val="00741E89"/>
    <w:rsid w:val="00745785"/>
    <w:rsid w:val="00746522"/>
    <w:rsid w:val="00750016"/>
    <w:rsid w:val="007503EB"/>
    <w:rsid w:val="00751B87"/>
    <w:rsid w:val="007551DD"/>
    <w:rsid w:val="007552E3"/>
    <w:rsid w:val="00757801"/>
    <w:rsid w:val="007579EF"/>
    <w:rsid w:val="00760383"/>
    <w:rsid w:val="0076088C"/>
    <w:rsid w:val="00761302"/>
    <w:rsid w:val="00762175"/>
    <w:rsid w:val="00762EBE"/>
    <w:rsid w:val="0076372F"/>
    <w:rsid w:val="00763981"/>
    <w:rsid w:val="00763C6D"/>
    <w:rsid w:val="0076628E"/>
    <w:rsid w:val="007662DE"/>
    <w:rsid w:val="007709DF"/>
    <w:rsid w:val="00771703"/>
    <w:rsid w:val="0077194F"/>
    <w:rsid w:val="00772214"/>
    <w:rsid w:val="00772C3C"/>
    <w:rsid w:val="007752E3"/>
    <w:rsid w:val="007759BC"/>
    <w:rsid w:val="0078037A"/>
    <w:rsid w:val="00780945"/>
    <w:rsid w:val="007811BF"/>
    <w:rsid w:val="00783050"/>
    <w:rsid w:val="00783B6E"/>
    <w:rsid w:val="00785E1E"/>
    <w:rsid w:val="007863CC"/>
    <w:rsid w:val="00787C16"/>
    <w:rsid w:val="00790FF3"/>
    <w:rsid w:val="007915C1"/>
    <w:rsid w:val="00792D31"/>
    <w:rsid w:val="007940B1"/>
    <w:rsid w:val="007A1131"/>
    <w:rsid w:val="007A15BE"/>
    <w:rsid w:val="007A3C01"/>
    <w:rsid w:val="007A41A8"/>
    <w:rsid w:val="007A4F61"/>
    <w:rsid w:val="007A5E42"/>
    <w:rsid w:val="007A5FFA"/>
    <w:rsid w:val="007A751E"/>
    <w:rsid w:val="007A75BE"/>
    <w:rsid w:val="007B1EA9"/>
    <w:rsid w:val="007B4457"/>
    <w:rsid w:val="007B47FB"/>
    <w:rsid w:val="007B633F"/>
    <w:rsid w:val="007B675E"/>
    <w:rsid w:val="007B7367"/>
    <w:rsid w:val="007C0707"/>
    <w:rsid w:val="007C0B53"/>
    <w:rsid w:val="007C1E76"/>
    <w:rsid w:val="007C42C4"/>
    <w:rsid w:val="007C5687"/>
    <w:rsid w:val="007C5C91"/>
    <w:rsid w:val="007C5CF0"/>
    <w:rsid w:val="007C659E"/>
    <w:rsid w:val="007D0484"/>
    <w:rsid w:val="007D1849"/>
    <w:rsid w:val="007D322C"/>
    <w:rsid w:val="007D3E48"/>
    <w:rsid w:val="007D5664"/>
    <w:rsid w:val="007D772D"/>
    <w:rsid w:val="007E0FA5"/>
    <w:rsid w:val="007E10DF"/>
    <w:rsid w:val="007E1836"/>
    <w:rsid w:val="007E2584"/>
    <w:rsid w:val="007E2E3F"/>
    <w:rsid w:val="007E5B00"/>
    <w:rsid w:val="007E7BED"/>
    <w:rsid w:val="007F07BD"/>
    <w:rsid w:val="007F1B03"/>
    <w:rsid w:val="007F2332"/>
    <w:rsid w:val="007F2638"/>
    <w:rsid w:val="007F2EA6"/>
    <w:rsid w:val="007F3870"/>
    <w:rsid w:val="007F4EAA"/>
    <w:rsid w:val="007F571C"/>
    <w:rsid w:val="007F576F"/>
    <w:rsid w:val="007F5CF6"/>
    <w:rsid w:val="007F5EC5"/>
    <w:rsid w:val="007F5EEF"/>
    <w:rsid w:val="007F7A8F"/>
    <w:rsid w:val="008001BA"/>
    <w:rsid w:val="008016B1"/>
    <w:rsid w:val="00802050"/>
    <w:rsid w:val="00802BDF"/>
    <w:rsid w:val="00802DD2"/>
    <w:rsid w:val="0080414C"/>
    <w:rsid w:val="0080501F"/>
    <w:rsid w:val="0080748C"/>
    <w:rsid w:val="0081024E"/>
    <w:rsid w:val="00810CA5"/>
    <w:rsid w:val="008111CD"/>
    <w:rsid w:val="00814231"/>
    <w:rsid w:val="0081612E"/>
    <w:rsid w:val="008179C8"/>
    <w:rsid w:val="00820F49"/>
    <w:rsid w:val="00822FBE"/>
    <w:rsid w:val="0082446B"/>
    <w:rsid w:val="00824E0F"/>
    <w:rsid w:val="008306C1"/>
    <w:rsid w:val="00830E59"/>
    <w:rsid w:val="0083171A"/>
    <w:rsid w:val="008333D6"/>
    <w:rsid w:val="0083380D"/>
    <w:rsid w:val="00836611"/>
    <w:rsid w:val="008379EE"/>
    <w:rsid w:val="0084051B"/>
    <w:rsid w:val="00841B83"/>
    <w:rsid w:val="00842E3B"/>
    <w:rsid w:val="00844A98"/>
    <w:rsid w:val="00844B2C"/>
    <w:rsid w:val="0084572E"/>
    <w:rsid w:val="00846893"/>
    <w:rsid w:val="00846A06"/>
    <w:rsid w:val="00846A39"/>
    <w:rsid w:val="008476B6"/>
    <w:rsid w:val="00847FCF"/>
    <w:rsid w:val="008510B2"/>
    <w:rsid w:val="008513EF"/>
    <w:rsid w:val="00851AE0"/>
    <w:rsid w:val="00852752"/>
    <w:rsid w:val="0085593C"/>
    <w:rsid w:val="00855AA6"/>
    <w:rsid w:val="00855AFA"/>
    <w:rsid w:val="00855E45"/>
    <w:rsid w:val="00856040"/>
    <w:rsid w:val="008563EE"/>
    <w:rsid w:val="0086291B"/>
    <w:rsid w:val="0086339F"/>
    <w:rsid w:val="008649B6"/>
    <w:rsid w:val="00864D4F"/>
    <w:rsid w:val="00864DF4"/>
    <w:rsid w:val="00865002"/>
    <w:rsid w:val="00867BA9"/>
    <w:rsid w:val="008707A4"/>
    <w:rsid w:val="00871FF1"/>
    <w:rsid w:val="008724D4"/>
    <w:rsid w:val="0087254C"/>
    <w:rsid w:val="00873695"/>
    <w:rsid w:val="008743B1"/>
    <w:rsid w:val="008761C6"/>
    <w:rsid w:val="00876857"/>
    <w:rsid w:val="008826C2"/>
    <w:rsid w:val="008842E3"/>
    <w:rsid w:val="00885560"/>
    <w:rsid w:val="00885E67"/>
    <w:rsid w:val="00891503"/>
    <w:rsid w:val="008932C3"/>
    <w:rsid w:val="008A2426"/>
    <w:rsid w:val="008A3DC6"/>
    <w:rsid w:val="008A7BF2"/>
    <w:rsid w:val="008B010B"/>
    <w:rsid w:val="008B06A7"/>
    <w:rsid w:val="008B11A6"/>
    <w:rsid w:val="008B17AA"/>
    <w:rsid w:val="008B3651"/>
    <w:rsid w:val="008B3CE4"/>
    <w:rsid w:val="008B494A"/>
    <w:rsid w:val="008B4F97"/>
    <w:rsid w:val="008B59E9"/>
    <w:rsid w:val="008B62EC"/>
    <w:rsid w:val="008B724F"/>
    <w:rsid w:val="008B7B66"/>
    <w:rsid w:val="008C0759"/>
    <w:rsid w:val="008C295E"/>
    <w:rsid w:val="008C2FC2"/>
    <w:rsid w:val="008C3705"/>
    <w:rsid w:val="008C4AB2"/>
    <w:rsid w:val="008C51A1"/>
    <w:rsid w:val="008C671B"/>
    <w:rsid w:val="008C69F4"/>
    <w:rsid w:val="008C70EA"/>
    <w:rsid w:val="008C7301"/>
    <w:rsid w:val="008C7EE0"/>
    <w:rsid w:val="008D0559"/>
    <w:rsid w:val="008D0697"/>
    <w:rsid w:val="008D15DC"/>
    <w:rsid w:val="008D1672"/>
    <w:rsid w:val="008D2DA9"/>
    <w:rsid w:val="008D3F81"/>
    <w:rsid w:val="008D5675"/>
    <w:rsid w:val="008D680F"/>
    <w:rsid w:val="008D6B32"/>
    <w:rsid w:val="008D6CD8"/>
    <w:rsid w:val="008D72EB"/>
    <w:rsid w:val="008D7A2B"/>
    <w:rsid w:val="008E0882"/>
    <w:rsid w:val="008E20F7"/>
    <w:rsid w:val="008E33CB"/>
    <w:rsid w:val="008E4380"/>
    <w:rsid w:val="008E4AAB"/>
    <w:rsid w:val="008E4D70"/>
    <w:rsid w:val="008E5479"/>
    <w:rsid w:val="008E5B07"/>
    <w:rsid w:val="008E7121"/>
    <w:rsid w:val="008E7DAD"/>
    <w:rsid w:val="008F1866"/>
    <w:rsid w:val="008F6291"/>
    <w:rsid w:val="00900E94"/>
    <w:rsid w:val="00901152"/>
    <w:rsid w:val="00901191"/>
    <w:rsid w:val="009037AE"/>
    <w:rsid w:val="009074FE"/>
    <w:rsid w:val="0091174D"/>
    <w:rsid w:val="0091335A"/>
    <w:rsid w:val="00913C4E"/>
    <w:rsid w:val="00913F0D"/>
    <w:rsid w:val="009145F1"/>
    <w:rsid w:val="00915CBA"/>
    <w:rsid w:val="00915F44"/>
    <w:rsid w:val="009200DD"/>
    <w:rsid w:val="00920460"/>
    <w:rsid w:val="00920E22"/>
    <w:rsid w:val="00922A7F"/>
    <w:rsid w:val="009236DF"/>
    <w:rsid w:val="00925E6D"/>
    <w:rsid w:val="00925F37"/>
    <w:rsid w:val="0092626B"/>
    <w:rsid w:val="00926595"/>
    <w:rsid w:val="00926A9D"/>
    <w:rsid w:val="00927311"/>
    <w:rsid w:val="0093108A"/>
    <w:rsid w:val="00931776"/>
    <w:rsid w:val="00931913"/>
    <w:rsid w:val="009333D4"/>
    <w:rsid w:val="009339CD"/>
    <w:rsid w:val="00934B65"/>
    <w:rsid w:val="00935484"/>
    <w:rsid w:val="009370BE"/>
    <w:rsid w:val="0094009F"/>
    <w:rsid w:val="00941461"/>
    <w:rsid w:val="009414E1"/>
    <w:rsid w:val="00942188"/>
    <w:rsid w:val="009423BB"/>
    <w:rsid w:val="0094291E"/>
    <w:rsid w:val="009431F8"/>
    <w:rsid w:val="00944056"/>
    <w:rsid w:val="00944574"/>
    <w:rsid w:val="00944C12"/>
    <w:rsid w:val="00944FBE"/>
    <w:rsid w:val="0094566F"/>
    <w:rsid w:val="00953A32"/>
    <w:rsid w:val="00954E09"/>
    <w:rsid w:val="00955076"/>
    <w:rsid w:val="0095590A"/>
    <w:rsid w:val="0095597A"/>
    <w:rsid w:val="00955F4F"/>
    <w:rsid w:val="009561B3"/>
    <w:rsid w:val="00956B5F"/>
    <w:rsid w:val="00957824"/>
    <w:rsid w:val="0096057E"/>
    <w:rsid w:val="00960DEA"/>
    <w:rsid w:val="0096142C"/>
    <w:rsid w:val="0096322C"/>
    <w:rsid w:val="00963671"/>
    <w:rsid w:val="009644DD"/>
    <w:rsid w:val="009660D0"/>
    <w:rsid w:val="00970284"/>
    <w:rsid w:val="009718E1"/>
    <w:rsid w:val="0097200E"/>
    <w:rsid w:val="00972D9E"/>
    <w:rsid w:val="00975871"/>
    <w:rsid w:val="00976B21"/>
    <w:rsid w:val="00976C98"/>
    <w:rsid w:val="00976DB0"/>
    <w:rsid w:val="00980209"/>
    <w:rsid w:val="00984A91"/>
    <w:rsid w:val="00991070"/>
    <w:rsid w:val="00991455"/>
    <w:rsid w:val="00991E50"/>
    <w:rsid w:val="00991EA0"/>
    <w:rsid w:val="00992BB7"/>
    <w:rsid w:val="00993A29"/>
    <w:rsid w:val="00995C41"/>
    <w:rsid w:val="00996088"/>
    <w:rsid w:val="009A072C"/>
    <w:rsid w:val="009A1256"/>
    <w:rsid w:val="009A1AE0"/>
    <w:rsid w:val="009A6C67"/>
    <w:rsid w:val="009A74B5"/>
    <w:rsid w:val="009A75D7"/>
    <w:rsid w:val="009A7E51"/>
    <w:rsid w:val="009A7F3B"/>
    <w:rsid w:val="009B004F"/>
    <w:rsid w:val="009B1E14"/>
    <w:rsid w:val="009B1EA0"/>
    <w:rsid w:val="009B2343"/>
    <w:rsid w:val="009B31DB"/>
    <w:rsid w:val="009B3610"/>
    <w:rsid w:val="009B57E5"/>
    <w:rsid w:val="009B660B"/>
    <w:rsid w:val="009B688F"/>
    <w:rsid w:val="009C1DC5"/>
    <w:rsid w:val="009C24B4"/>
    <w:rsid w:val="009C3631"/>
    <w:rsid w:val="009C3999"/>
    <w:rsid w:val="009C699B"/>
    <w:rsid w:val="009C6D71"/>
    <w:rsid w:val="009C7C02"/>
    <w:rsid w:val="009D05D9"/>
    <w:rsid w:val="009D24A2"/>
    <w:rsid w:val="009D266A"/>
    <w:rsid w:val="009D2917"/>
    <w:rsid w:val="009D2DBC"/>
    <w:rsid w:val="009D3481"/>
    <w:rsid w:val="009D4BB0"/>
    <w:rsid w:val="009D5405"/>
    <w:rsid w:val="009D706B"/>
    <w:rsid w:val="009D726F"/>
    <w:rsid w:val="009D7497"/>
    <w:rsid w:val="009E368F"/>
    <w:rsid w:val="009E3B55"/>
    <w:rsid w:val="009E57EF"/>
    <w:rsid w:val="009F0478"/>
    <w:rsid w:val="009F2678"/>
    <w:rsid w:val="009F3599"/>
    <w:rsid w:val="009F3764"/>
    <w:rsid w:val="009F4546"/>
    <w:rsid w:val="009F5875"/>
    <w:rsid w:val="009F5EDF"/>
    <w:rsid w:val="009F7003"/>
    <w:rsid w:val="009F75F8"/>
    <w:rsid w:val="009F7B91"/>
    <w:rsid w:val="00A0040C"/>
    <w:rsid w:val="00A009FA"/>
    <w:rsid w:val="00A049CC"/>
    <w:rsid w:val="00A06420"/>
    <w:rsid w:val="00A103C5"/>
    <w:rsid w:val="00A10540"/>
    <w:rsid w:val="00A11632"/>
    <w:rsid w:val="00A11851"/>
    <w:rsid w:val="00A121E6"/>
    <w:rsid w:val="00A133AB"/>
    <w:rsid w:val="00A141D7"/>
    <w:rsid w:val="00A172D2"/>
    <w:rsid w:val="00A17BF9"/>
    <w:rsid w:val="00A21150"/>
    <w:rsid w:val="00A212F2"/>
    <w:rsid w:val="00A2209A"/>
    <w:rsid w:val="00A22311"/>
    <w:rsid w:val="00A25DBD"/>
    <w:rsid w:val="00A26555"/>
    <w:rsid w:val="00A27243"/>
    <w:rsid w:val="00A2730E"/>
    <w:rsid w:val="00A317F6"/>
    <w:rsid w:val="00A326D2"/>
    <w:rsid w:val="00A33A56"/>
    <w:rsid w:val="00A33BEE"/>
    <w:rsid w:val="00A35597"/>
    <w:rsid w:val="00A3566D"/>
    <w:rsid w:val="00A35EE8"/>
    <w:rsid w:val="00A405B1"/>
    <w:rsid w:val="00A406A1"/>
    <w:rsid w:val="00A41C86"/>
    <w:rsid w:val="00A41D61"/>
    <w:rsid w:val="00A4330C"/>
    <w:rsid w:val="00A43447"/>
    <w:rsid w:val="00A43A70"/>
    <w:rsid w:val="00A4524A"/>
    <w:rsid w:val="00A46769"/>
    <w:rsid w:val="00A47694"/>
    <w:rsid w:val="00A50A41"/>
    <w:rsid w:val="00A50FF4"/>
    <w:rsid w:val="00A546A5"/>
    <w:rsid w:val="00A558FC"/>
    <w:rsid w:val="00A57BA4"/>
    <w:rsid w:val="00A60B9E"/>
    <w:rsid w:val="00A60F44"/>
    <w:rsid w:val="00A616B8"/>
    <w:rsid w:val="00A619B0"/>
    <w:rsid w:val="00A624C0"/>
    <w:rsid w:val="00A63125"/>
    <w:rsid w:val="00A653C8"/>
    <w:rsid w:val="00A65659"/>
    <w:rsid w:val="00A67AAE"/>
    <w:rsid w:val="00A70491"/>
    <w:rsid w:val="00A71C20"/>
    <w:rsid w:val="00A7250A"/>
    <w:rsid w:val="00A72953"/>
    <w:rsid w:val="00A7700C"/>
    <w:rsid w:val="00A80119"/>
    <w:rsid w:val="00A80E47"/>
    <w:rsid w:val="00A81548"/>
    <w:rsid w:val="00A8190C"/>
    <w:rsid w:val="00A824E6"/>
    <w:rsid w:val="00A82A58"/>
    <w:rsid w:val="00A83C81"/>
    <w:rsid w:val="00A83C8A"/>
    <w:rsid w:val="00A856F3"/>
    <w:rsid w:val="00A8602C"/>
    <w:rsid w:val="00A86A1C"/>
    <w:rsid w:val="00A86B45"/>
    <w:rsid w:val="00A86B74"/>
    <w:rsid w:val="00A86EF2"/>
    <w:rsid w:val="00A877B5"/>
    <w:rsid w:val="00A92AE4"/>
    <w:rsid w:val="00A94172"/>
    <w:rsid w:val="00A94F1B"/>
    <w:rsid w:val="00A9552E"/>
    <w:rsid w:val="00A96834"/>
    <w:rsid w:val="00A970A6"/>
    <w:rsid w:val="00A976E3"/>
    <w:rsid w:val="00AA0198"/>
    <w:rsid w:val="00AA0296"/>
    <w:rsid w:val="00AA1AA4"/>
    <w:rsid w:val="00AA1D0F"/>
    <w:rsid w:val="00AA2BF2"/>
    <w:rsid w:val="00AA4089"/>
    <w:rsid w:val="00AA5261"/>
    <w:rsid w:val="00AA63C9"/>
    <w:rsid w:val="00AA7264"/>
    <w:rsid w:val="00AB01B3"/>
    <w:rsid w:val="00AB02BF"/>
    <w:rsid w:val="00AB236A"/>
    <w:rsid w:val="00AB2594"/>
    <w:rsid w:val="00AB6BC1"/>
    <w:rsid w:val="00AB7D8A"/>
    <w:rsid w:val="00AC1E28"/>
    <w:rsid w:val="00AC62D5"/>
    <w:rsid w:val="00AC7A98"/>
    <w:rsid w:val="00AD0752"/>
    <w:rsid w:val="00AD4CF3"/>
    <w:rsid w:val="00AD53A7"/>
    <w:rsid w:val="00AD591C"/>
    <w:rsid w:val="00AD5A0F"/>
    <w:rsid w:val="00AD7432"/>
    <w:rsid w:val="00AD7457"/>
    <w:rsid w:val="00AE0928"/>
    <w:rsid w:val="00AE177B"/>
    <w:rsid w:val="00AE1C71"/>
    <w:rsid w:val="00AE470F"/>
    <w:rsid w:val="00AE4DD1"/>
    <w:rsid w:val="00AE74EA"/>
    <w:rsid w:val="00AF2FCB"/>
    <w:rsid w:val="00AF356E"/>
    <w:rsid w:val="00AF50E1"/>
    <w:rsid w:val="00AF570F"/>
    <w:rsid w:val="00AF6149"/>
    <w:rsid w:val="00AF7274"/>
    <w:rsid w:val="00B00021"/>
    <w:rsid w:val="00B006BC"/>
    <w:rsid w:val="00B00985"/>
    <w:rsid w:val="00B012B0"/>
    <w:rsid w:val="00B02256"/>
    <w:rsid w:val="00B02F83"/>
    <w:rsid w:val="00B03BC3"/>
    <w:rsid w:val="00B057D0"/>
    <w:rsid w:val="00B0683A"/>
    <w:rsid w:val="00B101FF"/>
    <w:rsid w:val="00B10C7F"/>
    <w:rsid w:val="00B127DC"/>
    <w:rsid w:val="00B12D7A"/>
    <w:rsid w:val="00B13032"/>
    <w:rsid w:val="00B1375A"/>
    <w:rsid w:val="00B13DF3"/>
    <w:rsid w:val="00B15322"/>
    <w:rsid w:val="00B167ED"/>
    <w:rsid w:val="00B175B9"/>
    <w:rsid w:val="00B17BAD"/>
    <w:rsid w:val="00B17E8C"/>
    <w:rsid w:val="00B20203"/>
    <w:rsid w:val="00B20409"/>
    <w:rsid w:val="00B2159D"/>
    <w:rsid w:val="00B22FCE"/>
    <w:rsid w:val="00B2433E"/>
    <w:rsid w:val="00B245C4"/>
    <w:rsid w:val="00B24C0F"/>
    <w:rsid w:val="00B253F8"/>
    <w:rsid w:val="00B264BE"/>
    <w:rsid w:val="00B265B2"/>
    <w:rsid w:val="00B26E50"/>
    <w:rsid w:val="00B27B7D"/>
    <w:rsid w:val="00B30049"/>
    <w:rsid w:val="00B3016F"/>
    <w:rsid w:val="00B31483"/>
    <w:rsid w:val="00B31AB8"/>
    <w:rsid w:val="00B32710"/>
    <w:rsid w:val="00B327E7"/>
    <w:rsid w:val="00B32D2F"/>
    <w:rsid w:val="00B3321C"/>
    <w:rsid w:val="00B335BD"/>
    <w:rsid w:val="00B33BC5"/>
    <w:rsid w:val="00B33D44"/>
    <w:rsid w:val="00B3407C"/>
    <w:rsid w:val="00B343A2"/>
    <w:rsid w:val="00B343CB"/>
    <w:rsid w:val="00B351A0"/>
    <w:rsid w:val="00B35B0A"/>
    <w:rsid w:val="00B35EF3"/>
    <w:rsid w:val="00B3604F"/>
    <w:rsid w:val="00B362A3"/>
    <w:rsid w:val="00B3705C"/>
    <w:rsid w:val="00B4015D"/>
    <w:rsid w:val="00B45B8C"/>
    <w:rsid w:val="00B45DCE"/>
    <w:rsid w:val="00B511B8"/>
    <w:rsid w:val="00B5151D"/>
    <w:rsid w:val="00B52EDA"/>
    <w:rsid w:val="00B53B30"/>
    <w:rsid w:val="00B53E0A"/>
    <w:rsid w:val="00B56815"/>
    <w:rsid w:val="00B6090D"/>
    <w:rsid w:val="00B617DE"/>
    <w:rsid w:val="00B61E9C"/>
    <w:rsid w:val="00B63344"/>
    <w:rsid w:val="00B63F10"/>
    <w:rsid w:val="00B65791"/>
    <w:rsid w:val="00B6594E"/>
    <w:rsid w:val="00B65F27"/>
    <w:rsid w:val="00B66717"/>
    <w:rsid w:val="00B67513"/>
    <w:rsid w:val="00B67DA5"/>
    <w:rsid w:val="00B67E25"/>
    <w:rsid w:val="00B702FB"/>
    <w:rsid w:val="00B86D28"/>
    <w:rsid w:val="00B86E24"/>
    <w:rsid w:val="00B907A8"/>
    <w:rsid w:val="00B9119A"/>
    <w:rsid w:val="00B92142"/>
    <w:rsid w:val="00B921E4"/>
    <w:rsid w:val="00B94CCE"/>
    <w:rsid w:val="00B953AE"/>
    <w:rsid w:val="00B964B9"/>
    <w:rsid w:val="00B96BB6"/>
    <w:rsid w:val="00B96E61"/>
    <w:rsid w:val="00BA0B53"/>
    <w:rsid w:val="00BA1FC3"/>
    <w:rsid w:val="00BA2854"/>
    <w:rsid w:val="00BA3657"/>
    <w:rsid w:val="00BA57FD"/>
    <w:rsid w:val="00BA737B"/>
    <w:rsid w:val="00BB0FB2"/>
    <w:rsid w:val="00BB1610"/>
    <w:rsid w:val="00BB2E33"/>
    <w:rsid w:val="00BB7115"/>
    <w:rsid w:val="00BB73E5"/>
    <w:rsid w:val="00BB76EA"/>
    <w:rsid w:val="00BB7901"/>
    <w:rsid w:val="00BC45DA"/>
    <w:rsid w:val="00BC5830"/>
    <w:rsid w:val="00BC79CC"/>
    <w:rsid w:val="00BC7F0C"/>
    <w:rsid w:val="00BD01CC"/>
    <w:rsid w:val="00BD2D57"/>
    <w:rsid w:val="00BD3229"/>
    <w:rsid w:val="00BD5FEA"/>
    <w:rsid w:val="00BD622D"/>
    <w:rsid w:val="00BD6504"/>
    <w:rsid w:val="00BD7CFE"/>
    <w:rsid w:val="00BE0B7E"/>
    <w:rsid w:val="00BE3023"/>
    <w:rsid w:val="00BE3FD4"/>
    <w:rsid w:val="00BE458E"/>
    <w:rsid w:val="00BE4B9C"/>
    <w:rsid w:val="00BE70C8"/>
    <w:rsid w:val="00BE743B"/>
    <w:rsid w:val="00BE7AC3"/>
    <w:rsid w:val="00BF02A8"/>
    <w:rsid w:val="00BF1F16"/>
    <w:rsid w:val="00BF1FD1"/>
    <w:rsid w:val="00BF2DBE"/>
    <w:rsid w:val="00BF361E"/>
    <w:rsid w:val="00BF4E7E"/>
    <w:rsid w:val="00BF5027"/>
    <w:rsid w:val="00BF5982"/>
    <w:rsid w:val="00C0140F"/>
    <w:rsid w:val="00C018EC"/>
    <w:rsid w:val="00C02885"/>
    <w:rsid w:val="00C02BB6"/>
    <w:rsid w:val="00C03647"/>
    <w:rsid w:val="00C03A23"/>
    <w:rsid w:val="00C0486A"/>
    <w:rsid w:val="00C0584E"/>
    <w:rsid w:val="00C06141"/>
    <w:rsid w:val="00C06832"/>
    <w:rsid w:val="00C06A4D"/>
    <w:rsid w:val="00C1097E"/>
    <w:rsid w:val="00C11AC3"/>
    <w:rsid w:val="00C143CC"/>
    <w:rsid w:val="00C15432"/>
    <w:rsid w:val="00C1649C"/>
    <w:rsid w:val="00C20887"/>
    <w:rsid w:val="00C21405"/>
    <w:rsid w:val="00C219D4"/>
    <w:rsid w:val="00C21EFF"/>
    <w:rsid w:val="00C22635"/>
    <w:rsid w:val="00C236E2"/>
    <w:rsid w:val="00C24698"/>
    <w:rsid w:val="00C24A78"/>
    <w:rsid w:val="00C25A3D"/>
    <w:rsid w:val="00C25DB9"/>
    <w:rsid w:val="00C27DE7"/>
    <w:rsid w:val="00C30877"/>
    <w:rsid w:val="00C3336B"/>
    <w:rsid w:val="00C35FCF"/>
    <w:rsid w:val="00C365B3"/>
    <w:rsid w:val="00C37D44"/>
    <w:rsid w:val="00C37E1C"/>
    <w:rsid w:val="00C40299"/>
    <w:rsid w:val="00C41137"/>
    <w:rsid w:val="00C41202"/>
    <w:rsid w:val="00C427BB"/>
    <w:rsid w:val="00C43907"/>
    <w:rsid w:val="00C44300"/>
    <w:rsid w:val="00C44C56"/>
    <w:rsid w:val="00C45716"/>
    <w:rsid w:val="00C471B4"/>
    <w:rsid w:val="00C47CDB"/>
    <w:rsid w:val="00C501A4"/>
    <w:rsid w:val="00C50B29"/>
    <w:rsid w:val="00C510E9"/>
    <w:rsid w:val="00C5299E"/>
    <w:rsid w:val="00C533F4"/>
    <w:rsid w:val="00C54989"/>
    <w:rsid w:val="00C5618D"/>
    <w:rsid w:val="00C56F4A"/>
    <w:rsid w:val="00C578FF"/>
    <w:rsid w:val="00C6184D"/>
    <w:rsid w:val="00C618D1"/>
    <w:rsid w:val="00C64421"/>
    <w:rsid w:val="00C64F6C"/>
    <w:rsid w:val="00C658C4"/>
    <w:rsid w:val="00C65F77"/>
    <w:rsid w:val="00C6615E"/>
    <w:rsid w:val="00C72142"/>
    <w:rsid w:val="00C7276F"/>
    <w:rsid w:val="00C73CC0"/>
    <w:rsid w:val="00C7550C"/>
    <w:rsid w:val="00C76230"/>
    <w:rsid w:val="00C776EA"/>
    <w:rsid w:val="00C807FA"/>
    <w:rsid w:val="00C81045"/>
    <w:rsid w:val="00C81196"/>
    <w:rsid w:val="00C82C46"/>
    <w:rsid w:val="00C84FDF"/>
    <w:rsid w:val="00C852CB"/>
    <w:rsid w:val="00C87B7E"/>
    <w:rsid w:val="00C87D7D"/>
    <w:rsid w:val="00C942CF"/>
    <w:rsid w:val="00C95BCB"/>
    <w:rsid w:val="00C95D16"/>
    <w:rsid w:val="00C96FBE"/>
    <w:rsid w:val="00C97199"/>
    <w:rsid w:val="00C97660"/>
    <w:rsid w:val="00CA1444"/>
    <w:rsid w:val="00CA38B4"/>
    <w:rsid w:val="00CA4C1D"/>
    <w:rsid w:val="00CA563B"/>
    <w:rsid w:val="00CA57BD"/>
    <w:rsid w:val="00CA5B8E"/>
    <w:rsid w:val="00CA5DCB"/>
    <w:rsid w:val="00CA64C0"/>
    <w:rsid w:val="00CA73E1"/>
    <w:rsid w:val="00CB0F7E"/>
    <w:rsid w:val="00CB1281"/>
    <w:rsid w:val="00CB19B0"/>
    <w:rsid w:val="00CB1A88"/>
    <w:rsid w:val="00CB2794"/>
    <w:rsid w:val="00CB325A"/>
    <w:rsid w:val="00CB376C"/>
    <w:rsid w:val="00CB3CEE"/>
    <w:rsid w:val="00CB3DCB"/>
    <w:rsid w:val="00CB40C6"/>
    <w:rsid w:val="00CB4C95"/>
    <w:rsid w:val="00CC002C"/>
    <w:rsid w:val="00CC2A89"/>
    <w:rsid w:val="00CC6760"/>
    <w:rsid w:val="00CD0662"/>
    <w:rsid w:val="00CD0B06"/>
    <w:rsid w:val="00CD18A1"/>
    <w:rsid w:val="00CD45A4"/>
    <w:rsid w:val="00CD6C11"/>
    <w:rsid w:val="00CD7719"/>
    <w:rsid w:val="00CE009E"/>
    <w:rsid w:val="00CE0911"/>
    <w:rsid w:val="00CE1F8E"/>
    <w:rsid w:val="00CE4330"/>
    <w:rsid w:val="00CE548F"/>
    <w:rsid w:val="00CE5DEC"/>
    <w:rsid w:val="00CE7E32"/>
    <w:rsid w:val="00CF24A1"/>
    <w:rsid w:val="00CF24CB"/>
    <w:rsid w:val="00CF34EB"/>
    <w:rsid w:val="00CF6BC1"/>
    <w:rsid w:val="00CF7F6E"/>
    <w:rsid w:val="00D011EA"/>
    <w:rsid w:val="00D039DB"/>
    <w:rsid w:val="00D03EC0"/>
    <w:rsid w:val="00D04516"/>
    <w:rsid w:val="00D05848"/>
    <w:rsid w:val="00D060F8"/>
    <w:rsid w:val="00D06733"/>
    <w:rsid w:val="00D07551"/>
    <w:rsid w:val="00D0775B"/>
    <w:rsid w:val="00D10A0B"/>
    <w:rsid w:val="00D10C1D"/>
    <w:rsid w:val="00D115BF"/>
    <w:rsid w:val="00D1188F"/>
    <w:rsid w:val="00D11FB8"/>
    <w:rsid w:val="00D13046"/>
    <w:rsid w:val="00D13061"/>
    <w:rsid w:val="00D134FA"/>
    <w:rsid w:val="00D17542"/>
    <w:rsid w:val="00D17D9A"/>
    <w:rsid w:val="00D17DB7"/>
    <w:rsid w:val="00D20514"/>
    <w:rsid w:val="00D20A54"/>
    <w:rsid w:val="00D212F3"/>
    <w:rsid w:val="00D238C4"/>
    <w:rsid w:val="00D24E49"/>
    <w:rsid w:val="00D26EB6"/>
    <w:rsid w:val="00D2715E"/>
    <w:rsid w:val="00D27A8F"/>
    <w:rsid w:val="00D27BF7"/>
    <w:rsid w:val="00D303C2"/>
    <w:rsid w:val="00D307DB"/>
    <w:rsid w:val="00D31B4D"/>
    <w:rsid w:val="00D31FB1"/>
    <w:rsid w:val="00D32E6F"/>
    <w:rsid w:val="00D32FF7"/>
    <w:rsid w:val="00D34581"/>
    <w:rsid w:val="00D35DB2"/>
    <w:rsid w:val="00D373E0"/>
    <w:rsid w:val="00D37780"/>
    <w:rsid w:val="00D40D91"/>
    <w:rsid w:val="00D412BE"/>
    <w:rsid w:val="00D41F7E"/>
    <w:rsid w:val="00D41FDF"/>
    <w:rsid w:val="00D423BE"/>
    <w:rsid w:val="00D42F31"/>
    <w:rsid w:val="00D43401"/>
    <w:rsid w:val="00D46694"/>
    <w:rsid w:val="00D46741"/>
    <w:rsid w:val="00D46D41"/>
    <w:rsid w:val="00D47541"/>
    <w:rsid w:val="00D52D08"/>
    <w:rsid w:val="00D54094"/>
    <w:rsid w:val="00D54462"/>
    <w:rsid w:val="00D5779A"/>
    <w:rsid w:val="00D60446"/>
    <w:rsid w:val="00D626C2"/>
    <w:rsid w:val="00D63DA4"/>
    <w:rsid w:val="00D647B5"/>
    <w:rsid w:val="00D64982"/>
    <w:rsid w:val="00D652F9"/>
    <w:rsid w:val="00D65937"/>
    <w:rsid w:val="00D65A0F"/>
    <w:rsid w:val="00D6673C"/>
    <w:rsid w:val="00D70662"/>
    <w:rsid w:val="00D72F57"/>
    <w:rsid w:val="00D735ED"/>
    <w:rsid w:val="00D73BCB"/>
    <w:rsid w:val="00D73E58"/>
    <w:rsid w:val="00D76235"/>
    <w:rsid w:val="00D76854"/>
    <w:rsid w:val="00D769E3"/>
    <w:rsid w:val="00D77114"/>
    <w:rsid w:val="00D802C4"/>
    <w:rsid w:val="00D8062D"/>
    <w:rsid w:val="00D81F02"/>
    <w:rsid w:val="00D822CE"/>
    <w:rsid w:val="00D82A32"/>
    <w:rsid w:val="00D83638"/>
    <w:rsid w:val="00D86C8A"/>
    <w:rsid w:val="00D8787F"/>
    <w:rsid w:val="00D90C11"/>
    <w:rsid w:val="00D91CE8"/>
    <w:rsid w:val="00D94488"/>
    <w:rsid w:val="00D94659"/>
    <w:rsid w:val="00D97692"/>
    <w:rsid w:val="00DA2657"/>
    <w:rsid w:val="00DA2BCD"/>
    <w:rsid w:val="00DA6A04"/>
    <w:rsid w:val="00DB1054"/>
    <w:rsid w:val="00DB2DB7"/>
    <w:rsid w:val="00DB406A"/>
    <w:rsid w:val="00DB5157"/>
    <w:rsid w:val="00DB5411"/>
    <w:rsid w:val="00DB7DA5"/>
    <w:rsid w:val="00DC03DD"/>
    <w:rsid w:val="00DC1C86"/>
    <w:rsid w:val="00DC1D2B"/>
    <w:rsid w:val="00DC3231"/>
    <w:rsid w:val="00DC33E9"/>
    <w:rsid w:val="00DC5D41"/>
    <w:rsid w:val="00DD0482"/>
    <w:rsid w:val="00DD05B7"/>
    <w:rsid w:val="00DD2D76"/>
    <w:rsid w:val="00DD4221"/>
    <w:rsid w:val="00DD4557"/>
    <w:rsid w:val="00DD4A3B"/>
    <w:rsid w:val="00DD59C7"/>
    <w:rsid w:val="00DD5E4B"/>
    <w:rsid w:val="00DD78CE"/>
    <w:rsid w:val="00DD7A82"/>
    <w:rsid w:val="00DE015E"/>
    <w:rsid w:val="00DE2645"/>
    <w:rsid w:val="00DE3F5F"/>
    <w:rsid w:val="00DE5BF8"/>
    <w:rsid w:val="00DE7C5D"/>
    <w:rsid w:val="00DF0317"/>
    <w:rsid w:val="00DF0564"/>
    <w:rsid w:val="00DF12CB"/>
    <w:rsid w:val="00DF25C3"/>
    <w:rsid w:val="00DF3FED"/>
    <w:rsid w:val="00DF4124"/>
    <w:rsid w:val="00DF6955"/>
    <w:rsid w:val="00DF701E"/>
    <w:rsid w:val="00E0005C"/>
    <w:rsid w:val="00E009A4"/>
    <w:rsid w:val="00E02500"/>
    <w:rsid w:val="00E0458A"/>
    <w:rsid w:val="00E0486E"/>
    <w:rsid w:val="00E07742"/>
    <w:rsid w:val="00E07DCC"/>
    <w:rsid w:val="00E118C4"/>
    <w:rsid w:val="00E13636"/>
    <w:rsid w:val="00E1476F"/>
    <w:rsid w:val="00E15E5A"/>
    <w:rsid w:val="00E203C2"/>
    <w:rsid w:val="00E20823"/>
    <w:rsid w:val="00E22023"/>
    <w:rsid w:val="00E2523D"/>
    <w:rsid w:val="00E25C4F"/>
    <w:rsid w:val="00E302B0"/>
    <w:rsid w:val="00E316D9"/>
    <w:rsid w:val="00E34392"/>
    <w:rsid w:val="00E348DD"/>
    <w:rsid w:val="00E36758"/>
    <w:rsid w:val="00E36BAA"/>
    <w:rsid w:val="00E4106E"/>
    <w:rsid w:val="00E425BB"/>
    <w:rsid w:val="00E441F1"/>
    <w:rsid w:val="00E45635"/>
    <w:rsid w:val="00E45E79"/>
    <w:rsid w:val="00E46418"/>
    <w:rsid w:val="00E47244"/>
    <w:rsid w:val="00E47752"/>
    <w:rsid w:val="00E514C3"/>
    <w:rsid w:val="00E51FA9"/>
    <w:rsid w:val="00E53F53"/>
    <w:rsid w:val="00E541CB"/>
    <w:rsid w:val="00E54DBD"/>
    <w:rsid w:val="00E558A5"/>
    <w:rsid w:val="00E56AF1"/>
    <w:rsid w:val="00E56AFB"/>
    <w:rsid w:val="00E57C7F"/>
    <w:rsid w:val="00E6024C"/>
    <w:rsid w:val="00E60612"/>
    <w:rsid w:val="00E60ACB"/>
    <w:rsid w:val="00E617EE"/>
    <w:rsid w:val="00E61B68"/>
    <w:rsid w:val="00E63796"/>
    <w:rsid w:val="00E66FC5"/>
    <w:rsid w:val="00E67EC9"/>
    <w:rsid w:val="00E70FE0"/>
    <w:rsid w:val="00E7205A"/>
    <w:rsid w:val="00E73DC5"/>
    <w:rsid w:val="00E741E6"/>
    <w:rsid w:val="00E75958"/>
    <w:rsid w:val="00E76020"/>
    <w:rsid w:val="00E76696"/>
    <w:rsid w:val="00E770F8"/>
    <w:rsid w:val="00E775D6"/>
    <w:rsid w:val="00E80AEF"/>
    <w:rsid w:val="00E823A8"/>
    <w:rsid w:val="00E85486"/>
    <w:rsid w:val="00E85D52"/>
    <w:rsid w:val="00E9028F"/>
    <w:rsid w:val="00E917AF"/>
    <w:rsid w:val="00E932CE"/>
    <w:rsid w:val="00E95895"/>
    <w:rsid w:val="00E95BBC"/>
    <w:rsid w:val="00E95CCE"/>
    <w:rsid w:val="00E95ECD"/>
    <w:rsid w:val="00EA15A4"/>
    <w:rsid w:val="00EA249D"/>
    <w:rsid w:val="00EA28AF"/>
    <w:rsid w:val="00EA29F2"/>
    <w:rsid w:val="00EA3CC3"/>
    <w:rsid w:val="00EA4DAB"/>
    <w:rsid w:val="00EA5625"/>
    <w:rsid w:val="00EA5DA8"/>
    <w:rsid w:val="00EA7956"/>
    <w:rsid w:val="00EB024A"/>
    <w:rsid w:val="00EB0638"/>
    <w:rsid w:val="00EB131B"/>
    <w:rsid w:val="00EB1A64"/>
    <w:rsid w:val="00EB266B"/>
    <w:rsid w:val="00EB2E32"/>
    <w:rsid w:val="00EB37D7"/>
    <w:rsid w:val="00EB460D"/>
    <w:rsid w:val="00EB4703"/>
    <w:rsid w:val="00EB4A0F"/>
    <w:rsid w:val="00EB5691"/>
    <w:rsid w:val="00EB5DDA"/>
    <w:rsid w:val="00EB6D04"/>
    <w:rsid w:val="00EC18C4"/>
    <w:rsid w:val="00EC4543"/>
    <w:rsid w:val="00EC4FF1"/>
    <w:rsid w:val="00EC5A6D"/>
    <w:rsid w:val="00EC7646"/>
    <w:rsid w:val="00EC7B7F"/>
    <w:rsid w:val="00ED0340"/>
    <w:rsid w:val="00ED03AA"/>
    <w:rsid w:val="00ED0541"/>
    <w:rsid w:val="00ED09BF"/>
    <w:rsid w:val="00ED1063"/>
    <w:rsid w:val="00ED1238"/>
    <w:rsid w:val="00ED1983"/>
    <w:rsid w:val="00ED19B1"/>
    <w:rsid w:val="00ED352A"/>
    <w:rsid w:val="00ED420E"/>
    <w:rsid w:val="00ED50EE"/>
    <w:rsid w:val="00ED77CC"/>
    <w:rsid w:val="00EE101D"/>
    <w:rsid w:val="00EE77C4"/>
    <w:rsid w:val="00EF0C9C"/>
    <w:rsid w:val="00EF0EA1"/>
    <w:rsid w:val="00EF3D18"/>
    <w:rsid w:val="00EF551D"/>
    <w:rsid w:val="00EF601A"/>
    <w:rsid w:val="00EF6C32"/>
    <w:rsid w:val="00EF7676"/>
    <w:rsid w:val="00EF7B4E"/>
    <w:rsid w:val="00F0028A"/>
    <w:rsid w:val="00F02969"/>
    <w:rsid w:val="00F02B14"/>
    <w:rsid w:val="00F0405B"/>
    <w:rsid w:val="00F04CF9"/>
    <w:rsid w:val="00F04D64"/>
    <w:rsid w:val="00F1014E"/>
    <w:rsid w:val="00F10C6D"/>
    <w:rsid w:val="00F11CFD"/>
    <w:rsid w:val="00F12D35"/>
    <w:rsid w:val="00F13A04"/>
    <w:rsid w:val="00F14567"/>
    <w:rsid w:val="00F148E6"/>
    <w:rsid w:val="00F16AA3"/>
    <w:rsid w:val="00F16EA3"/>
    <w:rsid w:val="00F2167E"/>
    <w:rsid w:val="00F22871"/>
    <w:rsid w:val="00F23AA1"/>
    <w:rsid w:val="00F24942"/>
    <w:rsid w:val="00F2569C"/>
    <w:rsid w:val="00F26C16"/>
    <w:rsid w:val="00F277A4"/>
    <w:rsid w:val="00F321B4"/>
    <w:rsid w:val="00F33A9F"/>
    <w:rsid w:val="00F36D83"/>
    <w:rsid w:val="00F37492"/>
    <w:rsid w:val="00F37C2B"/>
    <w:rsid w:val="00F40885"/>
    <w:rsid w:val="00F414B3"/>
    <w:rsid w:val="00F4344B"/>
    <w:rsid w:val="00F43ACA"/>
    <w:rsid w:val="00F43CA4"/>
    <w:rsid w:val="00F45C58"/>
    <w:rsid w:val="00F46954"/>
    <w:rsid w:val="00F46DB4"/>
    <w:rsid w:val="00F47BD4"/>
    <w:rsid w:val="00F5083A"/>
    <w:rsid w:val="00F511E5"/>
    <w:rsid w:val="00F513BD"/>
    <w:rsid w:val="00F52C4E"/>
    <w:rsid w:val="00F53912"/>
    <w:rsid w:val="00F54CEA"/>
    <w:rsid w:val="00F57564"/>
    <w:rsid w:val="00F5778F"/>
    <w:rsid w:val="00F57AB3"/>
    <w:rsid w:val="00F60499"/>
    <w:rsid w:val="00F60A4F"/>
    <w:rsid w:val="00F620EA"/>
    <w:rsid w:val="00F621F8"/>
    <w:rsid w:val="00F623C6"/>
    <w:rsid w:val="00F624E8"/>
    <w:rsid w:val="00F64F3D"/>
    <w:rsid w:val="00F6589E"/>
    <w:rsid w:val="00F662F8"/>
    <w:rsid w:val="00F675DE"/>
    <w:rsid w:val="00F67F6A"/>
    <w:rsid w:val="00F70110"/>
    <w:rsid w:val="00F7193C"/>
    <w:rsid w:val="00F71C90"/>
    <w:rsid w:val="00F728AC"/>
    <w:rsid w:val="00F739E0"/>
    <w:rsid w:val="00F73E8B"/>
    <w:rsid w:val="00F74ED8"/>
    <w:rsid w:val="00F77FD7"/>
    <w:rsid w:val="00F80A9A"/>
    <w:rsid w:val="00F81BFE"/>
    <w:rsid w:val="00F83B12"/>
    <w:rsid w:val="00F864C4"/>
    <w:rsid w:val="00F90946"/>
    <w:rsid w:val="00F929A2"/>
    <w:rsid w:val="00F93B6A"/>
    <w:rsid w:val="00F93EBE"/>
    <w:rsid w:val="00F94290"/>
    <w:rsid w:val="00F971ED"/>
    <w:rsid w:val="00F97D20"/>
    <w:rsid w:val="00FA0F4A"/>
    <w:rsid w:val="00FA1535"/>
    <w:rsid w:val="00FA1FFF"/>
    <w:rsid w:val="00FA27F5"/>
    <w:rsid w:val="00FA5B45"/>
    <w:rsid w:val="00FA6A25"/>
    <w:rsid w:val="00FA6C31"/>
    <w:rsid w:val="00FA6FA2"/>
    <w:rsid w:val="00FB0DB0"/>
    <w:rsid w:val="00FB2C4F"/>
    <w:rsid w:val="00FB6669"/>
    <w:rsid w:val="00FB7417"/>
    <w:rsid w:val="00FB74DE"/>
    <w:rsid w:val="00FB793F"/>
    <w:rsid w:val="00FC0612"/>
    <w:rsid w:val="00FC09A1"/>
    <w:rsid w:val="00FC1E10"/>
    <w:rsid w:val="00FC1E29"/>
    <w:rsid w:val="00FC1F48"/>
    <w:rsid w:val="00FC34D6"/>
    <w:rsid w:val="00FC39ED"/>
    <w:rsid w:val="00FC74EB"/>
    <w:rsid w:val="00FC7CE0"/>
    <w:rsid w:val="00FD1176"/>
    <w:rsid w:val="00FD1EA1"/>
    <w:rsid w:val="00FD29BA"/>
    <w:rsid w:val="00FD3E10"/>
    <w:rsid w:val="00FD5DB5"/>
    <w:rsid w:val="00FD6341"/>
    <w:rsid w:val="00FD7C7E"/>
    <w:rsid w:val="00FE09F7"/>
    <w:rsid w:val="00FE34E9"/>
    <w:rsid w:val="00FE405C"/>
    <w:rsid w:val="00FE496F"/>
    <w:rsid w:val="00FE5667"/>
    <w:rsid w:val="00FE6BAF"/>
    <w:rsid w:val="00FF01EB"/>
    <w:rsid w:val="00FF0610"/>
    <w:rsid w:val="00FF06D9"/>
    <w:rsid w:val="00FF06EA"/>
    <w:rsid w:val="00FF1211"/>
    <w:rsid w:val="00FF22DD"/>
    <w:rsid w:val="00FF2EA4"/>
    <w:rsid w:val="00FF301A"/>
    <w:rsid w:val="00FF3242"/>
    <w:rsid w:val="00FF3E23"/>
    <w:rsid w:val="00FF43D4"/>
    <w:rsid w:val="00FF79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86017"/>
    <o:shapelayout v:ext="edit">
      <o:idmap v:ext="edit" data="1"/>
    </o:shapelayout>
  </w:shapeDefaults>
  <w:decimalSymbol w:val="."/>
  <w:listSeparator w:val=","/>
  <w14:docId w14:val="7124141A"/>
  <w15:docId w15:val="{8A82A732-9EA4-40DB-8AC5-9F79543A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GB" w:eastAsia="en-US" w:bidi="ar-SA"/>
      </w:rPr>
    </w:rPrDefault>
    <w:pPrDefault/>
  </w:docDefaults>
  <w:latentStyles w:defLockedState="0" w:defUIPriority="2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iPriority="1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6"/>
    <w:qFormat/>
    <w:rsid w:val="000005F4"/>
    <w:pPr>
      <w:spacing w:before="120" w:after="120" w:line="240" w:lineRule="atLeast"/>
      <w:jc w:val="both"/>
    </w:pPr>
    <w:rPr>
      <w:rFonts w:ascii="Arial" w:hAnsi="Arial"/>
      <w:szCs w:val="24"/>
    </w:rPr>
  </w:style>
  <w:style w:type="paragraph" w:styleId="Heading1">
    <w:name w:val="heading 1"/>
    <w:basedOn w:val="NormalLeftAligned"/>
    <w:next w:val="BodyText"/>
    <w:link w:val="Heading1Char"/>
    <w:qFormat/>
    <w:rsid w:val="00A43447"/>
    <w:pPr>
      <w:keepNext/>
      <w:keepLines/>
      <w:pageBreakBefore/>
      <w:numPr>
        <w:numId w:val="19"/>
      </w:numPr>
      <w:spacing w:before="0" w:after="240"/>
      <w:outlineLvl w:val="0"/>
    </w:pPr>
    <w:rPr>
      <w:rFonts w:ascii="Calibri" w:eastAsiaTheme="majorEastAsia" w:hAnsi="Calibri" w:cstheme="majorBidi"/>
      <w:b/>
      <w:bCs/>
      <w:color w:val="0067AC"/>
      <w:sz w:val="32"/>
      <w:szCs w:val="28"/>
    </w:rPr>
  </w:style>
  <w:style w:type="paragraph" w:styleId="Heading2">
    <w:name w:val="heading 2"/>
    <w:basedOn w:val="NormalLeftAligned"/>
    <w:next w:val="BodyText"/>
    <w:link w:val="Heading2Char"/>
    <w:qFormat/>
    <w:rsid w:val="00A43447"/>
    <w:pPr>
      <w:keepNext/>
      <w:keepLines/>
      <w:numPr>
        <w:ilvl w:val="1"/>
        <w:numId w:val="19"/>
      </w:numPr>
      <w:spacing w:before="240" w:line="260" w:lineRule="atLeast"/>
      <w:outlineLvl w:val="1"/>
    </w:pPr>
    <w:rPr>
      <w:rFonts w:ascii="Calibri" w:eastAsiaTheme="majorEastAsia" w:hAnsi="Calibri" w:cstheme="majorBidi"/>
      <w:b/>
      <w:bCs/>
      <w:color w:val="0067AC"/>
      <w:sz w:val="26"/>
      <w:szCs w:val="26"/>
    </w:rPr>
  </w:style>
  <w:style w:type="paragraph" w:styleId="Heading3">
    <w:name w:val="heading 3"/>
    <w:basedOn w:val="NormalLeftAligned"/>
    <w:next w:val="BodyText"/>
    <w:link w:val="Heading3Char"/>
    <w:qFormat/>
    <w:rsid w:val="00A43447"/>
    <w:pPr>
      <w:keepNext/>
      <w:keepLines/>
      <w:numPr>
        <w:ilvl w:val="2"/>
        <w:numId w:val="19"/>
      </w:numPr>
      <w:spacing w:before="200"/>
      <w:outlineLvl w:val="2"/>
    </w:pPr>
    <w:rPr>
      <w:rFonts w:ascii="Calibri" w:eastAsiaTheme="majorEastAsia" w:hAnsi="Calibri" w:cstheme="majorBidi"/>
      <w:b/>
      <w:bCs/>
      <w:color w:val="0067AC"/>
      <w:sz w:val="22"/>
    </w:rPr>
  </w:style>
  <w:style w:type="paragraph" w:styleId="Heading4">
    <w:name w:val="heading 4"/>
    <w:basedOn w:val="NormalLeftAligned"/>
    <w:next w:val="BodyText"/>
    <w:link w:val="Heading4Char"/>
    <w:qFormat/>
    <w:rsid w:val="00A43447"/>
    <w:pPr>
      <w:keepNext/>
      <w:keepLines/>
      <w:numPr>
        <w:ilvl w:val="3"/>
        <w:numId w:val="19"/>
      </w:numPr>
      <w:spacing w:after="0"/>
      <w:outlineLvl w:val="3"/>
    </w:pPr>
    <w:rPr>
      <w:rFonts w:ascii="Calibri" w:eastAsiaTheme="majorEastAsia" w:hAnsi="Calibri" w:cstheme="majorBidi"/>
      <w:b/>
      <w:bCs/>
      <w:i/>
      <w:iCs/>
      <w:color w:val="0067AC"/>
      <w:sz w:val="22"/>
    </w:rPr>
  </w:style>
  <w:style w:type="paragraph" w:styleId="Heading5">
    <w:name w:val="heading 5"/>
    <w:basedOn w:val="Normal"/>
    <w:next w:val="Normal"/>
    <w:link w:val="Heading5Char"/>
    <w:uiPriority w:val="29"/>
    <w:unhideWhenUsed/>
    <w:qFormat/>
    <w:rsid w:val="00A43447"/>
    <w:pPr>
      <w:keepNext/>
      <w:keepLines/>
      <w:numPr>
        <w:ilvl w:val="4"/>
        <w:numId w:val="19"/>
      </w:numPr>
      <w:spacing w:after="0"/>
      <w:outlineLvl w:val="4"/>
    </w:pPr>
    <w:rPr>
      <w:rFonts w:ascii="Calibri" w:eastAsiaTheme="majorEastAsia" w:hAnsi="Calibri" w:cstheme="majorBidi"/>
      <w:b/>
      <w:i/>
      <w:color w:val="0067AC"/>
      <w:sz w:val="22"/>
    </w:rPr>
  </w:style>
  <w:style w:type="paragraph" w:styleId="Heading6">
    <w:name w:val="heading 6"/>
    <w:basedOn w:val="Normal"/>
    <w:next w:val="Normal"/>
    <w:link w:val="Heading6Char"/>
    <w:uiPriority w:val="29"/>
    <w:semiHidden/>
    <w:unhideWhenUsed/>
    <w:qFormat/>
    <w:rsid w:val="002248F3"/>
    <w:pPr>
      <w:keepNext/>
      <w:keepLines/>
      <w:spacing w:before="200" w:after="0"/>
      <w:outlineLvl w:val="5"/>
    </w:pPr>
    <w:rPr>
      <w:rFonts w:ascii="Calibri" w:eastAsiaTheme="majorEastAsia" w:hAnsi="Calibri" w:cstheme="majorBidi"/>
      <w:b/>
      <w:i/>
      <w:iCs/>
      <w:color w:val="0067A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3447"/>
    <w:rPr>
      <w:rFonts w:ascii="Calibri" w:eastAsiaTheme="majorEastAsia" w:hAnsi="Calibri" w:cstheme="majorBidi"/>
      <w:b/>
      <w:bCs/>
      <w:color w:val="0067AC"/>
      <w:sz w:val="32"/>
      <w:szCs w:val="28"/>
    </w:rPr>
  </w:style>
  <w:style w:type="character" w:customStyle="1" w:styleId="Heading2Char">
    <w:name w:val="Heading 2 Char"/>
    <w:basedOn w:val="DefaultParagraphFont"/>
    <w:link w:val="Heading2"/>
    <w:rsid w:val="00A43447"/>
    <w:rPr>
      <w:rFonts w:ascii="Calibri" w:eastAsiaTheme="majorEastAsia" w:hAnsi="Calibri" w:cstheme="majorBidi"/>
      <w:b/>
      <w:bCs/>
      <w:color w:val="0067AC"/>
      <w:sz w:val="26"/>
      <w:szCs w:val="26"/>
    </w:rPr>
  </w:style>
  <w:style w:type="character" w:customStyle="1" w:styleId="Heading3Char">
    <w:name w:val="Heading 3 Char"/>
    <w:basedOn w:val="DefaultParagraphFont"/>
    <w:link w:val="Heading3"/>
    <w:rsid w:val="00A43447"/>
    <w:rPr>
      <w:rFonts w:ascii="Calibri" w:eastAsiaTheme="majorEastAsia" w:hAnsi="Calibri" w:cstheme="majorBidi"/>
      <w:b/>
      <w:bCs/>
      <w:color w:val="0067AC"/>
      <w:sz w:val="22"/>
      <w:szCs w:val="24"/>
    </w:rPr>
  </w:style>
  <w:style w:type="paragraph" w:styleId="BlockText">
    <w:name w:val="Block Text"/>
    <w:basedOn w:val="Normal"/>
    <w:uiPriority w:val="29"/>
    <w:semiHidden/>
    <w:rsid w:val="002B3B7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1"/>
    <w:qFormat/>
    <w:rsid w:val="006F38F9"/>
    <w:pPr>
      <w:ind w:left="851"/>
    </w:pPr>
  </w:style>
  <w:style w:type="character" w:customStyle="1" w:styleId="BodyTextChar">
    <w:name w:val="Body Text Char"/>
    <w:basedOn w:val="DefaultParagraphFont"/>
    <w:link w:val="BodyText"/>
    <w:uiPriority w:val="1"/>
    <w:rsid w:val="006F38F9"/>
    <w:rPr>
      <w:rFonts w:ascii="Arial" w:hAnsi="Arial"/>
      <w:szCs w:val="24"/>
    </w:rPr>
  </w:style>
  <w:style w:type="paragraph" w:customStyle="1" w:styleId="Heading1NoNumb">
    <w:name w:val="Heading 1NoNumb"/>
    <w:basedOn w:val="Heading1"/>
    <w:next w:val="Normal"/>
    <w:uiPriority w:val="5"/>
    <w:qFormat/>
    <w:rsid w:val="009D7497"/>
    <w:pPr>
      <w:numPr>
        <w:numId w:val="0"/>
      </w:numPr>
    </w:pPr>
  </w:style>
  <w:style w:type="paragraph" w:customStyle="1" w:styleId="Heading2NoNumb">
    <w:name w:val="Heading 2NoNumb"/>
    <w:basedOn w:val="Heading2"/>
    <w:next w:val="Normal"/>
    <w:uiPriority w:val="5"/>
    <w:qFormat/>
    <w:rsid w:val="005B10E4"/>
    <w:pPr>
      <w:numPr>
        <w:ilvl w:val="0"/>
        <w:numId w:val="0"/>
      </w:numPr>
    </w:pPr>
  </w:style>
  <w:style w:type="paragraph" w:customStyle="1" w:styleId="BTBullet1">
    <w:name w:val="BTBullet1"/>
    <w:basedOn w:val="Normal"/>
    <w:uiPriority w:val="6"/>
    <w:qFormat/>
    <w:rsid w:val="0094009F"/>
    <w:pPr>
      <w:numPr>
        <w:numId w:val="21"/>
      </w:numPr>
      <w:spacing w:before="0" w:after="0"/>
    </w:pPr>
  </w:style>
  <w:style w:type="paragraph" w:customStyle="1" w:styleId="Figure">
    <w:name w:val="Figure"/>
    <w:basedOn w:val="NormalLeftAligned"/>
    <w:next w:val="BodyText"/>
    <w:uiPriority w:val="11"/>
    <w:qFormat/>
    <w:rsid w:val="00A43447"/>
    <w:pPr>
      <w:keepNext/>
      <w:numPr>
        <w:ilvl w:val="5"/>
        <w:numId w:val="19"/>
      </w:numPr>
      <w:tabs>
        <w:tab w:val="clear" w:pos="3402"/>
        <w:tab w:val="num" w:pos="851"/>
      </w:tabs>
      <w:ind w:left="1928"/>
    </w:pPr>
    <w:rPr>
      <w:rFonts w:ascii="Calibri" w:hAnsi="Calibri"/>
      <w:b/>
      <w:color w:val="0067AC"/>
    </w:rPr>
  </w:style>
  <w:style w:type="paragraph" w:styleId="BalloonText">
    <w:name w:val="Balloon Text"/>
    <w:basedOn w:val="Normal"/>
    <w:link w:val="BalloonTextChar"/>
    <w:uiPriority w:val="29"/>
    <w:semiHidden/>
    <w:rsid w:val="006E2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29"/>
    <w:semiHidden/>
    <w:rsid w:val="00AA63C9"/>
    <w:rPr>
      <w:rFonts w:ascii="Tahoma" w:hAnsi="Tahoma" w:cs="Tahoma"/>
      <w:sz w:val="16"/>
      <w:szCs w:val="16"/>
    </w:rPr>
  </w:style>
  <w:style w:type="paragraph" w:styleId="Header">
    <w:name w:val="header"/>
    <w:basedOn w:val="NormalLeftAligned"/>
    <w:link w:val="HeaderChar"/>
    <w:uiPriority w:val="99"/>
    <w:rsid w:val="00D822CE"/>
    <w:pPr>
      <w:tabs>
        <w:tab w:val="center" w:pos="4513"/>
        <w:tab w:val="right" w:pos="9026"/>
      </w:tabs>
      <w:spacing w:before="0" w:after="0" w:line="240" w:lineRule="auto"/>
      <w:ind w:right="1304"/>
    </w:pPr>
    <w:rPr>
      <w:rFonts w:ascii="Calibri" w:hAnsi="Calibri"/>
      <w:color w:val="0067AC"/>
    </w:rPr>
  </w:style>
  <w:style w:type="character" w:customStyle="1" w:styleId="HeaderChar">
    <w:name w:val="Header Char"/>
    <w:basedOn w:val="DefaultParagraphFont"/>
    <w:link w:val="Header"/>
    <w:uiPriority w:val="99"/>
    <w:rsid w:val="00D822CE"/>
    <w:rPr>
      <w:rFonts w:ascii="Calibri" w:hAnsi="Calibri"/>
      <w:color w:val="0067AC"/>
      <w:szCs w:val="24"/>
    </w:rPr>
  </w:style>
  <w:style w:type="paragraph" w:styleId="Footer">
    <w:name w:val="footer"/>
    <w:basedOn w:val="NormalLeftAligned"/>
    <w:link w:val="FooterChar"/>
    <w:uiPriority w:val="99"/>
    <w:rsid w:val="00313589"/>
    <w:pPr>
      <w:tabs>
        <w:tab w:val="right" w:pos="9072"/>
      </w:tabs>
      <w:spacing w:before="80" w:after="0" w:line="240" w:lineRule="auto"/>
    </w:pPr>
    <w:rPr>
      <w:sz w:val="16"/>
    </w:rPr>
  </w:style>
  <w:style w:type="character" w:customStyle="1" w:styleId="FooterChar">
    <w:name w:val="Footer Char"/>
    <w:basedOn w:val="DefaultParagraphFont"/>
    <w:link w:val="Footer"/>
    <w:uiPriority w:val="99"/>
    <w:rsid w:val="00313589"/>
    <w:rPr>
      <w:rFonts w:ascii="Arial" w:hAnsi="Arial"/>
      <w:sz w:val="16"/>
      <w:szCs w:val="24"/>
    </w:rPr>
  </w:style>
  <w:style w:type="table" w:styleId="TableGrid">
    <w:name w:val="Table Grid"/>
    <w:basedOn w:val="TableNormal"/>
    <w:uiPriority w:val="59"/>
    <w:rsid w:val="001E33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next w:val="Normal"/>
    <w:link w:val="QuoteChar"/>
    <w:uiPriority w:val="10"/>
    <w:qFormat/>
    <w:rsid w:val="00E741E6"/>
    <w:pPr>
      <w:ind w:left="851"/>
    </w:pPr>
    <w:rPr>
      <w:i/>
      <w:iCs/>
      <w:color w:val="000000" w:themeColor="text1"/>
    </w:rPr>
  </w:style>
  <w:style w:type="character" w:customStyle="1" w:styleId="QuoteChar">
    <w:name w:val="Quote Char"/>
    <w:basedOn w:val="DefaultParagraphFont"/>
    <w:link w:val="Quote"/>
    <w:uiPriority w:val="10"/>
    <w:rsid w:val="00E741E6"/>
    <w:rPr>
      <w:rFonts w:ascii="Arial" w:hAnsi="Arial"/>
      <w:i/>
      <w:iCs/>
      <w:color w:val="000000" w:themeColor="text1"/>
      <w:szCs w:val="24"/>
    </w:rPr>
  </w:style>
  <w:style w:type="paragraph" w:customStyle="1" w:styleId="Table">
    <w:name w:val="Table"/>
    <w:basedOn w:val="Normal"/>
    <w:next w:val="BodyText"/>
    <w:uiPriority w:val="11"/>
    <w:qFormat/>
    <w:rsid w:val="00A43447"/>
    <w:pPr>
      <w:keepNext/>
      <w:numPr>
        <w:ilvl w:val="6"/>
        <w:numId w:val="19"/>
      </w:numPr>
      <w:tabs>
        <w:tab w:val="clear" w:pos="2976"/>
        <w:tab w:val="num" w:pos="851"/>
      </w:tabs>
      <w:ind w:left="1928"/>
    </w:pPr>
    <w:rPr>
      <w:rFonts w:ascii="Calibri" w:hAnsi="Calibri"/>
      <w:b/>
      <w:color w:val="0067AC"/>
    </w:rPr>
  </w:style>
  <w:style w:type="paragraph" w:customStyle="1" w:styleId="TableText">
    <w:name w:val="TableText"/>
    <w:basedOn w:val="NormalLeftAligned"/>
    <w:uiPriority w:val="15"/>
    <w:qFormat/>
    <w:rsid w:val="00290380"/>
    <w:pPr>
      <w:spacing w:before="0" w:line="220" w:lineRule="atLeast"/>
      <w:ind w:left="57" w:right="57"/>
    </w:pPr>
    <w:rPr>
      <w:sz w:val="18"/>
    </w:rPr>
  </w:style>
  <w:style w:type="paragraph" w:customStyle="1" w:styleId="TableTitle">
    <w:name w:val="TableTitle"/>
    <w:basedOn w:val="TableText"/>
    <w:uiPriority w:val="14"/>
    <w:qFormat/>
    <w:rsid w:val="00211076"/>
    <w:pPr>
      <w:spacing w:after="0"/>
    </w:pPr>
    <w:rPr>
      <w:rFonts w:ascii="Calibri" w:hAnsi="Calibri"/>
      <w:b/>
      <w:color w:val="0067AC"/>
    </w:rPr>
  </w:style>
  <w:style w:type="character" w:customStyle="1" w:styleId="Heading4Char">
    <w:name w:val="Heading 4 Char"/>
    <w:basedOn w:val="DefaultParagraphFont"/>
    <w:link w:val="Heading4"/>
    <w:rsid w:val="00A43447"/>
    <w:rPr>
      <w:rFonts w:ascii="Calibri" w:eastAsiaTheme="majorEastAsia" w:hAnsi="Calibri" w:cstheme="majorBidi"/>
      <w:b/>
      <w:bCs/>
      <w:i/>
      <w:iCs/>
      <w:color w:val="0067AC"/>
      <w:sz w:val="22"/>
      <w:szCs w:val="24"/>
    </w:rPr>
  </w:style>
  <w:style w:type="paragraph" w:customStyle="1" w:styleId="KeyMessage">
    <w:name w:val="KeyMessage"/>
    <w:basedOn w:val="BodyText"/>
    <w:uiPriority w:val="29"/>
    <w:semiHidden/>
    <w:qFormat/>
    <w:rsid w:val="00B94CCE"/>
    <w:pPr>
      <w:pBdr>
        <w:top w:val="single" w:sz="4" w:space="4" w:color="77C8FF" w:themeColor="text2" w:themeTint="66"/>
        <w:left w:val="single" w:sz="4" w:space="4" w:color="77C8FF" w:themeColor="text2" w:themeTint="66"/>
        <w:bottom w:val="single" w:sz="4" w:space="4" w:color="77C8FF" w:themeColor="text2" w:themeTint="66"/>
        <w:right w:val="single" w:sz="4" w:space="4" w:color="77C8FF" w:themeColor="text2" w:themeTint="66"/>
      </w:pBdr>
      <w:shd w:val="clear" w:color="auto" w:fill="77C8FF" w:themeFill="text2" w:themeFillTint="66"/>
      <w:ind w:left="964" w:right="113"/>
    </w:pPr>
  </w:style>
  <w:style w:type="paragraph" w:customStyle="1" w:styleId="TableNumbList">
    <w:name w:val="TableNumbList"/>
    <w:basedOn w:val="TableText"/>
    <w:uiPriority w:val="17"/>
    <w:qFormat/>
    <w:rsid w:val="00084528"/>
    <w:pPr>
      <w:numPr>
        <w:numId w:val="22"/>
      </w:numPr>
      <w:spacing w:after="0"/>
    </w:pPr>
  </w:style>
  <w:style w:type="paragraph" w:customStyle="1" w:styleId="TableTextNoSpace">
    <w:name w:val="TableTextNoSpace"/>
    <w:basedOn w:val="TableText"/>
    <w:uiPriority w:val="15"/>
    <w:qFormat/>
    <w:rsid w:val="00A82A58"/>
    <w:pPr>
      <w:spacing w:before="40" w:after="40"/>
    </w:pPr>
    <w:rPr>
      <w:sz w:val="20"/>
    </w:rPr>
  </w:style>
  <w:style w:type="paragraph" w:customStyle="1" w:styleId="BTBullet2">
    <w:name w:val="BTBullet2"/>
    <w:basedOn w:val="Normal"/>
    <w:uiPriority w:val="6"/>
    <w:qFormat/>
    <w:rsid w:val="0094009F"/>
    <w:pPr>
      <w:numPr>
        <w:ilvl w:val="1"/>
        <w:numId w:val="21"/>
      </w:numPr>
      <w:spacing w:before="0" w:after="0"/>
    </w:pPr>
  </w:style>
  <w:style w:type="paragraph" w:customStyle="1" w:styleId="NumbList">
    <w:name w:val="NumbList"/>
    <w:basedOn w:val="Normal"/>
    <w:link w:val="NumbListChar"/>
    <w:uiPriority w:val="9"/>
    <w:qFormat/>
    <w:rsid w:val="00541215"/>
    <w:pPr>
      <w:numPr>
        <w:numId w:val="10"/>
      </w:numPr>
      <w:spacing w:before="0" w:after="0"/>
    </w:pPr>
  </w:style>
  <w:style w:type="paragraph" w:customStyle="1" w:styleId="FooterLand">
    <w:name w:val="FooterLand"/>
    <w:basedOn w:val="Footer"/>
    <w:uiPriority w:val="29"/>
    <w:semiHidden/>
    <w:qFormat/>
    <w:rsid w:val="007C5C91"/>
    <w:pPr>
      <w:tabs>
        <w:tab w:val="clear" w:pos="9072"/>
        <w:tab w:val="right" w:pos="14005"/>
      </w:tabs>
    </w:pPr>
  </w:style>
  <w:style w:type="paragraph" w:customStyle="1" w:styleId="TableHeading">
    <w:name w:val="TableHeading"/>
    <w:basedOn w:val="Normal"/>
    <w:next w:val="TableText"/>
    <w:uiPriority w:val="15"/>
    <w:qFormat/>
    <w:rsid w:val="00290380"/>
    <w:pPr>
      <w:spacing w:before="0" w:after="0"/>
      <w:ind w:left="57" w:right="57"/>
    </w:pPr>
    <w:rPr>
      <w:rFonts w:ascii="Calibri" w:hAnsi="Calibri"/>
      <w:color w:val="0067AC"/>
    </w:rPr>
  </w:style>
  <w:style w:type="paragraph" w:styleId="FootnoteText">
    <w:name w:val="footnote text"/>
    <w:basedOn w:val="Normal"/>
    <w:link w:val="FootnoteTextChar"/>
    <w:uiPriority w:val="19"/>
    <w:rsid w:val="00DD05B7"/>
    <w:pPr>
      <w:spacing w:before="0" w:after="60" w:line="240" w:lineRule="auto"/>
    </w:pPr>
    <w:rPr>
      <w:sz w:val="18"/>
      <w:szCs w:val="20"/>
    </w:rPr>
  </w:style>
  <w:style w:type="character" w:customStyle="1" w:styleId="FootnoteTextChar">
    <w:name w:val="Footnote Text Char"/>
    <w:basedOn w:val="DefaultParagraphFont"/>
    <w:link w:val="FootnoteText"/>
    <w:uiPriority w:val="19"/>
    <w:rsid w:val="00AA63C9"/>
    <w:rPr>
      <w:rFonts w:ascii="Arial" w:hAnsi="Arial"/>
      <w:sz w:val="18"/>
    </w:rPr>
  </w:style>
  <w:style w:type="character" w:styleId="FootnoteReference">
    <w:name w:val="footnote reference"/>
    <w:basedOn w:val="DefaultParagraphFont"/>
    <w:uiPriority w:val="19"/>
    <w:rsid w:val="00DD05B7"/>
    <w:rPr>
      <w:vertAlign w:val="superscript"/>
    </w:rPr>
  </w:style>
  <w:style w:type="paragraph" w:customStyle="1" w:styleId="CaseStudy">
    <w:name w:val="CaseStudy"/>
    <w:basedOn w:val="BodyText"/>
    <w:next w:val="TableText"/>
    <w:uiPriority w:val="12"/>
    <w:qFormat/>
    <w:rsid w:val="001C24D0"/>
    <w:pPr>
      <w:numPr>
        <w:numId w:val="15"/>
      </w:numPr>
      <w:tabs>
        <w:tab w:val="left" w:pos="1814"/>
      </w:tabs>
    </w:pPr>
    <w:rPr>
      <w:rFonts w:ascii="Calibri" w:hAnsi="Calibri"/>
      <w:b/>
      <w:color w:val="0067AC"/>
      <w:sz w:val="28"/>
    </w:rPr>
  </w:style>
  <w:style w:type="paragraph" w:customStyle="1" w:styleId="TableLeft">
    <w:name w:val="TableLeft"/>
    <w:basedOn w:val="Table"/>
    <w:uiPriority w:val="29"/>
    <w:semiHidden/>
    <w:qFormat/>
    <w:rsid w:val="002248F3"/>
    <w:pPr>
      <w:ind w:left="1077"/>
    </w:pPr>
  </w:style>
  <w:style w:type="paragraph" w:customStyle="1" w:styleId="Heading1NoTOC">
    <w:name w:val="Heading 1NoTOC"/>
    <w:basedOn w:val="Heading1"/>
    <w:next w:val="Normal"/>
    <w:uiPriority w:val="23"/>
    <w:qFormat/>
    <w:rsid w:val="004B7371"/>
    <w:pPr>
      <w:numPr>
        <w:numId w:val="0"/>
      </w:numPr>
    </w:pPr>
  </w:style>
  <w:style w:type="paragraph" w:styleId="TOC2">
    <w:name w:val="toc 2"/>
    <w:basedOn w:val="NormalLeftAligned"/>
    <w:next w:val="Normal"/>
    <w:autoRedefine/>
    <w:uiPriority w:val="39"/>
    <w:rsid w:val="00FC0612"/>
    <w:pPr>
      <w:tabs>
        <w:tab w:val="right" w:leader="dot" w:pos="9061"/>
      </w:tabs>
      <w:spacing w:after="0"/>
      <w:ind w:right="284"/>
    </w:pPr>
    <w:rPr>
      <w:rFonts w:ascii="Calibri" w:hAnsi="Calibri"/>
      <w:b/>
      <w:color w:val="0067AC"/>
      <w:sz w:val="24"/>
    </w:rPr>
  </w:style>
  <w:style w:type="paragraph" w:styleId="TOC1">
    <w:name w:val="toc 1"/>
    <w:basedOn w:val="NormalLeftAligned"/>
    <w:next w:val="Normal"/>
    <w:autoRedefine/>
    <w:uiPriority w:val="39"/>
    <w:rsid w:val="00150EA7"/>
    <w:pPr>
      <w:tabs>
        <w:tab w:val="left" w:pos="851"/>
        <w:tab w:val="right" w:pos="9044"/>
        <w:tab w:val="right" w:leader="dot" w:pos="9072"/>
      </w:tabs>
      <w:spacing w:after="0"/>
      <w:ind w:left="851" w:right="284" w:hanging="851"/>
      <w:jc w:val="left"/>
    </w:pPr>
    <w:rPr>
      <w:rFonts w:ascii="Calibri" w:hAnsi="Calibri"/>
      <w:b/>
      <w:color w:val="0067AC"/>
      <w:sz w:val="24"/>
    </w:rPr>
  </w:style>
  <w:style w:type="paragraph" w:styleId="TOC3">
    <w:name w:val="toc 3"/>
    <w:basedOn w:val="NormalLeftAligned"/>
    <w:next w:val="Normal"/>
    <w:autoRedefine/>
    <w:uiPriority w:val="39"/>
    <w:rsid w:val="0044073E"/>
    <w:pPr>
      <w:tabs>
        <w:tab w:val="left" w:pos="1100"/>
        <w:tab w:val="right" w:leader="dot" w:pos="9061"/>
      </w:tabs>
      <w:spacing w:before="0" w:after="0"/>
      <w:ind w:left="851" w:right="284" w:hanging="851"/>
    </w:pPr>
  </w:style>
  <w:style w:type="character" w:styleId="Hyperlink">
    <w:name w:val="Hyperlink"/>
    <w:basedOn w:val="DefaultParagraphFont"/>
    <w:uiPriority w:val="99"/>
    <w:unhideWhenUsed/>
    <w:rsid w:val="00ED0340"/>
    <w:rPr>
      <w:color w:val="0000FF" w:themeColor="hyperlink"/>
      <w:u w:val="single"/>
    </w:rPr>
  </w:style>
  <w:style w:type="paragraph" w:styleId="TOC4">
    <w:name w:val="toc 4"/>
    <w:basedOn w:val="NormalLeftAligned"/>
    <w:next w:val="Normal"/>
    <w:autoRedefine/>
    <w:uiPriority w:val="39"/>
    <w:rsid w:val="0044073E"/>
    <w:pPr>
      <w:tabs>
        <w:tab w:val="left" w:pos="1531"/>
        <w:tab w:val="right" w:leader="dot" w:pos="9061"/>
      </w:tabs>
      <w:spacing w:before="0" w:after="0"/>
      <w:ind w:left="1531" w:hanging="680"/>
    </w:pPr>
  </w:style>
  <w:style w:type="paragraph" w:customStyle="1" w:styleId="DocTitle">
    <w:name w:val="DocTitle"/>
    <w:basedOn w:val="NormalLeftAligned"/>
    <w:uiPriority w:val="21"/>
    <w:qFormat/>
    <w:rsid w:val="002248F3"/>
    <w:pPr>
      <w:spacing w:before="600"/>
    </w:pPr>
    <w:rPr>
      <w:rFonts w:ascii="Calibri" w:hAnsi="Calibri"/>
      <w:b/>
      <w:color w:val="0067AC"/>
      <w:sz w:val="48"/>
    </w:rPr>
  </w:style>
  <w:style w:type="paragraph" w:customStyle="1" w:styleId="DocSubTitle">
    <w:name w:val="DocSubTitle"/>
    <w:basedOn w:val="NormalLeftAligned"/>
    <w:uiPriority w:val="21"/>
    <w:qFormat/>
    <w:rsid w:val="002248F3"/>
    <w:rPr>
      <w:rFonts w:ascii="Calibri" w:hAnsi="Calibri"/>
      <w:b/>
      <w:color w:val="0067AC"/>
      <w:sz w:val="28"/>
    </w:rPr>
  </w:style>
  <w:style w:type="paragraph" w:customStyle="1" w:styleId="DocPartner">
    <w:name w:val="DocPartner"/>
    <w:basedOn w:val="NormalLeftAligned"/>
    <w:uiPriority w:val="21"/>
    <w:qFormat/>
    <w:rsid w:val="0074120F"/>
    <w:rPr>
      <w:rFonts w:ascii="Calibri" w:hAnsi="Calibri"/>
      <w:color w:val="0067AC"/>
      <w:sz w:val="24"/>
    </w:rPr>
  </w:style>
  <w:style w:type="paragraph" w:customStyle="1" w:styleId="NormalNoSpace">
    <w:name w:val="NormalNoSpace"/>
    <w:basedOn w:val="Normal"/>
    <w:uiPriority w:val="6"/>
    <w:qFormat/>
    <w:rsid w:val="00760383"/>
    <w:pPr>
      <w:spacing w:before="0" w:after="0"/>
    </w:pPr>
  </w:style>
  <w:style w:type="paragraph" w:customStyle="1" w:styleId="Divider">
    <w:name w:val="Divider"/>
    <w:basedOn w:val="NormalLeftAligned"/>
    <w:next w:val="Normal"/>
    <w:uiPriority w:val="29"/>
    <w:semiHidden/>
    <w:qFormat/>
    <w:rsid w:val="002248F3"/>
    <w:pPr>
      <w:pageBreakBefore/>
      <w:spacing w:line="240" w:lineRule="auto"/>
    </w:pPr>
    <w:rPr>
      <w:rFonts w:ascii="Calibri" w:hAnsi="Calibri"/>
      <w:b/>
      <w:color w:val="0067AC"/>
      <w:sz w:val="72"/>
    </w:rPr>
  </w:style>
  <w:style w:type="paragraph" w:customStyle="1" w:styleId="Evidence">
    <w:name w:val="Evidence"/>
    <w:basedOn w:val="TableText"/>
    <w:next w:val="Normal"/>
    <w:uiPriority w:val="12"/>
    <w:qFormat/>
    <w:rsid w:val="001C24D0"/>
    <w:pPr>
      <w:numPr>
        <w:ilvl w:val="1"/>
        <w:numId w:val="15"/>
      </w:numPr>
      <w:spacing w:before="120"/>
    </w:pPr>
    <w:rPr>
      <w:rFonts w:ascii="Calibri" w:hAnsi="Calibri"/>
      <w:b/>
      <w:color w:val="0067AC"/>
      <w:sz w:val="28"/>
    </w:rPr>
  </w:style>
  <w:style w:type="paragraph" w:customStyle="1" w:styleId="GHKContacts">
    <w:name w:val="GHKContacts"/>
    <w:basedOn w:val="NormalLeftAligned"/>
    <w:uiPriority w:val="29"/>
    <w:qFormat/>
    <w:rsid w:val="005E5044"/>
    <w:pPr>
      <w:spacing w:before="0" w:after="60" w:line="180" w:lineRule="atLeast"/>
    </w:pPr>
    <w:rPr>
      <w:sz w:val="16"/>
    </w:rPr>
  </w:style>
  <w:style w:type="paragraph" w:customStyle="1" w:styleId="GHKContactsHeading">
    <w:name w:val="GHKContactsHeading"/>
    <w:basedOn w:val="GHKContacts"/>
    <w:uiPriority w:val="29"/>
    <w:qFormat/>
    <w:rsid w:val="00211076"/>
    <w:pPr>
      <w:spacing w:before="60" w:after="0"/>
    </w:pPr>
    <w:rPr>
      <w:rFonts w:ascii="Calibri" w:hAnsi="Calibri"/>
      <w:color w:val="0067AC"/>
    </w:rPr>
  </w:style>
  <w:style w:type="paragraph" w:customStyle="1" w:styleId="HeaderTitle">
    <w:name w:val="HeaderTitle"/>
    <w:basedOn w:val="Header"/>
    <w:uiPriority w:val="29"/>
    <w:semiHidden/>
    <w:qFormat/>
    <w:rsid w:val="00B67E25"/>
    <w:pPr>
      <w:spacing w:before="80"/>
    </w:pPr>
  </w:style>
  <w:style w:type="paragraph" w:customStyle="1" w:styleId="DocDate">
    <w:name w:val="DocDate"/>
    <w:basedOn w:val="DocSubTitle"/>
    <w:uiPriority w:val="21"/>
    <w:qFormat/>
    <w:rsid w:val="00FF79A5"/>
    <w:rPr>
      <w:color w:val="000000" w:themeColor="text1"/>
    </w:rPr>
  </w:style>
  <w:style w:type="paragraph" w:customStyle="1" w:styleId="Heading3NoNumb">
    <w:name w:val="Heading 3NoNumb"/>
    <w:basedOn w:val="Heading3"/>
    <w:next w:val="Normal"/>
    <w:uiPriority w:val="5"/>
    <w:qFormat/>
    <w:rsid w:val="002248F3"/>
    <w:pPr>
      <w:numPr>
        <w:ilvl w:val="0"/>
        <w:numId w:val="0"/>
      </w:numPr>
    </w:pPr>
  </w:style>
  <w:style w:type="paragraph" w:customStyle="1" w:styleId="Heading4NoNumb">
    <w:name w:val="Heading 4NoNumb"/>
    <w:basedOn w:val="Heading4"/>
    <w:next w:val="Normal"/>
    <w:uiPriority w:val="5"/>
    <w:qFormat/>
    <w:rsid w:val="002248F3"/>
    <w:pPr>
      <w:numPr>
        <w:ilvl w:val="0"/>
        <w:numId w:val="0"/>
      </w:numPr>
    </w:pPr>
  </w:style>
  <w:style w:type="paragraph" w:styleId="TOC5">
    <w:name w:val="toc 5"/>
    <w:basedOn w:val="NormalLeftAligned"/>
    <w:next w:val="Normal"/>
    <w:autoRedefine/>
    <w:uiPriority w:val="39"/>
    <w:rsid w:val="00F12D35"/>
    <w:pPr>
      <w:spacing w:before="0" w:after="0"/>
    </w:pPr>
  </w:style>
  <w:style w:type="paragraph" w:styleId="TOC6">
    <w:name w:val="toc 6"/>
    <w:basedOn w:val="NormalLeftAligned"/>
    <w:next w:val="Normal"/>
    <w:autoRedefine/>
    <w:uiPriority w:val="39"/>
    <w:rsid w:val="003B4F1B"/>
    <w:pPr>
      <w:tabs>
        <w:tab w:val="left" w:pos="1701"/>
        <w:tab w:val="right" w:leader="dot" w:pos="9072"/>
      </w:tabs>
      <w:spacing w:before="0" w:after="0"/>
      <w:ind w:left="851"/>
    </w:pPr>
  </w:style>
  <w:style w:type="numbering" w:customStyle="1" w:styleId="Style1">
    <w:name w:val="Style1"/>
    <w:uiPriority w:val="99"/>
    <w:rsid w:val="004B7371"/>
    <w:pPr>
      <w:numPr>
        <w:numId w:val="5"/>
      </w:numPr>
    </w:pPr>
  </w:style>
  <w:style w:type="paragraph" w:customStyle="1" w:styleId="BodyTextNoSpace">
    <w:name w:val="Body TextNoSpace"/>
    <w:basedOn w:val="BodyText"/>
    <w:uiPriority w:val="1"/>
    <w:qFormat/>
    <w:rsid w:val="009F75F8"/>
    <w:pPr>
      <w:spacing w:before="0" w:after="0"/>
    </w:pPr>
  </w:style>
  <w:style w:type="paragraph" w:customStyle="1" w:styleId="BTBullet3">
    <w:name w:val="BTBullet3"/>
    <w:basedOn w:val="Normal"/>
    <w:uiPriority w:val="6"/>
    <w:qFormat/>
    <w:rsid w:val="0094009F"/>
    <w:pPr>
      <w:numPr>
        <w:ilvl w:val="2"/>
        <w:numId w:val="21"/>
      </w:numPr>
      <w:spacing w:before="0" w:after="0"/>
    </w:pPr>
  </w:style>
  <w:style w:type="paragraph" w:customStyle="1" w:styleId="NumbListLast">
    <w:name w:val="NumbListLast"/>
    <w:basedOn w:val="NumbList"/>
    <w:uiPriority w:val="9"/>
    <w:qFormat/>
    <w:rsid w:val="00D238C4"/>
    <w:pPr>
      <w:spacing w:after="120"/>
    </w:pPr>
  </w:style>
  <w:style w:type="paragraph" w:customStyle="1" w:styleId="BoxText">
    <w:name w:val="BoxText"/>
    <w:basedOn w:val="NormalLeftAligned"/>
    <w:uiPriority w:val="29"/>
    <w:semiHidden/>
    <w:qFormat/>
    <w:rsid w:val="00381826"/>
    <w:pPr>
      <w:spacing w:before="60" w:after="60" w:line="220" w:lineRule="atLeast"/>
    </w:pPr>
    <w:rPr>
      <w:sz w:val="18"/>
    </w:rPr>
  </w:style>
  <w:style w:type="character" w:styleId="PlaceholderText">
    <w:name w:val="Placeholder Text"/>
    <w:basedOn w:val="DefaultParagraphFont"/>
    <w:uiPriority w:val="99"/>
    <w:semiHidden/>
    <w:rsid w:val="00381826"/>
    <w:rPr>
      <w:color w:val="808080"/>
    </w:rPr>
  </w:style>
  <w:style w:type="paragraph" w:customStyle="1" w:styleId="TableNumbListLast">
    <w:name w:val="TableNumbListLast"/>
    <w:basedOn w:val="TableNumbList"/>
    <w:uiPriority w:val="17"/>
    <w:qFormat/>
    <w:rsid w:val="00256BC8"/>
    <w:pPr>
      <w:spacing w:after="120"/>
    </w:pPr>
  </w:style>
  <w:style w:type="paragraph" w:customStyle="1" w:styleId="BoxTitle">
    <w:name w:val="BoxTitle"/>
    <w:basedOn w:val="NormalLeftAligned"/>
    <w:uiPriority w:val="13"/>
    <w:qFormat/>
    <w:rsid w:val="002248F3"/>
    <w:pPr>
      <w:spacing w:line="320" w:lineRule="atLeast"/>
    </w:pPr>
    <w:rPr>
      <w:rFonts w:ascii="Calibri" w:hAnsi="Calibri"/>
      <w:b/>
      <w:color w:val="0067AC"/>
      <w:sz w:val="28"/>
    </w:rPr>
  </w:style>
  <w:style w:type="paragraph" w:customStyle="1" w:styleId="BTNumbList">
    <w:name w:val="BTNumbList"/>
    <w:basedOn w:val="Normal"/>
    <w:link w:val="BTNumbListChar"/>
    <w:uiPriority w:val="4"/>
    <w:qFormat/>
    <w:rsid w:val="00192D1A"/>
    <w:pPr>
      <w:numPr>
        <w:numId w:val="13"/>
      </w:numPr>
      <w:spacing w:before="0" w:after="0"/>
    </w:pPr>
  </w:style>
  <w:style w:type="paragraph" w:customStyle="1" w:styleId="BTNumbListLast">
    <w:name w:val="BTNumbListLast"/>
    <w:basedOn w:val="BTNumbList"/>
    <w:uiPriority w:val="6"/>
    <w:qFormat/>
    <w:rsid w:val="00D46741"/>
    <w:pPr>
      <w:spacing w:after="120"/>
    </w:pPr>
  </w:style>
  <w:style w:type="character" w:customStyle="1" w:styleId="NumbListChar">
    <w:name w:val="NumbList Char"/>
    <w:basedOn w:val="DefaultParagraphFont"/>
    <w:link w:val="NumbList"/>
    <w:uiPriority w:val="9"/>
    <w:rsid w:val="00541215"/>
    <w:rPr>
      <w:rFonts w:ascii="Arial" w:hAnsi="Arial"/>
      <w:szCs w:val="24"/>
    </w:rPr>
  </w:style>
  <w:style w:type="character" w:customStyle="1" w:styleId="BTNumbListChar">
    <w:name w:val="BTNumbList Char"/>
    <w:basedOn w:val="NumbListChar"/>
    <w:link w:val="BTNumbList"/>
    <w:uiPriority w:val="4"/>
    <w:rsid w:val="00192D1A"/>
    <w:rPr>
      <w:rFonts w:ascii="Arial" w:hAnsi="Arial"/>
      <w:szCs w:val="24"/>
    </w:rPr>
  </w:style>
  <w:style w:type="paragraph" w:customStyle="1" w:styleId="BTNumbList2Last">
    <w:name w:val="BTNumbList2Last"/>
    <w:basedOn w:val="BTNumbList2"/>
    <w:uiPriority w:val="6"/>
    <w:qFormat/>
    <w:rsid w:val="00D46741"/>
    <w:pPr>
      <w:spacing w:after="120"/>
    </w:pPr>
  </w:style>
  <w:style w:type="paragraph" w:customStyle="1" w:styleId="NormalIndent">
    <w:name w:val="NormalIndent"/>
    <w:basedOn w:val="Normal"/>
    <w:uiPriority w:val="6"/>
    <w:qFormat/>
    <w:rsid w:val="00F23AA1"/>
    <w:pPr>
      <w:ind w:left="340"/>
    </w:pPr>
  </w:style>
  <w:style w:type="paragraph" w:customStyle="1" w:styleId="BodyTextIndent">
    <w:name w:val="Body TextIndent"/>
    <w:basedOn w:val="BodyText"/>
    <w:uiPriority w:val="6"/>
    <w:qFormat/>
    <w:rsid w:val="00F23AA1"/>
    <w:pPr>
      <w:ind w:left="1191"/>
    </w:pPr>
  </w:style>
  <w:style w:type="paragraph" w:styleId="ListBullet">
    <w:name w:val="List Bullet"/>
    <w:basedOn w:val="Normal"/>
    <w:uiPriority w:val="29"/>
    <w:semiHidden/>
    <w:rsid w:val="00EB37D7"/>
    <w:pPr>
      <w:numPr>
        <w:numId w:val="1"/>
      </w:numPr>
      <w:contextualSpacing/>
    </w:pPr>
  </w:style>
  <w:style w:type="paragraph" w:styleId="ListBullet2">
    <w:name w:val="List Bullet 2"/>
    <w:basedOn w:val="Normal"/>
    <w:uiPriority w:val="29"/>
    <w:semiHidden/>
    <w:rsid w:val="00EB37D7"/>
    <w:pPr>
      <w:numPr>
        <w:numId w:val="2"/>
      </w:numPr>
      <w:contextualSpacing/>
    </w:pPr>
  </w:style>
  <w:style w:type="paragraph" w:styleId="ListBullet3">
    <w:name w:val="List Bullet 3"/>
    <w:basedOn w:val="Normal"/>
    <w:uiPriority w:val="29"/>
    <w:semiHidden/>
    <w:rsid w:val="00EB37D7"/>
    <w:pPr>
      <w:numPr>
        <w:numId w:val="3"/>
      </w:numPr>
      <w:contextualSpacing/>
    </w:pPr>
  </w:style>
  <w:style w:type="paragraph" w:styleId="ListBullet4">
    <w:name w:val="List Bullet 4"/>
    <w:basedOn w:val="Normal"/>
    <w:uiPriority w:val="29"/>
    <w:semiHidden/>
    <w:rsid w:val="00EB37D7"/>
    <w:pPr>
      <w:numPr>
        <w:numId w:val="4"/>
      </w:numPr>
      <w:contextualSpacing/>
    </w:pPr>
  </w:style>
  <w:style w:type="paragraph" w:customStyle="1" w:styleId="BTBullet1Last">
    <w:name w:val="BTBullet1Last"/>
    <w:basedOn w:val="BTBullet1"/>
    <w:uiPriority w:val="6"/>
    <w:qFormat/>
    <w:rsid w:val="009A75D7"/>
    <w:pPr>
      <w:spacing w:after="120"/>
    </w:pPr>
  </w:style>
  <w:style w:type="paragraph" w:customStyle="1" w:styleId="BTBullet2Last">
    <w:name w:val="BTBullet2Last"/>
    <w:basedOn w:val="BTBullet2"/>
    <w:uiPriority w:val="6"/>
    <w:qFormat/>
    <w:rsid w:val="009A75D7"/>
    <w:pPr>
      <w:spacing w:after="120"/>
    </w:pPr>
  </w:style>
  <w:style w:type="paragraph" w:customStyle="1" w:styleId="Stage">
    <w:name w:val="Stage"/>
    <w:basedOn w:val="BodyText"/>
    <w:next w:val="BodyText"/>
    <w:uiPriority w:val="6"/>
    <w:qFormat/>
    <w:rsid w:val="00EF551D"/>
    <w:pPr>
      <w:numPr>
        <w:numId w:val="14"/>
      </w:numPr>
    </w:pPr>
    <w:rPr>
      <w:rFonts w:ascii="Calibri" w:hAnsi="Calibri"/>
      <w:color w:val="0067AC"/>
      <w:sz w:val="24"/>
    </w:rPr>
  </w:style>
  <w:style w:type="paragraph" w:customStyle="1" w:styleId="Task">
    <w:name w:val="Task"/>
    <w:basedOn w:val="BodyText"/>
    <w:next w:val="BodyText"/>
    <w:uiPriority w:val="6"/>
    <w:qFormat/>
    <w:rsid w:val="00EF551D"/>
    <w:pPr>
      <w:numPr>
        <w:ilvl w:val="1"/>
        <w:numId w:val="14"/>
      </w:numPr>
    </w:pPr>
    <w:rPr>
      <w:rFonts w:ascii="Calibri" w:hAnsi="Calibri"/>
      <w:color w:val="0067AC"/>
    </w:rPr>
  </w:style>
  <w:style w:type="paragraph" w:styleId="TOC7">
    <w:name w:val="toc 7"/>
    <w:basedOn w:val="NormalLeftAligned"/>
    <w:next w:val="Normal"/>
    <w:autoRedefine/>
    <w:uiPriority w:val="39"/>
    <w:rsid w:val="0044073E"/>
    <w:pPr>
      <w:tabs>
        <w:tab w:val="right" w:leader="dot" w:pos="9061"/>
      </w:tabs>
      <w:spacing w:before="0" w:after="0"/>
      <w:ind w:left="851" w:hanging="851"/>
    </w:pPr>
  </w:style>
  <w:style w:type="paragraph" w:customStyle="1" w:styleId="Recommendation">
    <w:name w:val="Recommendation"/>
    <w:basedOn w:val="BoxTitle"/>
    <w:next w:val="TableText"/>
    <w:uiPriority w:val="6"/>
    <w:qFormat/>
    <w:rsid w:val="001C24D0"/>
    <w:pPr>
      <w:numPr>
        <w:ilvl w:val="3"/>
        <w:numId w:val="15"/>
      </w:numPr>
    </w:pPr>
  </w:style>
  <w:style w:type="paragraph" w:customStyle="1" w:styleId="Conclusion">
    <w:name w:val="Conclusion"/>
    <w:basedOn w:val="BoxTitle"/>
    <w:next w:val="TableText"/>
    <w:uiPriority w:val="6"/>
    <w:qFormat/>
    <w:rsid w:val="001C24D0"/>
    <w:pPr>
      <w:numPr>
        <w:ilvl w:val="2"/>
        <w:numId w:val="15"/>
      </w:numPr>
    </w:pPr>
  </w:style>
  <w:style w:type="paragraph" w:customStyle="1" w:styleId="Heading1noPg">
    <w:name w:val="Heading 1noPg"/>
    <w:basedOn w:val="Heading1"/>
    <w:uiPriority w:val="6"/>
    <w:qFormat/>
    <w:rsid w:val="008016B1"/>
    <w:pPr>
      <w:pageBreakBefore w:val="0"/>
      <w:spacing w:before="360"/>
    </w:pPr>
  </w:style>
  <w:style w:type="paragraph" w:customStyle="1" w:styleId="NumbList2">
    <w:name w:val="NumbList2"/>
    <w:basedOn w:val="Normal"/>
    <w:uiPriority w:val="6"/>
    <w:qFormat/>
    <w:rsid w:val="00541215"/>
    <w:pPr>
      <w:numPr>
        <w:ilvl w:val="1"/>
        <w:numId w:val="10"/>
      </w:numPr>
      <w:spacing w:before="0" w:after="0"/>
    </w:pPr>
  </w:style>
  <w:style w:type="paragraph" w:customStyle="1" w:styleId="NumbList2Last">
    <w:name w:val="NumbList2Last"/>
    <w:basedOn w:val="NumbList2"/>
    <w:uiPriority w:val="6"/>
    <w:qFormat/>
    <w:rsid w:val="00F60499"/>
    <w:pPr>
      <w:spacing w:after="120"/>
    </w:pPr>
  </w:style>
  <w:style w:type="paragraph" w:customStyle="1" w:styleId="BTNumbList2">
    <w:name w:val="BTNumbList2"/>
    <w:basedOn w:val="Normal"/>
    <w:uiPriority w:val="6"/>
    <w:qFormat/>
    <w:rsid w:val="00192D1A"/>
    <w:pPr>
      <w:numPr>
        <w:ilvl w:val="1"/>
        <w:numId w:val="13"/>
      </w:numPr>
      <w:spacing w:before="0" w:after="0"/>
    </w:pPr>
  </w:style>
  <w:style w:type="paragraph" w:customStyle="1" w:styleId="NormalIndent2">
    <w:name w:val="NormalIndent2"/>
    <w:basedOn w:val="Normal"/>
    <w:uiPriority w:val="6"/>
    <w:qFormat/>
    <w:rsid w:val="00C97199"/>
    <w:pPr>
      <w:ind w:left="680"/>
    </w:pPr>
  </w:style>
  <w:style w:type="paragraph" w:customStyle="1" w:styleId="BodyTextIndent2">
    <w:name w:val="Body TextIndent2"/>
    <w:basedOn w:val="BodyTextIndent"/>
    <w:uiPriority w:val="6"/>
    <w:qFormat/>
    <w:rsid w:val="00656054"/>
    <w:pPr>
      <w:ind w:left="1531"/>
    </w:pPr>
  </w:style>
  <w:style w:type="paragraph" w:customStyle="1" w:styleId="TableSource">
    <w:name w:val="TableSource"/>
    <w:basedOn w:val="BodyText"/>
    <w:uiPriority w:val="6"/>
    <w:qFormat/>
    <w:rsid w:val="001E4ED8"/>
    <w:pPr>
      <w:spacing w:line="200" w:lineRule="atLeast"/>
    </w:pPr>
    <w:rPr>
      <w:i/>
      <w:sz w:val="18"/>
    </w:rPr>
  </w:style>
  <w:style w:type="paragraph" w:customStyle="1" w:styleId="NormalLeftAligned">
    <w:name w:val="NormalLeftAligned"/>
    <w:basedOn w:val="Normal"/>
    <w:uiPriority w:val="6"/>
    <w:qFormat/>
    <w:rsid w:val="00495771"/>
  </w:style>
  <w:style w:type="paragraph" w:styleId="TOC8">
    <w:name w:val="toc 8"/>
    <w:basedOn w:val="NormalLeftAligned"/>
    <w:next w:val="Normal"/>
    <w:autoRedefine/>
    <w:uiPriority w:val="39"/>
    <w:rsid w:val="008D680F"/>
    <w:pPr>
      <w:spacing w:before="60" w:after="60"/>
      <w:ind w:left="1134" w:hanging="1134"/>
    </w:pPr>
  </w:style>
  <w:style w:type="paragraph" w:styleId="TOC9">
    <w:name w:val="toc 9"/>
    <w:basedOn w:val="NormalLeftAligned"/>
    <w:next w:val="Normal"/>
    <w:autoRedefine/>
    <w:uiPriority w:val="29"/>
    <w:rsid w:val="00495771"/>
    <w:pPr>
      <w:spacing w:after="100"/>
      <w:ind w:left="1600"/>
    </w:pPr>
  </w:style>
  <w:style w:type="numbering" w:customStyle="1" w:styleId="NumbLstBoxes">
    <w:name w:val="NumbLstBoxes"/>
    <w:uiPriority w:val="99"/>
    <w:rsid w:val="001C24D0"/>
    <w:pPr>
      <w:numPr>
        <w:numId w:val="6"/>
      </w:numPr>
    </w:pPr>
  </w:style>
  <w:style w:type="paragraph" w:customStyle="1" w:styleId="Heading2NoNumbNoToc">
    <w:name w:val="Heading 2NoNumbNoToc"/>
    <w:basedOn w:val="Heading2NoNumb"/>
    <w:uiPriority w:val="6"/>
    <w:qFormat/>
    <w:rsid w:val="000142F4"/>
    <w:pPr>
      <w:spacing w:before="0"/>
    </w:pPr>
  </w:style>
  <w:style w:type="character" w:customStyle="1" w:styleId="Heading5Char">
    <w:name w:val="Heading 5 Char"/>
    <w:basedOn w:val="DefaultParagraphFont"/>
    <w:link w:val="Heading5"/>
    <w:uiPriority w:val="29"/>
    <w:rsid w:val="00A43447"/>
    <w:rPr>
      <w:rFonts w:ascii="Calibri" w:eastAsiaTheme="majorEastAsia" w:hAnsi="Calibri" w:cstheme="majorBidi"/>
      <w:b/>
      <w:i/>
      <w:color w:val="0067AC"/>
      <w:sz w:val="22"/>
      <w:szCs w:val="24"/>
    </w:rPr>
  </w:style>
  <w:style w:type="numbering" w:customStyle="1" w:styleId="NumbLstMain">
    <w:name w:val="NumbLstMain"/>
    <w:uiPriority w:val="99"/>
    <w:rsid w:val="00A43447"/>
    <w:pPr>
      <w:numPr>
        <w:numId w:val="7"/>
      </w:numPr>
    </w:pPr>
  </w:style>
  <w:style w:type="paragraph" w:customStyle="1" w:styleId="BoxNumb">
    <w:name w:val="BoxNumb"/>
    <w:basedOn w:val="BoxTitle"/>
    <w:next w:val="Normal"/>
    <w:uiPriority w:val="6"/>
    <w:qFormat/>
    <w:rsid w:val="001C24D0"/>
    <w:pPr>
      <w:numPr>
        <w:ilvl w:val="4"/>
        <w:numId w:val="15"/>
      </w:numPr>
    </w:pPr>
  </w:style>
  <w:style w:type="paragraph" w:customStyle="1" w:styleId="TaskManual">
    <w:name w:val="TaskManual"/>
    <w:basedOn w:val="Task"/>
    <w:uiPriority w:val="6"/>
    <w:qFormat/>
    <w:rsid w:val="00EF551D"/>
    <w:pPr>
      <w:numPr>
        <w:ilvl w:val="0"/>
        <w:numId w:val="0"/>
      </w:numPr>
      <w:ind w:left="1815" w:hanging="964"/>
    </w:pPr>
  </w:style>
  <w:style w:type="paragraph" w:customStyle="1" w:styleId="Box">
    <w:name w:val="Box"/>
    <w:basedOn w:val="Normal"/>
    <w:next w:val="BodyText"/>
    <w:uiPriority w:val="6"/>
    <w:qFormat/>
    <w:rsid w:val="00A43447"/>
    <w:pPr>
      <w:numPr>
        <w:ilvl w:val="7"/>
        <w:numId w:val="19"/>
      </w:numPr>
    </w:pPr>
    <w:rPr>
      <w:rFonts w:ascii="Calibri" w:hAnsi="Calibri"/>
      <w:b/>
      <w:color w:val="0067AC"/>
    </w:rPr>
  </w:style>
  <w:style w:type="character" w:customStyle="1" w:styleId="Heading6Char">
    <w:name w:val="Heading 6 Char"/>
    <w:basedOn w:val="DefaultParagraphFont"/>
    <w:link w:val="Heading6"/>
    <w:uiPriority w:val="29"/>
    <w:semiHidden/>
    <w:rsid w:val="002248F3"/>
    <w:rPr>
      <w:rFonts w:ascii="Calibri" w:eastAsiaTheme="majorEastAsia" w:hAnsi="Calibri" w:cstheme="majorBidi"/>
      <w:b/>
      <w:i/>
      <w:iCs/>
      <w:color w:val="0067AC"/>
      <w:szCs w:val="24"/>
    </w:rPr>
  </w:style>
  <w:style w:type="numbering" w:customStyle="1" w:styleId="NumbLstTableNumb">
    <w:name w:val="NumbLstTableNumb"/>
    <w:uiPriority w:val="99"/>
    <w:rsid w:val="00084528"/>
    <w:pPr>
      <w:numPr>
        <w:numId w:val="8"/>
      </w:numPr>
    </w:pPr>
  </w:style>
  <w:style w:type="numbering" w:customStyle="1" w:styleId="NumbLstNumb">
    <w:name w:val="NumbLstNumb"/>
    <w:uiPriority w:val="99"/>
    <w:rsid w:val="00541215"/>
    <w:pPr>
      <w:numPr>
        <w:numId w:val="9"/>
      </w:numPr>
    </w:pPr>
  </w:style>
  <w:style w:type="paragraph" w:customStyle="1" w:styleId="NumbList3">
    <w:name w:val="NumbList3"/>
    <w:basedOn w:val="Normal"/>
    <w:rsid w:val="00541215"/>
    <w:pPr>
      <w:numPr>
        <w:ilvl w:val="2"/>
        <w:numId w:val="10"/>
      </w:numPr>
      <w:spacing w:before="0" w:after="0"/>
    </w:pPr>
  </w:style>
  <w:style w:type="paragraph" w:customStyle="1" w:styleId="Bullet1">
    <w:name w:val="Bullet1"/>
    <w:basedOn w:val="Normal"/>
    <w:uiPriority w:val="6"/>
    <w:qFormat/>
    <w:rsid w:val="000005F4"/>
    <w:pPr>
      <w:numPr>
        <w:numId w:val="16"/>
      </w:numPr>
      <w:spacing w:before="0" w:after="0"/>
      <w:ind w:left="397" w:right="57"/>
    </w:pPr>
  </w:style>
  <w:style w:type="paragraph" w:customStyle="1" w:styleId="Bullet2">
    <w:name w:val="Bullet2"/>
    <w:basedOn w:val="Normal"/>
    <w:uiPriority w:val="6"/>
    <w:qFormat/>
    <w:rsid w:val="00666378"/>
    <w:pPr>
      <w:numPr>
        <w:ilvl w:val="1"/>
        <w:numId w:val="16"/>
      </w:numPr>
      <w:spacing w:before="0" w:after="0"/>
    </w:pPr>
  </w:style>
  <w:style w:type="paragraph" w:customStyle="1" w:styleId="Bullet3">
    <w:name w:val="Bullet3"/>
    <w:basedOn w:val="Normal"/>
    <w:uiPriority w:val="6"/>
    <w:qFormat/>
    <w:rsid w:val="00666378"/>
    <w:pPr>
      <w:numPr>
        <w:ilvl w:val="2"/>
        <w:numId w:val="16"/>
      </w:numPr>
      <w:spacing w:before="0" w:after="0"/>
    </w:pPr>
  </w:style>
  <w:style w:type="numbering" w:customStyle="1" w:styleId="NumbLstBullet">
    <w:name w:val="NumbLstBullet"/>
    <w:uiPriority w:val="99"/>
    <w:rsid w:val="00666378"/>
    <w:pPr>
      <w:numPr>
        <w:numId w:val="11"/>
      </w:numPr>
    </w:pPr>
  </w:style>
  <w:style w:type="paragraph" w:customStyle="1" w:styleId="Bullet1Last">
    <w:name w:val="Bullet1Last"/>
    <w:basedOn w:val="Bullet1"/>
    <w:uiPriority w:val="6"/>
    <w:qFormat/>
    <w:rsid w:val="00D41F7E"/>
    <w:pPr>
      <w:spacing w:after="120"/>
    </w:pPr>
  </w:style>
  <w:style w:type="paragraph" w:customStyle="1" w:styleId="Bullet2Last">
    <w:name w:val="Bullet2Last"/>
    <w:basedOn w:val="Bullet2"/>
    <w:uiPriority w:val="6"/>
    <w:qFormat/>
    <w:rsid w:val="00D41F7E"/>
    <w:pPr>
      <w:spacing w:after="120"/>
    </w:pPr>
  </w:style>
  <w:style w:type="paragraph" w:customStyle="1" w:styleId="Bullet3Last">
    <w:name w:val="Bullet3Last"/>
    <w:basedOn w:val="Bullet3"/>
    <w:uiPriority w:val="6"/>
    <w:qFormat/>
    <w:rsid w:val="00D41F7E"/>
    <w:pPr>
      <w:spacing w:after="120"/>
    </w:pPr>
  </w:style>
  <w:style w:type="paragraph" w:customStyle="1" w:styleId="BTBullet3Last">
    <w:name w:val="BTBullet3Last"/>
    <w:basedOn w:val="BTBullet3"/>
    <w:uiPriority w:val="6"/>
    <w:qFormat/>
    <w:rsid w:val="009A75D7"/>
    <w:pPr>
      <w:spacing w:after="120"/>
    </w:pPr>
  </w:style>
  <w:style w:type="paragraph" w:customStyle="1" w:styleId="TableBullet">
    <w:name w:val="TableBullet"/>
    <w:basedOn w:val="TableText"/>
    <w:uiPriority w:val="6"/>
    <w:qFormat/>
    <w:rsid w:val="00A82A58"/>
    <w:pPr>
      <w:numPr>
        <w:numId w:val="23"/>
      </w:numPr>
      <w:spacing w:before="40" w:after="40"/>
    </w:pPr>
    <w:rPr>
      <w:sz w:val="20"/>
    </w:rPr>
  </w:style>
  <w:style w:type="numbering" w:customStyle="1" w:styleId="NumbLstTableBullet">
    <w:name w:val="NumbLstTableBullet"/>
    <w:uiPriority w:val="99"/>
    <w:rsid w:val="00084528"/>
    <w:pPr>
      <w:numPr>
        <w:numId w:val="12"/>
      </w:numPr>
    </w:pPr>
  </w:style>
  <w:style w:type="paragraph" w:customStyle="1" w:styleId="NumbList3Last">
    <w:name w:val="NumbList3Last"/>
    <w:basedOn w:val="NumbList3"/>
    <w:uiPriority w:val="6"/>
    <w:qFormat/>
    <w:rsid w:val="00192D1A"/>
    <w:pPr>
      <w:spacing w:after="120"/>
      <w:ind w:left="1020" w:hanging="340"/>
    </w:pPr>
  </w:style>
  <w:style w:type="paragraph" w:customStyle="1" w:styleId="BTNumbList3">
    <w:name w:val="BTNumbList3"/>
    <w:basedOn w:val="Normal"/>
    <w:uiPriority w:val="6"/>
    <w:qFormat/>
    <w:rsid w:val="003A4FC4"/>
    <w:pPr>
      <w:numPr>
        <w:ilvl w:val="2"/>
        <w:numId w:val="13"/>
      </w:numPr>
      <w:spacing w:before="0" w:after="0"/>
    </w:pPr>
  </w:style>
  <w:style w:type="paragraph" w:customStyle="1" w:styleId="BTNumbList3Last">
    <w:name w:val="BTNumbList3Last"/>
    <w:basedOn w:val="BTNumbList3"/>
    <w:uiPriority w:val="6"/>
    <w:qFormat/>
    <w:rsid w:val="003A4FC4"/>
    <w:pPr>
      <w:spacing w:after="120"/>
    </w:pPr>
  </w:style>
  <w:style w:type="numbering" w:customStyle="1" w:styleId="NumbLstStage">
    <w:name w:val="NumbLstStage"/>
    <w:uiPriority w:val="99"/>
    <w:rsid w:val="00C06A4D"/>
    <w:pPr>
      <w:numPr>
        <w:numId w:val="14"/>
      </w:numPr>
    </w:pPr>
  </w:style>
  <w:style w:type="paragraph" w:customStyle="1" w:styleId="TableBulletLast">
    <w:name w:val="TableBulletLast"/>
    <w:basedOn w:val="TableBullet"/>
    <w:uiPriority w:val="6"/>
    <w:qFormat/>
    <w:rsid w:val="00C06A4D"/>
    <w:pPr>
      <w:spacing w:after="120"/>
    </w:pPr>
  </w:style>
  <w:style w:type="paragraph" w:styleId="Title">
    <w:name w:val="Title"/>
    <w:basedOn w:val="Normal"/>
    <w:next w:val="Normal"/>
    <w:link w:val="TitleChar"/>
    <w:uiPriority w:val="29"/>
    <w:semiHidden/>
    <w:qFormat/>
    <w:rsid w:val="003150A0"/>
    <w:pPr>
      <w:pBdr>
        <w:bottom w:val="single" w:sz="8" w:space="4" w:color="4F81BD" w:themeColor="accent1"/>
      </w:pBdr>
      <w:spacing w:before="0" w:after="300" w:line="240" w:lineRule="auto"/>
      <w:contextualSpacing/>
    </w:pPr>
    <w:rPr>
      <w:rFonts w:asciiTheme="majorHAnsi" w:eastAsiaTheme="majorEastAsia" w:hAnsiTheme="majorHAnsi" w:cstheme="majorBidi"/>
      <w:color w:val="0067AC"/>
      <w:spacing w:val="5"/>
      <w:kern w:val="28"/>
      <w:sz w:val="52"/>
      <w:szCs w:val="52"/>
    </w:rPr>
  </w:style>
  <w:style w:type="character" w:customStyle="1" w:styleId="TitleChar">
    <w:name w:val="Title Char"/>
    <w:basedOn w:val="DefaultParagraphFont"/>
    <w:link w:val="Title"/>
    <w:uiPriority w:val="29"/>
    <w:semiHidden/>
    <w:rsid w:val="003150A0"/>
    <w:rPr>
      <w:rFonts w:asciiTheme="majorHAnsi" w:eastAsiaTheme="majorEastAsia" w:hAnsiTheme="majorHAnsi" w:cstheme="majorBidi"/>
      <w:color w:val="0067AC"/>
      <w:spacing w:val="5"/>
      <w:kern w:val="28"/>
      <w:sz w:val="52"/>
      <w:szCs w:val="52"/>
    </w:rPr>
  </w:style>
  <w:style w:type="paragraph" w:customStyle="1" w:styleId="AnnexHeading">
    <w:name w:val="AnnexHeading"/>
    <w:basedOn w:val="Normal"/>
    <w:next w:val="Normal"/>
    <w:uiPriority w:val="6"/>
    <w:qFormat/>
    <w:rsid w:val="00404FE4"/>
    <w:pPr>
      <w:keepNext/>
      <w:pageBreakBefore/>
      <w:numPr>
        <w:numId w:val="18"/>
      </w:numPr>
      <w:tabs>
        <w:tab w:val="clear" w:pos="1871"/>
        <w:tab w:val="num" w:pos="1304"/>
      </w:tabs>
      <w:spacing w:before="0" w:after="240"/>
      <w:ind w:left="1304"/>
    </w:pPr>
    <w:rPr>
      <w:rFonts w:ascii="Calibri" w:hAnsi="Calibri"/>
      <w:b/>
      <w:color w:val="0067AC"/>
      <w:sz w:val="32"/>
    </w:rPr>
  </w:style>
  <w:style w:type="paragraph" w:customStyle="1" w:styleId="AnnexH2">
    <w:name w:val="AnnexH2"/>
    <w:basedOn w:val="Normal"/>
    <w:next w:val="BodyText"/>
    <w:uiPriority w:val="6"/>
    <w:qFormat/>
    <w:rsid w:val="00404FE4"/>
    <w:pPr>
      <w:keepNext/>
      <w:numPr>
        <w:ilvl w:val="1"/>
        <w:numId w:val="18"/>
      </w:numPr>
      <w:spacing w:before="200"/>
    </w:pPr>
    <w:rPr>
      <w:rFonts w:ascii="Calibri" w:hAnsi="Calibri"/>
      <w:b/>
      <w:color w:val="0067AC"/>
      <w:sz w:val="26"/>
    </w:rPr>
  </w:style>
  <w:style w:type="paragraph" w:customStyle="1" w:styleId="AnnexH3">
    <w:name w:val="AnnexH3"/>
    <w:basedOn w:val="Normal"/>
    <w:next w:val="BodyText"/>
    <w:uiPriority w:val="6"/>
    <w:qFormat/>
    <w:rsid w:val="00404FE4"/>
    <w:pPr>
      <w:keepNext/>
      <w:numPr>
        <w:ilvl w:val="2"/>
        <w:numId w:val="18"/>
      </w:numPr>
      <w:spacing w:before="200"/>
    </w:pPr>
    <w:rPr>
      <w:rFonts w:ascii="Calibri" w:hAnsi="Calibri"/>
      <w:b/>
      <w:color w:val="0067AC"/>
      <w:sz w:val="22"/>
    </w:rPr>
  </w:style>
  <w:style w:type="paragraph" w:customStyle="1" w:styleId="AnnexH4">
    <w:name w:val="AnnexH4"/>
    <w:basedOn w:val="Normal"/>
    <w:next w:val="BodyText"/>
    <w:uiPriority w:val="6"/>
    <w:qFormat/>
    <w:rsid w:val="00404FE4"/>
    <w:pPr>
      <w:keepNext/>
      <w:numPr>
        <w:ilvl w:val="3"/>
        <w:numId w:val="18"/>
      </w:numPr>
    </w:pPr>
    <w:rPr>
      <w:rFonts w:ascii="Calibri" w:hAnsi="Calibri"/>
      <w:b/>
      <w:i/>
      <w:color w:val="0067AC"/>
      <w:sz w:val="22"/>
    </w:rPr>
  </w:style>
  <w:style w:type="paragraph" w:customStyle="1" w:styleId="AnnexTable">
    <w:name w:val="AnnexTable"/>
    <w:basedOn w:val="Normal"/>
    <w:next w:val="BodyText"/>
    <w:uiPriority w:val="6"/>
    <w:qFormat/>
    <w:rsid w:val="00404FE4"/>
    <w:pPr>
      <w:keepNext/>
      <w:numPr>
        <w:ilvl w:val="4"/>
        <w:numId w:val="18"/>
      </w:numPr>
    </w:pPr>
    <w:rPr>
      <w:rFonts w:ascii="Calibri" w:hAnsi="Calibri"/>
      <w:b/>
      <w:color w:val="0067AC"/>
    </w:rPr>
  </w:style>
  <w:style w:type="paragraph" w:customStyle="1" w:styleId="AnnexFigure">
    <w:name w:val="AnnexFigure"/>
    <w:basedOn w:val="Normal"/>
    <w:next w:val="BodyText"/>
    <w:uiPriority w:val="6"/>
    <w:qFormat/>
    <w:rsid w:val="00404FE4"/>
    <w:pPr>
      <w:keepNext/>
      <w:numPr>
        <w:ilvl w:val="5"/>
        <w:numId w:val="18"/>
      </w:numPr>
    </w:pPr>
    <w:rPr>
      <w:rFonts w:ascii="Calibri" w:hAnsi="Calibri"/>
      <w:b/>
      <w:color w:val="0067AC"/>
    </w:rPr>
  </w:style>
  <w:style w:type="numbering" w:customStyle="1" w:styleId="NumbLstAnnex">
    <w:name w:val="NumbLstAnnex"/>
    <w:uiPriority w:val="99"/>
    <w:rsid w:val="00404FE4"/>
    <w:pPr>
      <w:numPr>
        <w:numId w:val="17"/>
      </w:numPr>
    </w:pPr>
  </w:style>
  <w:style w:type="paragraph" w:customStyle="1" w:styleId="AnnexHeadingNoPage">
    <w:name w:val="AnnexHeading NoPage"/>
    <w:basedOn w:val="AnnexHeading"/>
    <w:next w:val="Normal"/>
    <w:uiPriority w:val="6"/>
    <w:qFormat/>
    <w:rsid w:val="00844A98"/>
    <w:pPr>
      <w:pageBreakBefore w:val="0"/>
    </w:pPr>
  </w:style>
  <w:style w:type="paragraph" w:customStyle="1" w:styleId="StyleTableTextNoSpace8pt">
    <w:name w:val="Style TableTextNoSpace + 8 pt"/>
    <w:basedOn w:val="TableTextNoSpace"/>
    <w:rsid w:val="00095BA6"/>
    <w:rPr>
      <w:sz w:val="16"/>
    </w:rPr>
  </w:style>
  <w:style w:type="numbering" w:customStyle="1" w:styleId="NumbLstBTBullet">
    <w:name w:val="NumbLstBTBullet"/>
    <w:rsid w:val="0094009F"/>
    <w:pPr>
      <w:numPr>
        <w:numId w:val="20"/>
      </w:numPr>
    </w:pPr>
  </w:style>
  <w:style w:type="character" w:styleId="PageNumber">
    <w:name w:val="page number"/>
    <w:basedOn w:val="DefaultParagraphFont"/>
    <w:uiPriority w:val="99"/>
    <w:semiHidden/>
    <w:rsid w:val="00DE3F5F"/>
    <w:rPr>
      <w:rFonts w:ascii="Calibri" w:hAnsi="Calibri"/>
      <w:b/>
      <w:color w:val="auto"/>
      <w:sz w:val="22"/>
    </w:rPr>
  </w:style>
  <w:style w:type="paragraph" w:customStyle="1" w:styleId="DocAddress">
    <w:name w:val="DocAddress"/>
    <w:basedOn w:val="Normal"/>
    <w:uiPriority w:val="29"/>
    <w:semiHidden/>
    <w:qFormat/>
    <w:rsid w:val="0091335A"/>
    <w:pPr>
      <w:spacing w:before="80" w:after="0" w:line="264" w:lineRule="auto"/>
    </w:pPr>
    <w:rPr>
      <w:rFonts w:cs="Arial"/>
      <w:color w:val="0067AB"/>
      <w:sz w:val="18"/>
      <w:szCs w:val="26"/>
    </w:rPr>
  </w:style>
  <w:style w:type="paragraph" w:customStyle="1" w:styleId="Source">
    <w:name w:val="Source"/>
    <w:basedOn w:val="Normal"/>
    <w:next w:val="Normal"/>
    <w:uiPriority w:val="17"/>
    <w:qFormat/>
    <w:rsid w:val="006A56CB"/>
    <w:pPr>
      <w:spacing w:before="60" w:after="240" w:line="264" w:lineRule="auto"/>
    </w:pPr>
    <w:rPr>
      <w:rFonts w:cstheme="minorBidi"/>
      <w:i/>
      <w:sz w:val="18"/>
      <w:szCs w:val="22"/>
    </w:rPr>
  </w:style>
  <w:style w:type="paragraph" w:customStyle="1" w:styleId="TableHeadingWhite">
    <w:name w:val="TableHeadingWhite"/>
    <w:basedOn w:val="TableHeading"/>
    <w:uiPriority w:val="6"/>
    <w:qFormat/>
    <w:rsid w:val="00290380"/>
    <w:rPr>
      <w:color w:val="FFFFFF"/>
    </w:rPr>
  </w:style>
  <w:style w:type="paragraph" w:customStyle="1" w:styleId="ESHeading1">
    <w:name w:val="ESHeading 1"/>
    <w:basedOn w:val="Heading1NoNumb"/>
    <w:next w:val="BodyText"/>
    <w:uiPriority w:val="6"/>
    <w:qFormat/>
    <w:rsid w:val="003B615A"/>
    <w:pPr>
      <w:pageBreakBefore w:val="0"/>
      <w:numPr>
        <w:numId w:val="26"/>
      </w:numPr>
    </w:pPr>
  </w:style>
  <w:style w:type="paragraph" w:customStyle="1" w:styleId="ESHeading2">
    <w:name w:val="ESHeading 2"/>
    <w:basedOn w:val="Heading2NoNumb"/>
    <w:next w:val="BodyText"/>
    <w:uiPriority w:val="6"/>
    <w:qFormat/>
    <w:rsid w:val="003B615A"/>
    <w:pPr>
      <w:numPr>
        <w:ilvl w:val="1"/>
        <w:numId w:val="26"/>
      </w:numPr>
    </w:pPr>
  </w:style>
  <w:style w:type="paragraph" w:customStyle="1" w:styleId="ESHeading3">
    <w:name w:val="ESHeading 3"/>
    <w:basedOn w:val="Heading3NoNumb"/>
    <w:next w:val="BodyText"/>
    <w:uiPriority w:val="6"/>
    <w:qFormat/>
    <w:rsid w:val="003B615A"/>
    <w:pPr>
      <w:numPr>
        <w:ilvl w:val="2"/>
        <w:numId w:val="26"/>
      </w:numPr>
    </w:pPr>
  </w:style>
  <w:style w:type="numbering" w:customStyle="1" w:styleId="NumbLstExecSumm">
    <w:name w:val="NumbLstExecSumm"/>
    <w:uiPriority w:val="99"/>
    <w:rsid w:val="003B615A"/>
    <w:pPr>
      <w:numPr>
        <w:numId w:val="24"/>
      </w:numPr>
    </w:pPr>
  </w:style>
  <w:style w:type="paragraph" w:customStyle="1" w:styleId="ESTable">
    <w:name w:val="ESTable"/>
    <w:basedOn w:val="Normal"/>
    <w:next w:val="BodyText"/>
    <w:uiPriority w:val="6"/>
    <w:qFormat/>
    <w:rsid w:val="003B615A"/>
    <w:pPr>
      <w:keepNext/>
      <w:numPr>
        <w:ilvl w:val="3"/>
        <w:numId w:val="26"/>
      </w:numPr>
    </w:pPr>
    <w:rPr>
      <w:rFonts w:ascii="Calibri" w:hAnsi="Calibri"/>
      <w:b/>
      <w:color w:val="0067AC"/>
    </w:rPr>
  </w:style>
  <w:style w:type="paragraph" w:customStyle="1" w:styleId="ESTableLeft">
    <w:name w:val="ESTableLeft"/>
    <w:basedOn w:val="ESTable"/>
    <w:next w:val="Normal"/>
    <w:uiPriority w:val="6"/>
    <w:qFormat/>
    <w:rsid w:val="008D0697"/>
    <w:pPr>
      <w:ind w:left="1134"/>
    </w:pPr>
  </w:style>
  <w:style w:type="paragraph" w:customStyle="1" w:styleId="TableSimpleNo">
    <w:name w:val="TableSimpleNo"/>
    <w:basedOn w:val="Normal"/>
    <w:next w:val="Normal"/>
    <w:uiPriority w:val="6"/>
    <w:qFormat/>
    <w:rsid w:val="008D0697"/>
    <w:pPr>
      <w:keepNext/>
      <w:numPr>
        <w:numId w:val="25"/>
      </w:numPr>
    </w:pPr>
    <w:rPr>
      <w:rFonts w:ascii="Calibri" w:hAnsi="Calibri"/>
      <w:b/>
      <w:color w:val="0067AC"/>
    </w:rPr>
  </w:style>
  <w:style w:type="numbering" w:customStyle="1" w:styleId="NumbLstTableSimpleNo">
    <w:name w:val="NumbLstTableSimpleNo"/>
    <w:uiPriority w:val="99"/>
    <w:rsid w:val="008D0697"/>
    <w:pPr>
      <w:numPr>
        <w:numId w:val="25"/>
      </w:numPr>
    </w:pPr>
  </w:style>
  <w:style w:type="paragraph" w:customStyle="1" w:styleId="PopOutTitle">
    <w:name w:val="PopOutTitle"/>
    <w:basedOn w:val="Normal"/>
    <w:uiPriority w:val="10"/>
    <w:qFormat/>
    <w:rsid w:val="00BF4E7E"/>
    <w:pPr>
      <w:framePr w:w="3969" w:hSpace="567" w:wrap="around" w:vAnchor="text" w:hAnchor="text" w:x="160" w:y="1" w:anchorLock="1"/>
      <w:pBdr>
        <w:top w:val="single" w:sz="2" w:space="6" w:color="CDEBFF"/>
        <w:left w:val="single" w:sz="2" w:space="6" w:color="CDEBFF"/>
        <w:bottom w:val="single" w:sz="2" w:space="6" w:color="CDEBFF"/>
        <w:right w:val="single" w:sz="2" w:space="6" w:color="CDEBFF"/>
      </w:pBdr>
      <w:shd w:val="clear" w:color="auto" w:fill="CDEBFF"/>
      <w:spacing w:before="0" w:after="80" w:line="264" w:lineRule="auto"/>
    </w:pPr>
    <w:rPr>
      <w:rFonts w:ascii="Calibri" w:hAnsi="Calibri" w:cstheme="minorBidi"/>
      <w:b/>
      <w:color w:val="000000"/>
      <w:sz w:val="22"/>
      <w:szCs w:val="22"/>
    </w:rPr>
  </w:style>
  <w:style w:type="paragraph" w:customStyle="1" w:styleId="PopOutQuote">
    <w:name w:val="PopOutQuote"/>
    <w:basedOn w:val="PopOutTitle"/>
    <w:uiPriority w:val="14"/>
    <w:qFormat/>
    <w:rsid w:val="002211C2"/>
    <w:pPr>
      <w:framePr w:wrap="around"/>
      <w:pBdr>
        <w:top w:val="single" w:sz="2" w:space="6" w:color="0067AB"/>
        <w:left w:val="single" w:sz="2" w:space="6" w:color="0067AB"/>
        <w:bottom w:val="single" w:sz="2" w:space="6" w:color="0067AB"/>
        <w:right w:val="single" w:sz="2" w:space="6" w:color="0067AB"/>
      </w:pBdr>
      <w:shd w:val="clear" w:color="auto" w:fill="0067AB"/>
    </w:pPr>
    <w:rPr>
      <w:i/>
      <w:color w:val="FFFFFF"/>
      <w:sz w:val="32"/>
    </w:rPr>
  </w:style>
  <w:style w:type="paragraph" w:customStyle="1" w:styleId="PopOutQuoteRight">
    <w:name w:val="PopOutQuoteRight"/>
    <w:basedOn w:val="PopOutQuote"/>
    <w:uiPriority w:val="14"/>
    <w:qFormat/>
    <w:rsid w:val="002211C2"/>
    <w:pPr>
      <w:framePr w:wrap="around" w:x="4979"/>
    </w:pPr>
  </w:style>
  <w:style w:type="paragraph" w:customStyle="1" w:styleId="PopOutText">
    <w:name w:val="PopOutText"/>
    <w:basedOn w:val="PopOutTitle"/>
    <w:uiPriority w:val="11"/>
    <w:qFormat/>
    <w:rsid w:val="002211C2"/>
    <w:pPr>
      <w:framePr w:wrap="around"/>
    </w:pPr>
    <w:rPr>
      <w:rFonts w:ascii="Arial" w:hAnsi="Arial"/>
      <w:b w:val="0"/>
      <w:sz w:val="20"/>
    </w:rPr>
  </w:style>
  <w:style w:type="paragraph" w:customStyle="1" w:styleId="PopOutTextRight">
    <w:name w:val="PopOutTextRight"/>
    <w:basedOn w:val="PopOutText"/>
    <w:uiPriority w:val="13"/>
    <w:qFormat/>
    <w:rsid w:val="002211C2"/>
    <w:pPr>
      <w:framePr w:wrap="around" w:x="4979"/>
    </w:pPr>
  </w:style>
  <w:style w:type="paragraph" w:customStyle="1" w:styleId="PopOutTitleRight">
    <w:name w:val="PopOutTitleRight"/>
    <w:basedOn w:val="PopOutTitle"/>
    <w:next w:val="PopOutTextRight"/>
    <w:uiPriority w:val="12"/>
    <w:qFormat/>
    <w:rsid w:val="002211C2"/>
    <w:pPr>
      <w:framePr w:wrap="around" w:x="4979"/>
    </w:pPr>
  </w:style>
  <w:style w:type="paragraph" w:customStyle="1" w:styleId="ESFigure">
    <w:name w:val="ESFigure"/>
    <w:basedOn w:val="ESTable"/>
    <w:uiPriority w:val="6"/>
    <w:qFormat/>
    <w:rsid w:val="003B615A"/>
    <w:pPr>
      <w:numPr>
        <w:ilvl w:val="4"/>
      </w:numPr>
    </w:pPr>
  </w:style>
  <w:style w:type="paragraph" w:customStyle="1" w:styleId="ESFigureLeft">
    <w:name w:val="ESFigureLeft"/>
    <w:basedOn w:val="ESFigure"/>
    <w:uiPriority w:val="6"/>
    <w:qFormat/>
    <w:rsid w:val="003B615A"/>
    <w:pPr>
      <w:ind w:left="1134"/>
    </w:pPr>
  </w:style>
  <w:style w:type="character" w:styleId="CommentReference">
    <w:name w:val="annotation reference"/>
    <w:basedOn w:val="DefaultParagraphFont"/>
    <w:uiPriority w:val="29"/>
    <w:semiHidden/>
    <w:unhideWhenUsed/>
    <w:rsid w:val="00CA5B8E"/>
    <w:rPr>
      <w:sz w:val="16"/>
      <w:szCs w:val="16"/>
    </w:rPr>
  </w:style>
  <w:style w:type="paragraph" w:styleId="CommentText">
    <w:name w:val="annotation text"/>
    <w:basedOn w:val="Normal"/>
    <w:link w:val="CommentTextChar"/>
    <w:uiPriority w:val="29"/>
    <w:unhideWhenUsed/>
    <w:rsid w:val="00CA5B8E"/>
    <w:pPr>
      <w:spacing w:line="240" w:lineRule="auto"/>
    </w:pPr>
    <w:rPr>
      <w:szCs w:val="20"/>
    </w:rPr>
  </w:style>
  <w:style w:type="character" w:customStyle="1" w:styleId="CommentTextChar">
    <w:name w:val="Comment Text Char"/>
    <w:basedOn w:val="DefaultParagraphFont"/>
    <w:link w:val="CommentText"/>
    <w:uiPriority w:val="29"/>
    <w:rsid w:val="00CA5B8E"/>
    <w:rPr>
      <w:rFonts w:ascii="Arial" w:hAnsi="Arial"/>
    </w:rPr>
  </w:style>
  <w:style w:type="paragraph" w:styleId="CommentSubject">
    <w:name w:val="annotation subject"/>
    <w:basedOn w:val="CommentText"/>
    <w:next w:val="CommentText"/>
    <w:link w:val="CommentSubjectChar"/>
    <w:uiPriority w:val="29"/>
    <w:semiHidden/>
    <w:unhideWhenUsed/>
    <w:rsid w:val="00F0028A"/>
    <w:rPr>
      <w:b/>
      <w:bCs/>
    </w:rPr>
  </w:style>
  <w:style w:type="character" w:customStyle="1" w:styleId="CommentSubjectChar">
    <w:name w:val="Comment Subject Char"/>
    <w:basedOn w:val="CommentTextChar"/>
    <w:link w:val="CommentSubject"/>
    <w:uiPriority w:val="29"/>
    <w:semiHidden/>
    <w:rsid w:val="00F0028A"/>
    <w:rPr>
      <w:rFonts w:ascii="Arial" w:hAnsi="Arial"/>
      <w:b/>
      <w:bCs/>
    </w:rPr>
  </w:style>
  <w:style w:type="paragraph" w:styleId="ListParagraph">
    <w:name w:val="List Paragraph"/>
    <w:basedOn w:val="Normal"/>
    <w:uiPriority w:val="34"/>
    <w:semiHidden/>
    <w:qFormat/>
    <w:rsid w:val="00CA64C0"/>
    <w:pPr>
      <w:ind w:left="720"/>
      <w:contextualSpacing/>
    </w:pPr>
  </w:style>
  <w:style w:type="paragraph" w:customStyle="1" w:styleId="Default">
    <w:name w:val="Default"/>
    <w:rsid w:val="008E5479"/>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rsid w:val="00067CD8"/>
    <w:rPr>
      <w:b/>
      <w:bCs/>
    </w:rPr>
  </w:style>
  <w:style w:type="paragraph" w:styleId="Revision">
    <w:name w:val="Revision"/>
    <w:hidden/>
    <w:uiPriority w:val="99"/>
    <w:semiHidden/>
    <w:rsid w:val="00763C6D"/>
    <w:rPr>
      <w:rFonts w:ascii="Arial" w:hAnsi="Arial"/>
      <w:szCs w:val="24"/>
    </w:rPr>
  </w:style>
  <w:style w:type="paragraph" w:styleId="NormalWeb">
    <w:name w:val="Normal (Web)"/>
    <w:basedOn w:val="Normal"/>
    <w:uiPriority w:val="99"/>
    <w:semiHidden/>
    <w:unhideWhenUsed/>
    <w:rsid w:val="00A86A1C"/>
    <w:pPr>
      <w:spacing w:before="0" w:after="0" w:line="240" w:lineRule="auto"/>
    </w:pPr>
    <w:rPr>
      <w:rFonts w:ascii="Times New Roman" w:hAnsi="Times New Roman"/>
      <w:sz w:val="24"/>
      <w:lang w:eastAsia="en-GB"/>
    </w:rPr>
  </w:style>
  <w:style w:type="character" w:customStyle="1" w:styleId="spelle">
    <w:name w:val="spelle"/>
    <w:basedOn w:val="DefaultParagraphFont"/>
    <w:rsid w:val="00A86A1C"/>
  </w:style>
  <w:style w:type="character" w:styleId="FollowedHyperlink">
    <w:name w:val="FollowedHyperlink"/>
    <w:basedOn w:val="DefaultParagraphFont"/>
    <w:uiPriority w:val="29"/>
    <w:semiHidden/>
    <w:unhideWhenUsed/>
    <w:rsid w:val="00AF72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0701">
      <w:bodyDiv w:val="1"/>
      <w:marLeft w:val="0"/>
      <w:marRight w:val="0"/>
      <w:marTop w:val="0"/>
      <w:marBottom w:val="0"/>
      <w:divBdr>
        <w:top w:val="none" w:sz="0" w:space="0" w:color="auto"/>
        <w:left w:val="none" w:sz="0" w:space="0" w:color="auto"/>
        <w:bottom w:val="none" w:sz="0" w:space="0" w:color="auto"/>
        <w:right w:val="none" w:sz="0" w:space="0" w:color="auto"/>
      </w:divBdr>
    </w:div>
    <w:div w:id="213008422">
      <w:bodyDiv w:val="1"/>
      <w:marLeft w:val="0"/>
      <w:marRight w:val="0"/>
      <w:marTop w:val="0"/>
      <w:marBottom w:val="0"/>
      <w:divBdr>
        <w:top w:val="none" w:sz="0" w:space="0" w:color="auto"/>
        <w:left w:val="none" w:sz="0" w:space="0" w:color="auto"/>
        <w:bottom w:val="none" w:sz="0" w:space="0" w:color="auto"/>
        <w:right w:val="none" w:sz="0" w:space="0" w:color="auto"/>
      </w:divBdr>
    </w:div>
    <w:div w:id="287006816">
      <w:bodyDiv w:val="1"/>
      <w:marLeft w:val="0"/>
      <w:marRight w:val="0"/>
      <w:marTop w:val="0"/>
      <w:marBottom w:val="0"/>
      <w:divBdr>
        <w:top w:val="none" w:sz="0" w:space="0" w:color="auto"/>
        <w:left w:val="none" w:sz="0" w:space="0" w:color="auto"/>
        <w:bottom w:val="none" w:sz="0" w:space="0" w:color="auto"/>
        <w:right w:val="none" w:sz="0" w:space="0" w:color="auto"/>
      </w:divBdr>
    </w:div>
    <w:div w:id="357389027">
      <w:bodyDiv w:val="1"/>
      <w:marLeft w:val="0"/>
      <w:marRight w:val="0"/>
      <w:marTop w:val="0"/>
      <w:marBottom w:val="0"/>
      <w:divBdr>
        <w:top w:val="none" w:sz="0" w:space="0" w:color="auto"/>
        <w:left w:val="none" w:sz="0" w:space="0" w:color="auto"/>
        <w:bottom w:val="none" w:sz="0" w:space="0" w:color="auto"/>
        <w:right w:val="none" w:sz="0" w:space="0" w:color="auto"/>
      </w:divBdr>
    </w:div>
    <w:div w:id="364061107">
      <w:bodyDiv w:val="1"/>
      <w:marLeft w:val="0"/>
      <w:marRight w:val="0"/>
      <w:marTop w:val="0"/>
      <w:marBottom w:val="0"/>
      <w:divBdr>
        <w:top w:val="none" w:sz="0" w:space="0" w:color="auto"/>
        <w:left w:val="none" w:sz="0" w:space="0" w:color="auto"/>
        <w:bottom w:val="none" w:sz="0" w:space="0" w:color="auto"/>
        <w:right w:val="none" w:sz="0" w:space="0" w:color="auto"/>
      </w:divBdr>
    </w:div>
    <w:div w:id="366414006">
      <w:bodyDiv w:val="1"/>
      <w:marLeft w:val="0"/>
      <w:marRight w:val="0"/>
      <w:marTop w:val="0"/>
      <w:marBottom w:val="0"/>
      <w:divBdr>
        <w:top w:val="none" w:sz="0" w:space="0" w:color="auto"/>
        <w:left w:val="none" w:sz="0" w:space="0" w:color="auto"/>
        <w:bottom w:val="none" w:sz="0" w:space="0" w:color="auto"/>
        <w:right w:val="none" w:sz="0" w:space="0" w:color="auto"/>
      </w:divBdr>
    </w:div>
    <w:div w:id="404499726">
      <w:bodyDiv w:val="1"/>
      <w:marLeft w:val="0"/>
      <w:marRight w:val="0"/>
      <w:marTop w:val="0"/>
      <w:marBottom w:val="0"/>
      <w:divBdr>
        <w:top w:val="none" w:sz="0" w:space="0" w:color="auto"/>
        <w:left w:val="none" w:sz="0" w:space="0" w:color="auto"/>
        <w:bottom w:val="none" w:sz="0" w:space="0" w:color="auto"/>
        <w:right w:val="none" w:sz="0" w:space="0" w:color="auto"/>
      </w:divBdr>
    </w:div>
    <w:div w:id="412825913">
      <w:bodyDiv w:val="1"/>
      <w:marLeft w:val="0"/>
      <w:marRight w:val="0"/>
      <w:marTop w:val="0"/>
      <w:marBottom w:val="0"/>
      <w:divBdr>
        <w:top w:val="none" w:sz="0" w:space="0" w:color="auto"/>
        <w:left w:val="none" w:sz="0" w:space="0" w:color="auto"/>
        <w:bottom w:val="none" w:sz="0" w:space="0" w:color="auto"/>
        <w:right w:val="none" w:sz="0" w:space="0" w:color="auto"/>
      </w:divBdr>
    </w:div>
    <w:div w:id="500436554">
      <w:bodyDiv w:val="1"/>
      <w:marLeft w:val="0"/>
      <w:marRight w:val="0"/>
      <w:marTop w:val="0"/>
      <w:marBottom w:val="0"/>
      <w:divBdr>
        <w:top w:val="none" w:sz="0" w:space="0" w:color="auto"/>
        <w:left w:val="none" w:sz="0" w:space="0" w:color="auto"/>
        <w:bottom w:val="none" w:sz="0" w:space="0" w:color="auto"/>
        <w:right w:val="none" w:sz="0" w:space="0" w:color="auto"/>
      </w:divBdr>
    </w:div>
    <w:div w:id="534925371">
      <w:bodyDiv w:val="1"/>
      <w:marLeft w:val="0"/>
      <w:marRight w:val="0"/>
      <w:marTop w:val="0"/>
      <w:marBottom w:val="0"/>
      <w:divBdr>
        <w:top w:val="none" w:sz="0" w:space="0" w:color="auto"/>
        <w:left w:val="none" w:sz="0" w:space="0" w:color="auto"/>
        <w:bottom w:val="none" w:sz="0" w:space="0" w:color="auto"/>
        <w:right w:val="none" w:sz="0" w:space="0" w:color="auto"/>
      </w:divBdr>
    </w:div>
    <w:div w:id="535695937">
      <w:bodyDiv w:val="1"/>
      <w:marLeft w:val="0"/>
      <w:marRight w:val="0"/>
      <w:marTop w:val="0"/>
      <w:marBottom w:val="0"/>
      <w:divBdr>
        <w:top w:val="none" w:sz="0" w:space="0" w:color="auto"/>
        <w:left w:val="none" w:sz="0" w:space="0" w:color="auto"/>
        <w:bottom w:val="none" w:sz="0" w:space="0" w:color="auto"/>
        <w:right w:val="none" w:sz="0" w:space="0" w:color="auto"/>
      </w:divBdr>
    </w:div>
    <w:div w:id="689915122">
      <w:bodyDiv w:val="1"/>
      <w:marLeft w:val="0"/>
      <w:marRight w:val="0"/>
      <w:marTop w:val="0"/>
      <w:marBottom w:val="0"/>
      <w:divBdr>
        <w:top w:val="none" w:sz="0" w:space="0" w:color="auto"/>
        <w:left w:val="none" w:sz="0" w:space="0" w:color="auto"/>
        <w:bottom w:val="none" w:sz="0" w:space="0" w:color="auto"/>
        <w:right w:val="none" w:sz="0" w:space="0" w:color="auto"/>
      </w:divBdr>
    </w:div>
    <w:div w:id="739787202">
      <w:bodyDiv w:val="1"/>
      <w:marLeft w:val="0"/>
      <w:marRight w:val="0"/>
      <w:marTop w:val="0"/>
      <w:marBottom w:val="0"/>
      <w:divBdr>
        <w:top w:val="none" w:sz="0" w:space="0" w:color="auto"/>
        <w:left w:val="none" w:sz="0" w:space="0" w:color="auto"/>
        <w:bottom w:val="none" w:sz="0" w:space="0" w:color="auto"/>
        <w:right w:val="none" w:sz="0" w:space="0" w:color="auto"/>
      </w:divBdr>
    </w:div>
    <w:div w:id="760880253">
      <w:bodyDiv w:val="1"/>
      <w:marLeft w:val="0"/>
      <w:marRight w:val="0"/>
      <w:marTop w:val="0"/>
      <w:marBottom w:val="0"/>
      <w:divBdr>
        <w:top w:val="none" w:sz="0" w:space="0" w:color="auto"/>
        <w:left w:val="none" w:sz="0" w:space="0" w:color="auto"/>
        <w:bottom w:val="none" w:sz="0" w:space="0" w:color="auto"/>
        <w:right w:val="none" w:sz="0" w:space="0" w:color="auto"/>
      </w:divBdr>
    </w:div>
    <w:div w:id="769547977">
      <w:bodyDiv w:val="1"/>
      <w:marLeft w:val="0"/>
      <w:marRight w:val="0"/>
      <w:marTop w:val="0"/>
      <w:marBottom w:val="0"/>
      <w:divBdr>
        <w:top w:val="none" w:sz="0" w:space="0" w:color="auto"/>
        <w:left w:val="none" w:sz="0" w:space="0" w:color="auto"/>
        <w:bottom w:val="none" w:sz="0" w:space="0" w:color="auto"/>
        <w:right w:val="none" w:sz="0" w:space="0" w:color="auto"/>
      </w:divBdr>
    </w:div>
    <w:div w:id="935476620">
      <w:bodyDiv w:val="1"/>
      <w:marLeft w:val="0"/>
      <w:marRight w:val="0"/>
      <w:marTop w:val="0"/>
      <w:marBottom w:val="0"/>
      <w:divBdr>
        <w:top w:val="none" w:sz="0" w:space="0" w:color="auto"/>
        <w:left w:val="none" w:sz="0" w:space="0" w:color="auto"/>
        <w:bottom w:val="none" w:sz="0" w:space="0" w:color="auto"/>
        <w:right w:val="none" w:sz="0" w:space="0" w:color="auto"/>
      </w:divBdr>
    </w:div>
    <w:div w:id="945036096">
      <w:bodyDiv w:val="1"/>
      <w:marLeft w:val="0"/>
      <w:marRight w:val="0"/>
      <w:marTop w:val="0"/>
      <w:marBottom w:val="0"/>
      <w:divBdr>
        <w:top w:val="none" w:sz="0" w:space="0" w:color="auto"/>
        <w:left w:val="none" w:sz="0" w:space="0" w:color="auto"/>
        <w:bottom w:val="none" w:sz="0" w:space="0" w:color="auto"/>
        <w:right w:val="none" w:sz="0" w:space="0" w:color="auto"/>
      </w:divBdr>
      <w:divsChild>
        <w:div w:id="403340">
          <w:marLeft w:val="0"/>
          <w:marRight w:val="0"/>
          <w:marTop w:val="0"/>
          <w:marBottom w:val="0"/>
          <w:divBdr>
            <w:top w:val="none" w:sz="0" w:space="0" w:color="auto"/>
            <w:left w:val="none" w:sz="0" w:space="0" w:color="auto"/>
            <w:bottom w:val="none" w:sz="0" w:space="0" w:color="auto"/>
            <w:right w:val="none" w:sz="0" w:space="0" w:color="auto"/>
          </w:divBdr>
          <w:divsChild>
            <w:div w:id="247614332">
              <w:marLeft w:val="0"/>
              <w:marRight w:val="0"/>
              <w:marTop w:val="0"/>
              <w:marBottom w:val="0"/>
              <w:divBdr>
                <w:top w:val="none" w:sz="0" w:space="0" w:color="auto"/>
                <w:left w:val="none" w:sz="0" w:space="0" w:color="auto"/>
                <w:bottom w:val="none" w:sz="0" w:space="0" w:color="auto"/>
                <w:right w:val="none" w:sz="0" w:space="0" w:color="auto"/>
              </w:divBdr>
              <w:divsChild>
                <w:div w:id="947079807">
                  <w:marLeft w:val="0"/>
                  <w:marRight w:val="0"/>
                  <w:marTop w:val="0"/>
                  <w:marBottom w:val="300"/>
                  <w:divBdr>
                    <w:top w:val="none" w:sz="0" w:space="0" w:color="auto"/>
                    <w:left w:val="none" w:sz="0" w:space="0" w:color="auto"/>
                    <w:bottom w:val="none" w:sz="0" w:space="0" w:color="auto"/>
                    <w:right w:val="none" w:sz="0" w:space="0" w:color="auto"/>
                  </w:divBdr>
                  <w:divsChild>
                    <w:div w:id="1593510324">
                      <w:marLeft w:val="0"/>
                      <w:marRight w:val="0"/>
                      <w:marTop w:val="150"/>
                      <w:marBottom w:val="0"/>
                      <w:divBdr>
                        <w:top w:val="none" w:sz="0" w:space="0" w:color="auto"/>
                        <w:left w:val="none" w:sz="0" w:space="0" w:color="auto"/>
                        <w:bottom w:val="none" w:sz="0" w:space="0" w:color="auto"/>
                        <w:right w:val="none" w:sz="0" w:space="0" w:color="auto"/>
                      </w:divBdr>
                      <w:divsChild>
                        <w:div w:id="816804504">
                          <w:marLeft w:val="0"/>
                          <w:marRight w:val="0"/>
                          <w:marTop w:val="0"/>
                          <w:marBottom w:val="0"/>
                          <w:divBdr>
                            <w:top w:val="none" w:sz="0" w:space="0" w:color="auto"/>
                            <w:left w:val="none" w:sz="0" w:space="0" w:color="auto"/>
                            <w:bottom w:val="none" w:sz="0" w:space="0" w:color="auto"/>
                            <w:right w:val="none" w:sz="0" w:space="0" w:color="auto"/>
                          </w:divBdr>
                        </w:div>
                        <w:div w:id="17102564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52924660">
      <w:bodyDiv w:val="1"/>
      <w:marLeft w:val="0"/>
      <w:marRight w:val="0"/>
      <w:marTop w:val="0"/>
      <w:marBottom w:val="0"/>
      <w:divBdr>
        <w:top w:val="none" w:sz="0" w:space="0" w:color="auto"/>
        <w:left w:val="none" w:sz="0" w:space="0" w:color="auto"/>
        <w:bottom w:val="none" w:sz="0" w:space="0" w:color="auto"/>
        <w:right w:val="none" w:sz="0" w:space="0" w:color="auto"/>
      </w:divBdr>
    </w:div>
    <w:div w:id="1179924313">
      <w:bodyDiv w:val="1"/>
      <w:marLeft w:val="0"/>
      <w:marRight w:val="0"/>
      <w:marTop w:val="0"/>
      <w:marBottom w:val="0"/>
      <w:divBdr>
        <w:top w:val="none" w:sz="0" w:space="0" w:color="auto"/>
        <w:left w:val="none" w:sz="0" w:space="0" w:color="auto"/>
        <w:bottom w:val="none" w:sz="0" w:space="0" w:color="auto"/>
        <w:right w:val="none" w:sz="0" w:space="0" w:color="auto"/>
      </w:divBdr>
    </w:div>
    <w:div w:id="1241716888">
      <w:bodyDiv w:val="1"/>
      <w:marLeft w:val="0"/>
      <w:marRight w:val="0"/>
      <w:marTop w:val="0"/>
      <w:marBottom w:val="0"/>
      <w:divBdr>
        <w:top w:val="none" w:sz="0" w:space="0" w:color="auto"/>
        <w:left w:val="none" w:sz="0" w:space="0" w:color="auto"/>
        <w:bottom w:val="none" w:sz="0" w:space="0" w:color="auto"/>
        <w:right w:val="none" w:sz="0" w:space="0" w:color="auto"/>
      </w:divBdr>
    </w:div>
    <w:div w:id="1330131330">
      <w:bodyDiv w:val="1"/>
      <w:marLeft w:val="0"/>
      <w:marRight w:val="0"/>
      <w:marTop w:val="0"/>
      <w:marBottom w:val="0"/>
      <w:divBdr>
        <w:top w:val="none" w:sz="0" w:space="0" w:color="auto"/>
        <w:left w:val="none" w:sz="0" w:space="0" w:color="auto"/>
        <w:bottom w:val="none" w:sz="0" w:space="0" w:color="auto"/>
        <w:right w:val="none" w:sz="0" w:space="0" w:color="auto"/>
      </w:divBdr>
    </w:div>
    <w:div w:id="1402867772">
      <w:bodyDiv w:val="1"/>
      <w:marLeft w:val="0"/>
      <w:marRight w:val="0"/>
      <w:marTop w:val="0"/>
      <w:marBottom w:val="0"/>
      <w:divBdr>
        <w:top w:val="none" w:sz="0" w:space="0" w:color="auto"/>
        <w:left w:val="none" w:sz="0" w:space="0" w:color="auto"/>
        <w:bottom w:val="none" w:sz="0" w:space="0" w:color="auto"/>
        <w:right w:val="none" w:sz="0" w:space="0" w:color="auto"/>
      </w:divBdr>
    </w:div>
    <w:div w:id="1488323460">
      <w:bodyDiv w:val="1"/>
      <w:marLeft w:val="0"/>
      <w:marRight w:val="0"/>
      <w:marTop w:val="0"/>
      <w:marBottom w:val="0"/>
      <w:divBdr>
        <w:top w:val="none" w:sz="0" w:space="0" w:color="auto"/>
        <w:left w:val="none" w:sz="0" w:space="0" w:color="auto"/>
        <w:bottom w:val="none" w:sz="0" w:space="0" w:color="auto"/>
        <w:right w:val="none" w:sz="0" w:space="0" w:color="auto"/>
      </w:divBdr>
    </w:div>
    <w:div w:id="1554150038">
      <w:bodyDiv w:val="1"/>
      <w:marLeft w:val="0"/>
      <w:marRight w:val="0"/>
      <w:marTop w:val="0"/>
      <w:marBottom w:val="0"/>
      <w:divBdr>
        <w:top w:val="none" w:sz="0" w:space="0" w:color="auto"/>
        <w:left w:val="none" w:sz="0" w:space="0" w:color="auto"/>
        <w:bottom w:val="none" w:sz="0" w:space="0" w:color="auto"/>
        <w:right w:val="none" w:sz="0" w:space="0" w:color="auto"/>
      </w:divBdr>
      <w:divsChild>
        <w:div w:id="98574935">
          <w:marLeft w:val="0"/>
          <w:marRight w:val="0"/>
          <w:marTop w:val="0"/>
          <w:marBottom w:val="0"/>
          <w:divBdr>
            <w:top w:val="none" w:sz="0" w:space="0" w:color="auto"/>
            <w:left w:val="none" w:sz="0" w:space="0" w:color="auto"/>
            <w:bottom w:val="none" w:sz="0" w:space="0" w:color="auto"/>
            <w:right w:val="none" w:sz="0" w:space="0" w:color="auto"/>
          </w:divBdr>
        </w:div>
        <w:div w:id="289364290">
          <w:marLeft w:val="0"/>
          <w:marRight w:val="0"/>
          <w:marTop w:val="0"/>
          <w:marBottom w:val="0"/>
          <w:divBdr>
            <w:top w:val="none" w:sz="0" w:space="0" w:color="auto"/>
            <w:left w:val="none" w:sz="0" w:space="0" w:color="auto"/>
            <w:bottom w:val="none" w:sz="0" w:space="0" w:color="auto"/>
            <w:right w:val="none" w:sz="0" w:space="0" w:color="auto"/>
          </w:divBdr>
        </w:div>
        <w:div w:id="403724546">
          <w:marLeft w:val="0"/>
          <w:marRight w:val="0"/>
          <w:marTop w:val="0"/>
          <w:marBottom w:val="0"/>
          <w:divBdr>
            <w:top w:val="none" w:sz="0" w:space="0" w:color="auto"/>
            <w:left w:val="none" w:sz="0" w:space="0" w:color="auto"/>
            <w:bottom w:val="none" w:sz="0" w:space="0" w:color="auto"/>
            <w:right w:val="none" w:sz="0" w:space="0" w:color="auto"/>
          </w:divBdr>
        </w:div>
        <w:div w:id="769393604">
          <w:marLeft w:val="0"/>
          <w:marRight w:val="0"/>
          <w:marTop w:val="0"/>
          <w:marBottom w:val="0"/>
          <w:divBdr>
            <w:top w:val="none" w:sz="0" w:space="0" w:color="auto"/>
            <w:left w:val="none" w:sz="0" w:space="0" w:color="auto"/>
            <w:bottom w:val="none" w:sz="0" w:space="0" w:color="auto"/>
            <w:right w:val="none" w:sz="0" w:space="0" w:color="auto"/>
          </w:divBdr>
        </w:div>
        <w:div w:id="868562958">
          <w:marLeft w:val="0"/>
          <w:marRight w:val="0"/>
          <w:marTop w:val="0"/>
          <w:marBottom w:val="0"/>
          <w:divBdr>
            <w:top w:val="none" w:sz="0" w:space="0" w:color="auto"/>
            <w:left w:val="none" w:sz="0" w:space="0" w:color="auto"/>
            <w:bottom w:val="none" w:sz="0" w:space="0" w:color="auto"/>
            <w:right w:val="none" w:sz="0" w:space="0" w:color="auto"/>
          </w:divBdr>
        </w:div>
        <w:div w:id="1033724391">
          <w:marLeft w:val="0"/>
          <w:marRight w:val="0"/>
          <w:marTop w:val="0"/>
          <w:marBottom w:val="0"/>
          <w:divBdr>
            <w:top w:val="none" w:sz="0" w:space="0" w:color="auto"/>
            <w:left w:val="none" w:sz="0" w:space="0" w:color="auto"/>
            <w:bottom w:val="none" w:sz="0" w:space="0" w:color="auto"/>
            <w:right w:val="none" w:sz="0" w:space="0" w:color="auto"/>
          </w:divBdr>
        </w:div>
        <w:div w:id="1069841029">
          <w:marLeft w:val="0"/>
          <w:marRight w:val="0"/>
          <w:marTop w:val="0"/>
          <w:marBottom w:val="0"/>
          <w:divBdr>
            <w:top w:val="none" w:sz="0" w:space="0" w:color="auto"/>
            <w:left w:val="none" w:sz="0" w:space="0" w:color="auto"/>
            <w:bottom w:val="none" w:sz="0" w:space="0" w:color="auto"/>
            <w:right w:val="none" w:sz="0" w:space="0" w:color="auto"/>
          </w:divBdr>
        </w:div>
        <w:div w:id="1555198683">
          <w:marLeft w:val="0"/>
          <w:marRight w:val="0"/>
          <w:marTop w:val="0"/>
          <w:marBottom w:val="0"/>
          <w:divBdr>
            <w:top w:val="none" w:sz="0" w:space="0" w:color="auto"/>
            <w:left w:val="none" w:sz="0" w:space="0" w:color="auto"/>
            <w:bottom w:val="none" w:sz="0" w:space="0" w:color="auto"/>
            <w:right w:val="none" w:sz="0" w:space="0" w:color="auto"/>
          </w:divBdr>
        </w:div>
        <w:div w:id="1593473444">
          <w:marLeft w:val="0"/>
          <w:marRight w:val="0"/>
          <w:marTop w:val="0"/>
          <w:marBottom w:val="0"/>
          <w:divBdr>
            <w:top w:val="none" w:sz="0" w:space="0" w:color="auto"/>
            <w:left w:val="none" w:sz="0" w:space="0" w:color="auto"/>
            <w:bottom w:val="none" w:sz="0" w:space="0" w:color="auto"/>
            <w:right w:val="none" w:sz="0" w:space="0" w:color="auto"/>
          </w:divBdr>
        </w:div>
        <w:div w:id="1780102820">
          <w:marLeft w:val="0"/>
          <w:marRight w:val="0"/>
          <w:marTop w:val="0"/>
          <w:marBottom w:val="0"/>
          <w:divBdr>
            <w:top w:val="none" w:sz="0" w:space="0" w:color="auto"/>
            <w:left w:val="none" w:sz="0" w:space="0" w:color="auto"/>
            <w:bottom w:val="none" w:sz="0" w:space="0" w:color="auto"/>
            <w:right w:val="none" w:sz="0" w:space="0" w:color="auto"/>
          </w:divBdr>
        </w:div>
        <w:div w:id="1973437779">
          <w:marLeft w:val="0"/>
          <w:marRight w:val="0"/>
          <w:marTop w:val="0"/>
          <w:marBottom w:val="0"/>
          <w:divBdr>
            <w:top w:val="none" w:sz="0" w:space="0" w:color="auto"/>
            <w:left w:val="none" w:sz="0" w:space="0" w:color="auto"/>
            <w:bottom w:val="none" w:sz="0" w:space="0" w:color="auto"/>
            <w:right w:val="none" w:sz="0" w:space="0" w:color="auto"/>
          </w:divBdr>
        </w:div>
        <w:div w:id="1981029747">
          <w:marLeft w:val="0"/>
          <w:marRight w:val="0"/>
          <w:marTop w:val="0"/>
          <w:marBottom w:val="0"/>
          <w:divBdr>
            <w:top w:val="none" w:sz="0" w:space="0" w:color="auto"/>
            <w:left w:val="none" w:sz="0" w:space="0" w:color="auto"/>
            <w:bottom w:val="none" w:sz="0" w:space="0" w:color="auto"/>
            <w:right w:val="none" w:sz="0" w:space="0" w:color="auto"/>
          </w:divBdr>
        </w:div>
        <w:div w:id="2144885514">
          <w:marLeft w:val="0"/>
          <w:marRight w:val="0"/>
          <w:marTop w:val="0"/>
          <w:marBottom w:val="0"/>
          <w:divBdr>
            <w:top w:val="none" w:sz="0" w:space="0" w:color="auto"/>
            <w:left w:val="none" w:sz="0" w:space="0" w:color="auto"/>
            <w:bottom w:val="none" w:sz="0" w:space="0" w:color="auto"/>
            <w:right w:val="none" w:sz="0" w:space="0" w:color="auto"/>
          </w:divBdr>
        </w:div>
      </w:divsChild>
    </w:div>
    <w:div w:id="1562251959">
      <w:bodyDiv w:val="1"/>
      <w:marLeft w:val="0"/>
      <w:marRight w:val="0"/>
      <w:marTop w:val="0"/>
      <w:marBottom w:val="0"/>
      <w:divBdr>
        <w:top w:val="none" w:sz="0" w:space="0" w:color="auto"/>
        <w:left w:val="none" w:sz="0" w:space="0" w:color="auto"/>
        <w:bottom w:val="none" w:sz="0" w:space="0" w:color="auto"/>
        <w:right w:val="none" w:sz="0" w:space="0" w:color="auto"/>
      </w:divBdr>
    </w:div>
    <w:div w:id="1565025989">
      <w:bodyDiv w:val="1"/>
      <w:marLeft w:val="0"/>
      <w:marRight w:val="0"/>
      <w:marTop w:val="0"/>
      <w:marBottom w:val="0"/>
      <w:divBdr>
        <w:top w:val="none" w:sz="0" w:space="0" w:color="auto"/>
        <w:left w:val="none" w:sz="0" w:space="0" w:color="auto"/>
        <w:bottom w:val="none" w:sz="0" w:space="0" w:color="auto"/>
        <w:right w:val="none" w:sz="0" w:space="0" w:color="auto"/>
      </w:divBdr>
    </w:div>
    <w:div w:id="1656185158">
      <w:bodyDiv w:val="1"/>
      <w:marLeft w:val="0"/>
      <w:marRight w:val="0"/>
      <w:marTop w:val="0"/>
      <w:marBottom w:val="0"/>
      <w:divBdr>
        <w:top w:val="none" w:sz="0" w:space="0" w:color="auto"/>
        <w:left w:val="none" w:sz="0" w:space="0" w:color="auto"/>
        <w:bottom w:val="none" w:sz="0" w:space="0" w:color="auto"/>
        <w:right w:val="none" w:sz="0" w:space="0" w:color="auto"/>
      </w:divBdr>
    </w:div>
    <w:div w:id="1664115562">
      <w:bodyDiv w:val="1"/>
      <w:marLeft w:val="0"/>
      <w:marRight w:val="0"/>
      <w:marTop w:val="0"/>
      <w:marBottom w:val="0"/>
      <w:divBdr>
        <w:top w:val="none" w:sz="0" w:space="0" w:color="auto"/>
        <w:left w:val="none" w:sz="0" w:space="0" w:color="auto"/>
        <w:bottom w:val="none" w:sz="0" w:space="0" w:color="auto"/>
        <w:right w:val="none" w:sz="0" w:space="0" w:color="auto"/>
      </w:divBdr>
    </w:div>
    <w:div w:id="1793473911">
      <w:bodyDiv w:val="1"/>
      <w:marLeft w:val="0"/>
      <w:marRight w:val="0"/>
      <w:marTop w:val="0"/>
      <w:marBottom w:val="0"/>
      <w:divBdr>
        <w:top w:val="none" w:sz="0" w:space="0" w:color="auto"/>
        <w:left w:val="none" w:sz="0" w:space="0" w:color="auto"/>
        <w:bottom w:val="none" w:sz="0" w:space="0" w:color="auto"/>
        <w:right w:val="none" w:sz="0" w:space="0" w:color="auto"/>
      </w:divBdr>
    </w:div>
    <w:div w:id="1815177898">
      <w:bodyDiv w:val="1"/>
      <w:marLeft w:val="0"/>
      <w:marRight w:val="0"/>
      <w:marTop w:val="0"/>
      <w:marBottom w:val="0"/>
      <w:divBdr>
        <w:top w:val="none" w:sz="0" w:space="0" w:color="auto"/>
        <w:left w:val="none" w:sz="0" w:space="0" w:color="auto"/>
        <w:bottom w:val="none" w:sz="0" w:space="0" w:color="auto"/>
        <w:right w:val="none" w:sz="0" w:space="0" w:color="auto"/>
      </w:divBdr>
      <w:divsChild>
        <w:div w:id="1183588480">
          <w:marLeft w:val="547"/>
          <w:marRight w:val="0"/>
          <w:marTop w:val="0"/>
          <w:marBottom w:val="0"/>
          <w:divBdr>
            <w:top w:val="none" w:sz="0" w:space="0" w:color="auto"/>
            <w:left w:val="none" w:sz="0" w:space="0" w:color="auto"/>
            <w:bottom w:val="none" w:sz="0" w:space="0" w:color="auto"/>
            <w:right w:val="none" w:sz="0" w:space="0" w:color="auto"/>
          </w:divBdr>
        </w:div>
      </w:divsChild>
    </w:div>
    <w:div w:id="1821997634">
      <w:bodyDiv w:val="1"/>
      <w:marLeft w:val="0"/>
      <w:marRight w:val="0"/>
      <w:marTop w:val="0"/>
      <w:marBottom w:val="0"/>
      <w:divBdr>
        <w:top w:val="none" w:sz="0" w:space="0" w:color="auto"/>
        <w:left w:val="none" w:sz="0" w:space="0" w:color="auto"/>
        <w:bottom w:val="none" w:sz="0" w:space="0" w:color="auto"/>
        <w:right w:val="none" w:sz="0" w:space="0" w:color="auto"/>
      </w:divBdr>
    </w:div>
    <w:div w:id="1854417259">
      <w:bodyDiv w:val="1"/>
      <w:marLeft w:val="0"/>
      <w:marRight w:val="0"/>
      <w:marTop w:val="0"/>
      <w:marBottom w:val="0"/>
      <w:divBdr>
        <w:top w:val="none" w:sz="0" w:space="0" w:color="auto"/>
        <w:left w:val="none" w:sz="0" w:space="0" w:color="auto"/>
        <w:bottom w:val="none" w:sz="0" w:space="0" w:color="auto"/>
        <w:right w:val="none" w:sz="0" w:space="0" w:color="auto"/>
      </w:divBdr>
    </w:div>
    <w:div w:id="1909608253">
      <w:bodyDiv w:val="1"/>
      <w:marLeft w:val="0"/>
      <w:marRight w:val="0"/>
      <w:marTop w:val="0"/>
      <w:marBottom w:val="0"/>
      <w:divBdr>
        <w:top w:val="none" w:sz="0" w:space="0" w:color="auto"/>
        <w:left w:val="none" w:sz="0" w:space="0" w:color="auto"/>
        <w:bottom w:val="none" w:sz="0" w:space="0" w:color="auto"/>
        <w:right w:val="none" w:sz="0" w:space="0" w:color="auto"/>
      </w:divBdr>
    </w:div>
    <w:div w:id="1988392495">
      <w:bodyDiv w:val="1"/>
      <w:marLeft w:val="0"/>
      <w:marRight w:val="0"/>
      <w:marTop w:val="0"/>
      <w:marBottom w:val="0"/>
      <w:divBdr>
        <w:top w:val="none" w:sz="0" w:space="0" w:color="auto"/>
        <w:left w:val="none" w:sz="0" w:space="0" w:color="auto"/>
        <w:bottom w:val="none" w:sz="0" w:space="0" w:color="auto"/>
        <w:right w:val="none" w:sz="0" w:space="0" w:color="auto"/>
      </w:divBdr>
      <w:divsChild>
        <w:div w:id="8147849">
          <w:marLeft w:val="0"/>
          <w:marRight w:val="0"/>
          <w:marTop w:val="0"/>
          <w:marBottom w:val="0"/>
          <w:divBdr>
            <w:top w:val="none" w:sz="0" w:space="0" w:color="auto"/>
            <w:left w:val="none" w:sz="0" w:space="0" w:color="auto"/>
            <w:bottom w:val="none" w:sz="0" w:space="0" w:color="auto"/>
            <w:right w:val="none" w:sz="0" w:space="0" w:color="auto"/>
          </w:divBdr>
        </w:div>
        <w:div w:id="186677191">
          <w:marLeft w:val="0"/>
          <w:marRight w:val="0"/>
          <w:marTop w:val="0"/>
          <w:marBottom w:val="0"/>
          <w:divBdr>
            <w:top w:val="none" w:sz="0" w:space="0" w:color="auto"/>
            <w:left w:val="none" w:sz="0" w:space="0" w:color="auto"/>
            <w:bottom w:val="none" w:sz="0" w:space="0" w:color="auto"/>
            <w:right w:val="none" w:sz="0" w:space="0" w:color="auto"/>
          </w:divBdr>
        </w:div>
        <w:div w:id="402728061">
          <w:marLeft w:val="0"/>
          <w:marRight w:val="0"/>
          <w:marTop w:val="0"/>
          <w:marBottom w:val="0"/>
          <w:divBdr>
            <w:top w:val="none" w:sz="0" w:space="0" w:color="auto"/>
            <w:left w:val="none" w:sz="0" w:space="0" w:color="auto"/>
            <w:bottom w:val="none" w:sz="0" w:space="0" w:color="auto"/>
            <w:right w:val="none" w:sz="0" w:space="0" w:color="auto"/>
          </w:divBdr>
        </w:div>
        <w:div w:id="769087798">
          <w:marLeft w:val="0"/>
          <w:marRight w:val="0"/>
          <w:marTop w:val="0"/>
          <w:marBottom w:val="0"/>
          <w:divBdr>
            <w:top w:val="none" w:sz="0" w:space="0" w:color="auto"/>
            <w:left w:val="none" w:sz="0" w:space="0" w:color="auto"/>
            <w:bottom w:val="none" w:sz="0" w:space="0" w:color="auto"/>
            <w:right w:val="none" w:sz="0" w:space="0" w:color="auto"/>
          </w:divBdr>
        </w:div>
        <w:div w:id="800726450">
          <w:marLeft w:val="0"/>
          <w:marRight w:val="0"/>
          <w:marTop w:val="0"/>
          <w:marBottom w:val="0"/>
          <w:divBdr>
            <w:top w:val="none" w:sz="0" w:space="0" w:color="auto"/>
            <w:left w:val="none" w:sz="0" w:space="0" w:color="auto"/>
            <w:bottom w:val="none" w:sz="0" w:space="0" w:color="auto"/>
            <w:right w:val="none" w:sz="0" w:space="0" w:color="auto"/>
          </w:divBdr>
        </w:div>
        <w:div w:id="860240633">
          <w:marLeft w:val="0"/>
          <w:marRight w:val="0"/>
          <w:marTop w:val="0"/>
          <w:marBottom w:val="0"/>
          <w:divBdr>
            <w:top w:val="none" w:sz="0" w:space="0" w:color="auto"/>
            <w:left w:val="none" w:sz="0" w:space="0" w:color="auto"/>
            <w:bottom w:val="none" w:sz="0" w:space="0" w:color="auto"/>
            <w:right w:val="none" w:sz="0" w:space="0" w:color="auto"/>
          </w:divBdr>
        </w:div>
        <w:div w:id="986086237">
          <w:marLeft w:val="0"/>
          <w:marRight w:val="0"/>
          <w:marTop w:val="0"/>
          <w:marBottom w:val="0"/>
          <w:divBdr>
            <w:top w:val="none" w:sz="0" w:space="0" w:color="auto"/>
            <w:left w:val="none" w:sz="0" w:space="0" w:color="auto"/>
            <w:bottom w:val="none" w:sz="0" w:space="0" w:color="auto"/>
            <w:right w:val="none" w:sz="0" w:space="0" w:color="auto"/>
          </w:divBdr>
        </w:div>
        <w:div w:id="1176456932">
          <w:marLeft w:val="0"/>
          <w:marRight w:val="0"/>
          <w:marTop w:val="0"/>
          <w:marBottom w:val="0"/>
          <w:divBdr>
            <w:top w:val="none" w:sz="0" w:space="0" w:color="auto"/>
            <w:left w:val="none" w:sz="0" w:space="0" w:color="auto"/>
            <w:bottom w:val="none" w:sz="0" w:space="0" w:color="auto"/>
            <w:right w:val="none" w:sz="0" w:space="0" w:color="auto"/>
          </w:divBdr>
        </w:div>
        <w:div w:id="1504515133">
          <w:marLeft w:val="0"/>
          <w:marRight w:val="0"/>
          <w:marTop w:val="0"/>
          <w:marBottom w:val="0"/>
          <w:divBdr>
            <w:top w:val="none" w:sz="0" w:space="0" w:color="auto"/>
            <w:left w:val="none" w:sz="0" w:space="0" w:color="auto"/>
            <w:bottom w:val="none" w:sz="0" w:space="0" w:color="auto"/>
            <w:right w:val="none" w:sz="0" w:space="0" w:color="auto"/>
          </w:divBdr>
        </w:div>
        <w:div w:id="1518425844">
          <w:marLeft w:val="0"/>
          <w:marRight w:val="0"/>
          <w:marTop w:val="0"/>
          <w:marBottom w:val="0"/>
          <w:divBdr>
            <w:top w:val="none" w:sz="0" w:space="0" w:color="auto"/>
            <w:left w:val="none" w:sz="0" w:space="0" w:color="auto"/>
            <w:bottom w:val="none" w:sz="0" w:space="0" w:color="auto"/>
            <w:right w:val="none" w:sz="0" w:space="0" w:color="auto"/>
          </w:divBdr>
        </w:div>
        <w:div w:id="1721904072">
          <w:marLeft w:val="0"/>
          <w:marRight w:val="0"/>
          <w:marTop w:val="0"/>
          <w:marBottom w:val="0"/>
          <w:divBdr>
            <w:top w:val="none" w:sz="0" w:space="0" w:color="auto"/>
            <w:left w:val="none" w:sz="0" w:space="0" w:color="auto"/>
            <w:bottom w:val="none" w:sz="0" w:space="0" w:color="auto"/>
            <w:right w:val="none" w:sz="0" w:space="0" w:color="auto"/>
          </w:divBdr>
        </w:div>
        <w:div w:id="1863400485">
          <w:marLeft w:val="0"/>
          <w:marRight w:val="0"/>
          <w:marTop w:val="0"/>
          <w:marBottom w:val="0"/>
          <w:divBdr>
            <w:top w:val="none" w:sz="0" w:space="0" w:color="auto"/>
            <w:left w:val="none" w:sz="0" w:space="0" w:color="auto"/>
            <w:bottom w:val="none" w:sz="0" w:space="0" w:color="auto"/>
            <w:right w:val="none" w:sz="0" w:space="0" w:color="auto"/>
          </w:divBdr>
        </w:div>
        <w:div w:id="1948586886">
          <w:marLeft w:val="0"/>
          <w:marRight w:val="0"/>
          <w:marTop w:val="0"/>
          <w:marBottom w:val="0"/>
          <w:divBdr>
            <w:top w:val="none" w:sz="0" w:space="0" w:color="auto"/>
            <w:left w:val="none" w:sz="0" w:space="0" w:color="auto"/>
            <w:bottom w:val="none" w:sz="0" w:space="0" w:color="auto"/>
            <w:right w:val="none" w:sz="0" w:space="0" w:color="auto"/>
          </w:divBdr>
        </w:div>
      </w:divsChild>
    </w:div>
    <w:div w:id="2001348015">
      <w:bodyDiv w:val="1"/>
      <w:marLeft w:val="0"/>
      <w:marRight w:val="0"/>
      <w:marTop w:val="0"/>
      <w:marBottom w:val="0"/>
      <w:divBdr>
        <w:top w:val="none" w:sz="0" w:space="0" w:color="auto"/>
        <w:left w:val="none" w:sz="0" w:space="0" w:color="auto"/>
        <w:bottom w:val="none" w:sz="0" w:space="0" w:color="auto"/>
        <w:right w:val="none" w:sz="0" w:space="0" w:color="auto"/>
      </w:divBdr>
    </w:div>
    <w:div w:id="202409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1.xml"/><Relationship Id="rId21" Type="http://schemas.openxmlformats.org/officeDocument/2006/relationships/footer" Target="footer4.xml"/><Relationship Id="rId34" Type="http://schemas.openxmlformats.org/officeDocument/2006/relationships/diagramData" Target="diagrams/data3.xml"/><Relationship Id="rId42" Type="http://schemas.openxmlformats.org/officeDocument/2006/relationships/footer" Target="footer7.xml"/><Relationship Id="rId47" Type="http://schemas.openxmlformats.org/officeDocument/2006/relationships/footer" Target="footer10.xml"/><Relationship Id="rId50" Type="http://schemas.openxmlformats.org/officeDocument/2006/relationships/footer" Target="footer11.xml"/><Relationship Id="rId55" Type="http://schemas.openxmlformats.org/officeDocument/2006/relationships/footer" Target="footer14.xml"/><Relationship Id="rId63" Type="http://schemas.openxmlformats.org/officeDocument/2006/relationships/hyperlink" Target="http://www.environment-wales.org/" TargetMode="External"/><Relationship Id="rId68" Type="http://schemas.openxmlformats.org/officeDocument/2006/relationships/hyperlink" Target="http://www.naturesave.co.uk/the-naturesave-trust/about-the-trust/" TargetMode="External"/><Relationship Id="rId76" Type="http://schemas.openxmlformats.org/officeDocument/2006/relationships/hyperlink" Target="http://www.tourismpowys.org" TargetMode="External"/><Relationship Id="rId84" Type="http://schemas.openxmlformats.org/officeDocument/2006/relationships/hyperlink" Target="http://wales.gov.uk/docs/wefo/publications/141215summaryerdfesfen.pdf" TargetMode="External"/><Relationship Id="rId89" Type="http://schemas.openxmlformats.org/officeDocument/2006/relationships/hyperlink" Target="http://ec.europa.eu/environment/nature/natura2000/management/guidance_en.htm" TargetMode="External"/><Relationship Id="rId97"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hyperlink" Target="http://www.hlf.org.uk/HowToApply/programmes/Pages/programmes.aspx" TargetMode="External"/><Relationship Id="rId92" Type="http://schemas.openxmlformats.org/officeDocument/2006/relationships/hyperlink" Target="http://naturalresourceswales.gov.uk/about-us/our-projects/lifenatura-2000-programme-for-wales/?lang=en" TargetMode="Externa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diagramData" Target="diagrams/data2.xml"/><Relationship Id="rId11" Type="http://schemas.openxmlformats.org/officeDocument/2006/relationships/footnotes" Target="footnotes.xml"/><Relationship Id="rId24" Type="http://schemas.openxmlformats.org/officeDocument/2006/relationships/diagramData" Target="diagrams/data1.xml"/><Relationship Id="rId32" Type="http://schemas.openxmlformats.org/officeDocument/2006/relationships/diagramColors" Target="diagrams/colors2.xml"/><Relationship Id="rId37" Type="http://schemas.openxmlformats.org/officeDocument/2006/relationships/diagramColors" Target="diagrams/colors3.xml"/><Relationship Id="rId40" Type="http://schemas.openxmlformats.org/officeDocument/2006/relationships/header" Target="header5.xml"/><Relationship Id="rId45" Type="http://schemas.openxmlformats.org/officeDocument/2006/relationships/header" Target="header8.xml"/><Relationship Id="rId53" Type="http://schemas.openxmlformats.org/officeDocument/2006/relationships/header" Target="header12.xml"/><Relationship Id="rId58" Type="http://schemas.openxmlformats.org/officeDocument/2006/relationships/hyperlink" Target="http://www.unllais.co.uk/documents/EU%20Funding%20Directory%20for%20Wales.pdf" TargetMode="External"/><Relationship Id="rId66" Type="http://schemas.openxmlformats.org/officeDocument/2006/relationships/hyperlink" Target="http://www.biffa-award.org" TargetMode="External"/><Relationship Id="rId74" Type="http://schemas.openxmlformats.org/officeDocument/2006/relationships/hyperlink" Target="http://www.idoxgrantfinder.co.uk/" TargetMode="External"/><Relationship Id="rId79" Type="http://schemas.openxmlformats.org/officeDocument/2006/relationships/hyperlink" Target="http://esmeefairbairn.org.uk/what-we-fund/sectors/environment" TargetMode="External"/><Relationship Id="rId87" Type="http://schemas.openxmlformats.org/officeDocument/2006/relationships/hyperlink" Target="http://ec.europa.eu/environment/life/toolkit/pmtools/index.htm" TargetMode="External"/><Relationship Id="rId5" Type="http://schemas.openxmlformats.org/officeDocument/2006/relationships/customXml" Target="../customXml/item5.xml"/><Relationship Id="rId61" Type="http://schemas.openxmlformats.org/officeDocument/2006/relationships/hyperlink" Target="http://www.werh.org/Funding/OtherFundingSources.php.en" TargetMode="External"/><Relationship Id="rId82" Type="http://schemas.openxmlformats.org/officeDocument/2006/relationships/hyperlink" Target="http://www.waterloofoundation.org.uk" TargetMode="External"/><Relationship Id="rId90" Type="http://schemas.openxmlformats.org/officeDocument/2006/relationships/hyperlink" Target="http://ec.europa.eu/environment/nature/natura2000/financing/docs/natura2000_costs_benefits.pdf" TargetMode="External"/><Relationship Id="rId95" Type="http://schemas.openxmlformats.org/officeDocument/2006/relationships/hyperlink" Target="http://wales.gov.uk/topics/environmentcountryside/farmingandcountryside/cap/ruraldevelopment/rural-development-plan-for-wales-2014-2020/?lang=en" TargetMode="Externa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diagramColors" Target="diagrams/colors1.xml"/><Relationship Id="rId30" Type="http://schemas.openxmlformats.org/officeDocument/2006/relationships/diagramLayout" Target="diagrams/layout2.xml"/><Relationship Id="rId35" Type="http://schemas.openxmlformats.org/officeDocument/2006/relationships/diagramLayout" Target="diagrams/layout3.xml"/><Relationship Id="rId43" Type="http://schemas.openxmlformats.org/officeDocument/2006/relationships/footer" Target="footer8.xml"/><Relationship Id="rId48" Type="http://schemas.openxmlformats.org/officeDocument/2006/relationships/header" Target="header9.xml"/><Relationship Id="rId56" Type="http://schemas.openxmlformats.org/officeDocument/2006/relationships/hyperlink" Target="http://wefo.wales.gov.uk/?skip=1&amp;lang=en" TargetMode="External"/><Relationship Id="rId64" Type="http://schemas.openxmlformats.org/officeDocument/2006/relationships/hyperlink" Target="http://www.forestry.gov.uk/glastirwoodland" TargetMode="External"/><Relationship Id="rId69" Type="http://schemas.openxmlformats.org/officeDocument/2006/relationships/hyperlink" Target="http://wefo.wales.gov.uk/?skip=1&amp;lang=en" TargetMode="External"/><Relationship Id="rId77" Type="http://schemas.openxmlformats.org/officeDocument/2006/relationships/hyperlink" Target="http://www.cavs.org.uk/category/funding/" TargetMode="External"/><Relationship Id="rId8" Type="http://schemas.openxmlformats.org/officeDocument/2006/relationships/styles" Target="styles.xml"/><Relationship Id="rId51" Type="http://schemas.openxmlformats.org/officeDocument/2006/relationships/footer" Target="footer12.xml"/><Relationship Id="rId72" Type="http://schemas.openxmlformats.org/officeDocument/2006/relationships/hyperlink" Target="http://www.arcadiafund.org.uk/grants/grant-directory.aspx" TargetMode="External"/><Relationship Id="rId80" Type="http://schemas.openxmlformats.org/officeDocument/2006/relationships/hyperlink" Target="http://www.coed-cadw.org.uk/" TargetMode="External"/><Relationship Id="rId85" Type="http://schemas.openxmlformats.org/officeDocument/2006/relationships/hyperlink" Target="http://wales.gov.uk/docs/wefo/consultation/140605iwconsultationdocumenten.pdf" TargetMode="External"/><Relationship Id="rId93" Type="http://schemas.openxmlformats.org/officeDocument/2006/relationships/hyperlink" Target="http://www.ieep.eu/publications/2012/06/estimating-the-overall-economic-value-of-the-benefits-provided-by-the-natura-2000-network" TargetMode="Externa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diagramLayout" Target="diagrams/layout1.xml"/><Relationship Id="rId33" Type="http://schemas.microsoft.com/office/2007/relationships/diagramDrawing" Target="diagrams/drawing2.xml"/><Relationship Id="rId38" Type="http://schemas.microsoft.com/office/2007/relationships/diagramDrawing" Target="diagrams/drawing3.xml"/><Relationship Id="rId46" Type="http://schemas.openxmlformats.org/officeDocument/2006/relationships/footer" Target="footer9.xml"/><Relationship Id="rId59" Type="http://schemas.openxmlformats.org/officeDocument/2006/relationships/hyperlink" Target="http://www.naturalresourceswales.gov.uk" TargetMode="External"/><Relationship Id="rId67" Type="http://schemas.openxmlformats.org/officeDocument/2006/relationships/hyperlink" Target="http://www.dwrcymru.co.uk/en/Environment/Water-Framework-Directive-Projects.aspx" TargetMode="External"/><Relationship Id="rId20" Type="http://schemas.openxmlformats.org/officeDocument/2006/relationships/header" Target="header4.xml"/><Relationship Id="rId41" Type="http://schemas.openxmlformats.org/officeDocument/2006/relationships/header" Target="header6.xml"/><Relationship Id="rId54" Type="http://schemas.openxmlformats.org/officeDocument/2006/relationships/footer" Target="footer13.xml"/><Relationship Id="rId62" Type="http://schemas.openxmlformats.org/officeDocument/2006/relationships/hyperlink" Target="http://www.assemblywales.org/Research%20Documents/Funding%20and%20Information%20Environmental,%20countryside%20and%20climate%20change%20projects%20-%20Constituent%20factsheets-20122013-246824/faq13-001-English.pdf" TargetMode="External"/><Relationship Id="rId70" Type="http://schemas.openxmlformats.org/officeDocument/2006/relationships/hyperlink" Target="http://wefo.wales.gov.uk/?skip=1&amp;lang=en" TargetMode="External"/><Relationship Id="rId75" Type="http://schemas.openxmlformats.org/officeDocument/2006/relationships/hyperlink" Target="http://www.wcva.org.uk/" TargetMode="External"/><Relationship Id="rId83" Type="http://schemas.openxmlformats.org/officeDocument/2006/relationships/hyperlink" Target="http://www.breconbeaconstrust.org/" TargetMode="External"/><Relationship Id="rId88" Type="http://schemas.openxmlformats.org/officeDocument/2006/relationships/hyperlink" Target="http://www.entrust.org.uk/environmental-bodies/eb-search/" TargetMode="External"/><Relationship Id="rId91" Type="http://schemas.openxmlformats.org/officeDocument/2006/relationships/hyperlink" Target="http://www.ukbap.org.uk/library/BRIG/TargetsReview06/PreparingCostingsForSAPsAndHAPs.pdf" TargetMode="External"/><Relationship Id="rId96"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footer" Target="footer6.xml"/><Relationship Id="rId28" Type="http://schemas.microsoft.com/office/2007/relationships/diagramDrawing" Target="diagrams/drawing1.xml"/><Relationship Id="rId36" Type="http://schemas.openxmlformats.org/officeDocument/2006/relationships/diagramQuickStyle" Target="diagrams/quickStyle3.xml"/><Relationship Id="rId49" Type="http://schemas.openxmlformats.org/officeDocument/2006/relationships/header" Target="header10.xml"/><Relationship Id="rId57" Type="http://schemas.openxmlformats.org/officeDocument/2006/relationships/hyperlink" Target="http://www.wefo.wales.gov.uk" TargetMode="External"/><Relationship Id="rId10" Type="http://schemas.openxmlformats.org/officeDocument/2006/relationships/webSettings" Target="webSettings.xml"/><Relationship Id="rId31" Type="http://schemas.openxmlformats.org/officeDocument/2006/relationships/diagramQuickStyle" Target="diagrams/quickStyle2.xml"/><Relationship Id="rId44" Type="http://schemas.openxmlformats.org/officeDocument/2006/relationships/header" Target="header7.xml"/><Relationship Id="rId52" Type="http://schemas.openxmlformats.org/officeDocument/2006/relationships/header" Target="header11.xml"/><Relationship Id="rId60" Type="http://schemas.openxmlformats.org/officeDocument/2006/relationships/hyperlink" Target="http://www.entrust.org.uk/landfill-community-fund/finding-funding/environmental-bodies" TargetMode="External"/><Relationship Id="rId65" Type="http://schemas.openxmlformats.org/officeDocument/2006/relationships/hyperlink" Target="http://www.grantscape.org.uk/find-a-grant/" TargetMode="External"/><Relationship Id="rId73" Type="http://schemas.openxmlformats.org/officeDocument/2006/relationships/hyperlink" Target="http://www.princescountrysidefund.org.uk/apply-for-fund/welcome-screen" TargetMode="External"/><Relationship Id="rId78" Type="http://schemas.openxmlformats.org/officeDocument/2006/relationships/hyperlink" Target="http://www.cfiw.org.uk/eng/home/" TargetMode="External"/><Relationship Id="rId81" Type="http://schemas.openxmlformats.org/officeDocument/2006/relationships/hyperlink" Target="http://www.waleslink.org/" TargetMode="External"/><Relationship Id="rId86" Type="http://schemas.openxmlformats.org/officeDocument/2006/relationships/hyperlink" Target="http://wales.gov.uk/docs/wefo/publications/141215summaryerdfesfen.pdf" TargetMode="External"/><Relationship Id="rId94" Type="http://schemas.openxmlformats.org/officeDocument/2006/relationships/hyperlink" Target="http://wales.gov.uk/consultations/environmentandcountryside/proposals-for-glastir-scheme-consultation/?lang=en"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3.xml"/><Relationship Id="rId39" Type="http://schemas.openxmlformats.org/officeDocument/2006/relationships/chart" Target="charts/chart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lle.wales.gov.uk/apps/marineport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CF%20Templates\ICF%20Report%202014.dot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606208078156898"/>
          <c:y val="0.17388357705286839"/>
          <c:w val="0.37315379848352287"/>
          <c:h val="0.63969222597175346"/>
        </c:manualLayout>
      </c:layout>
      <c:pieChart>
        <c:varyColors val="1"/>
        <c:ser>
          <c:idx val="0"/>
          <c:order val="0"/>
          <c:tx>
            <c:strRef>
              <c:f>Sheet1!$B$1</c:f>
              <c:strCache>
                <c:ptCount val="1"/>
                <c:pt idx="0">
                  <c:v>£million</c:v>
                </c:pt>
              </c:strCache>
            </c:strRef>
          </c:tx>
          <c:dPt>
            <c:idx val="0"/>
            <c:bubble3D val="0"/>
            <c:explosion val="3"/>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manualLayout>
                  <c:x val="1.0986256926217556E-2"/>
                  <c:y val="-0.43061554805649294"/>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9444444444444441E-3"/>
                  <c:y val="8.31614798150224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6.25E-2"/>
                      <c:h val="4.5634920634920632E-2"/>
                    </c:manualLayout>
                  </c15:layout>
                </c:ext>
              </c:extLst>
            </c:dLbl>
            <c:dLbl>
              <c:idx val="2"/>
              <c:layout>
                <c:manualLayout>
                  <c:x val="4.5011300670749488E-3"/>
                  <c:y val="1.013810773653293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7.0600029163020864E-3"/>
                  <c:y val="-1.343050868641419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2068022747156605E-3"/>
                  <c:y val="-7.5659292588426443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9259441528142315E-3"/>
                  <c:y val="2.4828146481689788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Sheet1!$A$2:$A$8</c:f>
              <c:strCache>
                <c:ptCount val="7"/>
                <c:pt idx="0">
                  <c:v>Agricultural</c:v>
                </c:pt>
                <c:pt idx="1">
                  <c:v>Forests</c:v>
                </c:pt>
                <c:pt idx="2">
                  <c:v>Other terrestrial</c:v>
                </c:pt>
                <c:pt idx="3">
                  <c:v>Inland waters</c:v>
                </c:pt>
                <c:pt idx="4">
                  <c:v>Wetlands</c:v>
                </c:pt>
                <c:pt idx="5">
                  <c:v>Coastal</c:v>
                </c:pt>
                <c:pt idx="6">
                  <c:v>Marine (not available)</c:v>
                </c:pt>
              </c:strCache>
            </c:strRef>
          </c:cat>
          <c:val>
            <c:numRef>
              <c:f>Sheet1!$B$2:$B$8</c:f>
              <c:numCache>
                <c:formatCode>"£"#,##0.00_);[Red]\("£"#,##0.00\)</c:formatCode>
                <c:ptCount val="7"/>
                <c:pt idx="0">
                  <c:v>9.8659999999999997</c:v>
                </c:pt>
                <c:pt idx="1">
                  <c:v>0.69699999999999995</c:v>
                </c:pt>
                <c:pt idx="2">
                  <c:v>0.69699999999999995</c:v>
                </c:pt>
                <c:pt idx="3">
                  <c:v>0.69699999999999995</c:v>
                </c:pt>
                <c:pt idx="4">
                  <c:v>0.69699999999999995</c:v>
                </c:pt>
                <c:pt idx="5">
                  <c:v>1.1299999999999999</c:v>
                </c:pt>
                <c:pt idx="6" formatCode="&quot;£&quot;#,##0_);[Red]\(&quot;£&quot;#,##0\)">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9D41D6-27C3-4CF7-95A2-D2BA494B30DC}" type="doc">
      <dgm:prSet loTypeId="urn:microsoft.com/office/officeart/2005/8/layout/hProcess9" loCatId="process" qsTypeId="urn:microsoft.com/office/officeart/2005/8/quickstyle/simple1" qsCatId="simple" csTypeId="urn:microsoft.com/office/officeart/2005/8/colors/accent1_2" csCatId="accent1" phldr="1"/>
      <dgm:spPr/>
    </dgm:pt>
    <dgm:pt modelId="{7E4B03AB-1401-46D3-BDC9-7FD5F7315A2D}">
      <dgm:prSet phldrT="[Text]"/>
      <dgm:spPr>
        <a:xfrm>
          <a:off x="2745" y="960120"/>
          <a:ext cx="1320700" cy="12801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Anghenion cadwraeth Natura 2000</a:t>
          </a:r>
        </a:p>
      </dgm:t>
    </dgm:pt>
    <dgm:pt modelId="{FD7D0C9A-725B-4238-BCA8-599D5707CF6D}" type="parTrans" cxnId="{7183B170-F8F0-44F1-8B5C-16897945FBE3}">
      <dgm:prSet/>
      <dgm:spPr/>
      <dgm:t>
        <a:bodyPr/>
        <a:lstStyle/>
        <a:p>
          <a:endParaRPr lang="en-GB"/>
        </a:p>
      </dgm:t>
    </dgm:pt>
    <dgm:pt modelId="{A0916A5D-347B-4637-AAAE-2F434C64F7EF}" type="sibTrans" cxnId="{7183B170-F8F0-44F1-8B5C-16897945FBE3}">
      <dgm:prSet/>
      <dgm:spPr/>
      <dgm:t>
        <a:bodyPr/>
        <a:lstStyle/>
        <a:p>
          <a:endParaRPr lang="en-GB"/>
        </a:p>
      </dgm:t>
    </dgm:pt>
    <dgm:pt modelId="{8E2B2C26-8EC7-417C-9280-55094BC54B2D}">
      <dgm:prSet/>
      <dgm:spPr>
        <a:xfrm>
          <a:off x="4162953" y="960120"/>
          <a:ext cx="1320700" cy="12801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Anghenion ariannu</a:t>
          </a:r>
        </a:p>
      </dgm:t>
    </dgm:pt>
    <dgm:pt modelId="{4CE08375-CB6C-4284-BD7C-1C888E84CE49}" type="parTrans" cxnId="{FD210940-858F-40A4-B47B-BC843F20B347}">
      <dgm:prSet/>
      <dgm:spPr/>
      <dgm:t>
        <a:bodyPr/>
        <a:lstStyle/>
        <a:p>
          <a:endParaRPr lang="en-GB"/>
        </a:p>
      </dgm:t>
    </dgm:pt>
    <dgm:pt modelId="{5198D676-84CA-4285-A763-604BC39DD797}" type="sibTrans" cxnId="{FD210940-858F-40A4-B47B-BC843F20B347}">
      <dgm:prSet/>
      <dgm:spPr/>
      <dgm:t>
        <a:bodyPr/>
        <a:lstStyle/>
        <a:p>
          <a:endParaRPr lang="en-GB"/>
        </a:p>
      </dgm:t>
    </dgm:pt>
    <dgm:pt modelId="{2EE83A7E-42AD-40FE-AEB2-6DC153E94042}">
      <dgm:prSet phldrT="[Text]"/>
      <dgm:spPr>
        <a:xfrm>
          <a:off x="1389481" y="960120"/>
          <a:ext cx="1320700" cy="12801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Camau rheoli</a:t>
          </a:r>
        </a:p>
      </dgm:t>
    </dgm:pt>
    <dgm:pt modelId="{E5775C95-AA39-4C53-B8B4-1BA99AEE1BF2}" type="sibTrans" cxnId="{4D987F93-B054-4D00-A6C1-B6C13BCC8752}">
      <dgm:prSet/>
      <dgm:spPr/>
      <dgm:t>
        <a:bodyPr/>
        <a:lstStyle/>
        <a:p>
          <a:endParaRPr lang="en-GB"/>
        </a:p>
      </dgm:t>
    </dgm:pt>
    <dgm:pt modelId="{D9DD2EB1-432C-469E-B09E-A2ED6EF0750B}" type="parTrans" cxnId="{4D987F93-B054-4D00-A6C1-B6C13BCC8752}">
      <dgm:prSet/>
      <dgm:spPr/>
      <dgm:t>
        <a:bodyPr/>
        <a:lstStyle/>
        <a:p>
          <a:endParaRPr lang="en-GB"/>
        </a:p>
      </dgm:t>
    </dgm:pt>
    <dgm:pt modelId="{DC12CC8E-2717-4FD8-B09A-1C02DC229503}" type="pres">
      <dgm:prSet presAssocID="{A09D41D6-27C3-4CF7-95A2-D2BA494B30DC}" presName="CompostProcess" presStyleCnt="0">
        <dgm:presLayoutVars>
          <dgm:dir/>
          <dgm:resizeHandles val="exact"/>
        </dgm:presLayoutVars>
      </dgm:prSet>
      <dgm:spPr/>
    </dgm:pt>
    <dgm:pt modelId="{FA0BCC72-381A-4FF8-94BE-75DBECFE215F}" type="pres">
      <dgm:prSet presAssocID="{A09D41D6-27C3-4CF7-95A2-D2BA494B30DC}" presName="arrow" presStyleLbl="bgShp" presStyleIdx="0" presStyleCnt="1" custScaleX="117647" custLinFactNeighborX="-735"/>
      <dgm:spPr>
        <a:xfrm>
          <a:off x="411479" y="0"/>
          <a:ext cx="4663440" cy="3200400"/>
        </a:xfrm>
        <a:prstGeom prst="rightArrow">
          <a:avLst/>
        </a:prstGeom>
        <a:solidFill>
          <a:srgbClr val="4F81BD">
            <a:tint val="40000"/>
            <a:hueOff val="0"/>
            <a:satOff val="0"/>
            <a:lumOff val="0"/>
            <a:alphaOff val="0"/>
          </a:srgbClr>
        </a:solidFill>
        <a:ln>
          <a:noFill/>
        </a:ln>
        <a:effectLst/>
      </dgm:spPr>
      <dgm:t>
        <a:bodyPr/>
        <a:lstStyle/>
        <a:p>
          <a:endParaRPr lang="en-GB"/>
        </a:p>
      </dgm:t>
    </dgm:pt>
    <dgm:pt modelId="{D9FED33A-1DA7-4D7B-BA78-38A4FE95B4C2}" type="pres">
      <dgm:prSet presAssocID="{A09D41D6-27C3-4CF7-95A2-D2BA494B30DC}" presName="linearProcess" presStyleCnt="0"/>
      <dgm:spPr/>
    </dgm:pt>
    <dgm:pt modelId="{F434962D-C29B-4EAA-8DB4-DB6560173858}" type="pres">
      <dgm:prSet presAssocID="{7E4B03AB-1401-46D3-BDC9-7FD5F7315A2D}" presName="textNode" presStyleLbl="node1" presStyleIdx="0" presStyleCnt="3" custScaleX="83040" custScaleY="70189" custLinFactX="-19917" custLinFactNeighborX="-100000" custLinFactNeighborY="-101">
        <dgm:presLayoutVars>
          <dgm:bulletEnabled val="1"/>
        </dgm:presLayoutVars>
      </dgm:prSet>
      <dgm:spPr>
        <a:prstGeom prst="roundRect">
          <a:avLst/>
        </a:prstGeom>
      </dgm:spPr>
      <dgm:t>
        <a:bodyPr/>
        <a:lstStyle/>
        <a:p>
          <a:endParaRPr lang="en-GB"/>
        </a:p>
      </dgm:t>
    </dgm:pt>
    <dgm:pt modelId="{5A4089E5-FECF-496F-A83C-D990BF80AC19}" type="pres">
      <dgm:prSet presAssocID="{A0916A5D-347B-4637-AAAE-2F434C64F7EF}" presName="sibTrans" presStyleCnt="0"/>
      <dgm:spPr/>
    </dgm:pt>
    <dgm:pt modelId="{FFE20970-DB6E-456A-8467-EAB1A3A4199D}" type="pres">
      <dgm:prSet presAssocID="{2EE83A7E-42AD-40FE-AEB2-6DC153E94042}" presName="textNode" presStyleLbl="node1" presStyleIdx="1" presStyleCnt="3" custScaleX="84551" custScaleY="71799" custLinFactNeighborX="-63784" custLinFactNeighborY="1992">
        <dgm:presLayoutVars>
          <dgm:bulletEnabled val="1"/>
        </dgm:presLayoutVars>
      </dgm:prSet>
      <dgm:spPr>
        <a:prstGeom prst="roundRect">
          <a:avLst/>
        </a:prstGeom>
      </dgm:spPr>
      <dgm:t>
        <a:bodyPr/>
        <a:lstStyle/>
        <a:p>
          <a:endParaRPr lang="en-GB"/>
        </a:p>
      </dgm:t>
    </dgm:pt>
    <dgm:pt modelId="{0C65B582-C869-4A24-BC2A-9FFE010B9309}" type="pres">
      <dgm:prSet presAssocID="{E5775C95-AA39-4C53-B8B4-1BA99AEE1BF2}" presName="sibTrans" presStyleCnt="0"/>
      <dgm:spPr/>
    </dgm:pt>
    <dgm:pt modelId="{76FBC074-8E8C-48DA-85C5-AD85ACFB77FB}" type="pres">
      <dgm:prSet presAssocID="{8E2B2C26-8EC7-417C-9280-55094BC54B2D}" presName="textNode" presStyleLbl="node1" presStyleIdx="2" presStyleCnt="3" custScaleX="79198" custScaleY="76185" custLinFactX="5186" custLinFactNeighborX="100000" custLinFactNeighborY="2897">
        <dgm:presLayoutVars>
          <dgm:bulletEnabled val="1"/>
        </dgm:presLayoutVars>
      </dgm:prSet>
      <dgm:spPr>
        <a:prstGeom prst="roundRect">
          <a:avLst/>
        </a:prstGeom>
      </dgm:spPr>
      <dgm:t>
        <a:bodyPr/>
        <a:lstStyle/>
        <a:p>
          <a:endParaRPr lang="en-GB"/>
        </a:p>
      </dgm:t>
    </dgm:pt>
  </dgm:ptLst>
  <dgm:cxnLst>
    <dgm:cxn modelId="{712829FD-D8AE-4D21-A0D4-B51D3904861F}" type="presOf" srcId="{8E2B2C26-8EC7-417C-9280-55094BC54B2D}" destId="{76FBC074-8E8C-48DA-85C5-AD85ACFB77FB}" srcOrd="0" destOrd="0" presId="urn:microsoft.com/office/officeart/2005/8/layout/hProcess9"/>
    <dgm:cxn modelId="{1742EC74-4ABB-40D6-A9CE-6A5ED7B5B327}" type="presOf" srcId="{A09D41D6-27C3-4CF7-95A2-D2BA494B30DC}" destId="{DC12CC8E-2717-4FD8-B09A-1C02DC229503}" srcOrd="0" destOrd="0" presId="urn:microsoft.com/office/officeart/2005/8/layout/hProcess9"/>
    <dgm:cxn modelId="{1159C897-0B46-4F2E-9DA0-41076D9429F1}" type="presOf" srcId="{7E4B03AB-1401-46D3-BDC9-7FD5F7315A2D}" destId="{F434962D-C29B-4EAA-8DB4-DB6560173858}" srcOrd="0" destOrd="0" presId="urn:microsoft.com/office/officeart/2005/8/layout/hProcess9"/>
    <dgm:cxn modelId="{7183B170-F8F0-44F1-8B5C-16897945FBE3}" srcId="{A09D41D6-27C3-4CF7-95A2-D2BA494B30DC}" destId="{7E4B03AB-1401-46D3-BDC9-7FD5F7315A2D}" srcOrd="0" destOrd="0" parTransId="{FD7D0C9A-725B-4238-BCA8-599D5707CF6D}" sibTransId="{A0916A5D-347B-4637-AAAE-2F434C64F7EF}"/>
    <dgm:cxn modelId="{1F2E3A07-C71B-4BFB-9411-061EA91F001A}" type="presOf" srcId="{2EE83A7E-42AD-40FE-AEB2-6DC153E94042}" destId="{FFE20970-DB6E-456A-8467-EAB1A3A4199D}" srcOrd="0" destOrd="0" presId="urn:microsoft.com/office/officeart/2005/8/layout/hProcess9"/>
    <dgm:cxn modelId="{4D987F93-B054-4D00-A6C1-B6C13BCC8752}" srcId="{A09D41D6-27C3-4CF7-95A2-D2BA494B30DC}" destId="{2EE83A7E-42AD-40FE-AEB2-6DC153E94042}" srcOrd="1" destOrd="0" parTransId="{D9DD2EB1-432C-469E-B09E-A2ED6EF0750B}" sibTransId="{E5775C95-AA39-4C53-B8B4-1BA99AEE1BF2}"/>
    <dgm:cxn modelId="{FD210940-858F-40A4-B47B-BC843F20B347}" srcId="{A09D41D6-27C3-4CF7-95A2-D2BA494B30DC}" destId="{8E2B2C26-8EC7-417C-9280-55094BC54B2D}" srcOrd="2" destOrd="0" parTransId="{4CE08375-CB6C-4284-BD7C-1C888E84CE49}" sibTransId="{5198D676-84CA-4285-A763-604BC39DD797}"/>
    <dgm:cxn modelId="{238B5C17-EE0E-4D35-888D-DD75DB6CD6F4}" type="presParOf" srcId="{DC12CC8E-2717-4FD8-B09A-1C02DC229503}" destId="{FA0BCC72-381A-4FF8-94BE-75DBECFE215F}" srcOrd="0" destOrd="0" presId="urn:microsoft.com/office/officeart/2005/8/layout/hProcess9"/>
    <dgm:cxn modelId="{C8B7CF7A-8051-44D8-9176-9BB174796E4F}" type="presParOf" srcId="{DC12CC8E-2717-4FD8-B09A-1C02DC229503}" destId="{D9FED33A-1DA7-4D7B-BA78-38A4FE95B4C2}" srcOrd="1" destOrd="0" presId="urn:microsoft.com/office/officeart/2005/8/layout/hProcess9"/>
    <dgm:cxn modelId="{10FF7C18-3E19-4825-BAC4-5BFBD6BC9EA4}" type="presParOf" srcId="{D9FED33A-1DA7-4D7B-BA78-38A4FE95B4C2}" destId="{F434962D-C29B-4EAA-8DB4-DB6560173858}" srcOrd="0" destOrd="0" presId="urn:microsoft.com/office/officeart/2005/8/layout/hProcess9"/>
    <dgm:cxn modelId="{4270759A-30B2-40B4-8AAC-7A13DFDC070C}" type="presParOf" srcId="{D9FED33A-1DA7-4D7B-BA78-38A4FE95B4C2}" destId="{5A4089E5-FECF-496F-A83C-D990BF80AC19}" srcOrd="1" destOrd="0" presId="urn:microsoft.com/office/officeart/2005/8/layout/hProcess9"/>
    <dgm:cxn modelId="{3033663C-17F5-45A3-9099-B58CCE898E30}" type="presParOf" srcId="{D9FED33A-1DA7-4D7B-BA78-38A4FE95B4C2}" destId="{FFE20970-DB6E-456A-8467-EAB1A3A4199D}" srcOrd="2" destOrd="0" presId="urn:microsoft.com/office/officeart/2005/8/layout/hProcess9"/>
    <dgm:cxn modelId="{6A8DEEEC-202B-4613-8278-B8490628FAF5}" type="presParOf" srcId="{D9FED33A-1DA7-4D7B-BA78-38A4FE95B4C2}" destId="{0C65B582-C869-4A24-BC2A-9FFE010B9309}" srcOrd="3" destOrd="0" presId="urn:microsoft.com/office/officeart/2005/8/layout/hProcess9"/>
    <dgm:cxn modelId="{64EC85A7-2EEB-4D7F-BF30-766E763592DF}" type="presParOf" srcId="{D9FED33A-1DA7-4D7B-BA78-38A4FE95B4C2}" destId="{76FBC074-8E8C-48DA-85C5-AD85ACFB77FB}" srcOrd="4" destOrd="0" presId="urn:microsoft.com/office/officeart/2005/8/layout/hProcess9"/>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09D41D6-27C3-4CF7-95A2-D2BA494B30DC}" type="doc">
      <dgm:prSet loTypeId="urn:microsoft.com/office/officeart/2005/8/layout/hProcess9" loCatId="process" qsTypeId="urn:microsoft.com/office/officeart/2005/8/quickstyle/simple1" qsCatId="simple" csTypeId="urn:microsoft.com/office/officeart/2005/8/colors/accent1_2" csCatId="accent1" phldr="1"/>
      <dgm:spPr/>
    </dgm:pt>
    <dgm:pt modelId="{7E4B03AB-1401-46D3-BDC9-7FD5F7315A2D}">
      <dgm:prSet phldrT="[Text]"/>
      <dgm:spPr>
        <a:xfrm>
          <a:off x="2745" y="960120"/>
          <a:ext cx="1320700" cy="12801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Natura 2000 conservation needs</a:t>
          </a:r>
        </a:p>
      </dgm:t>
    </dgm:pt>
    <dgm:pt modelId="{FD7D0C9A-725B-4238-BCA8-599D5707CF6D}" type="parTrans" cxnId="{7183B170-F8F0-44F1-8B5C-16897945FBE3}">
      <dgm:prSet/>
      <dgm:spPr/>
      <dgm:t>
        <a:bodyPr/>
        <a:lstStyle/>
        <a:p>
          <a:endParaRPr lang="en-GB"/>
        </a:p>
      </dgm:t>
    </dgm:pt>
    <dgm:pt modelId="{A0916A5D-347B-4637-AAAE-2F434C64F7EF}" type="sibTrans" cxnId="{7183B170-F8F0-44F1-8B5C-16897945FBE3}">
      <dgm:prSet/>
      <dgm:spPr/>
      <dgm:t>
        <a:bodyPr/>
        <a:lstStyle/>
        <a:p>
          <a:endParaRPr lang="en-GB"/>
        </a:p>
      </dgm:t>
    </dgm:pt>
    <dgm:pt modelId="{8E2B2C26-8EC7-417C-9280-55094BC54B2D}">
      <dgm:prSet/>
      <dgm:spPr>
        <a:xfrm>
          <a:off x="4162953" y="960120"/>
          <a:ext cx="1320700" cy="12801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Funding needs</a:t>
          </a:r>
        </a:p>
      </dgm:t>
    </dgm:pt>
    <dgm:pt modelId="{4CE08375-CB6C-4284-BD7C-1C888E84CE49}" type="parTrans" cxnId="{FD210940-858F-40A4-B47B-BC843F20B347}">
      <dgm:prSet/>
      <dgm:spPr/>
      <dgm:t>
        <a:bodyPr/>
        <a:lstStyle/>
        <a:p>
          <a:endParaRPr lang="en-GB"/>
        </a:p>
      </dgm:t>
    </dgm:pt>
    <dgm:pt modelId="{5198D676-84CA-4285-A763-604BC39DD797}" type="sibTrans" cxnId="{FD210940-858F-40A4-B47B-BC843F20B347}">
      <dgm:prSet/>
      <dgm:spPr/>
      <dgm:t>
        <a:bodyPr/>
        <a:lstStyle/>
        <a:p>
          <a:endParaRPr lang="en-GB"/>
        </a:p>
      </dgm:t>
    </dgm:pt>
    <dgm:pt modelId="{2EE83A7E-42AD-40FE-AEB2-6DC153E94042}">
      <dgm:prSet phldrT="[Text]"/>
      <dgm:spPr>
        <a:xfrm>
          <a:off x="1389481" y="960120"/>
          <a:ext cx="1320700" cy="12801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Management actions</a:t>
          </a:r>
        </a:p>
      </dgm:t>
    </dgm:pt>
    <dgm:pt modelId="{E5775C95-AA39-4C53-B8B4-1BA99AEE1BF2}" type="sibTrans" cxnId="{4D987F93-B054-4D00-A6C1-B6C13BCC8752}">
      <dgm:prSet/>
      <dgm:spPr/>
      <dgm:t>
        <a:bodyPr/>
        <a:lstStyle/>
        <a:p>
          <a:endParaRPr lang="en-GB"/>
        </a:p>
      </dgm:t>
    </dgm:pt>
    <dgm:pt modelId="{D9DD2EB1-432C-469E-B09E-A2ED6EF0750B}" type="parTrans" cxnId="{4D987F93-B054-4D00-A6C1-B6C13BCC8752}">
      <dgm:prSet/>
      <dgm:spPr/>
      <dgm:t>
        <a:bodyPr/>
        <a:lstStyle/>
        <a:p>
          <a:endParaRPr lang="en-GB"/>
        </a:p>
      </dgm:t>
    </dgm:pt>
    <dgm:pt modelId="{DC12CC8E-2717-4FD8-B09A-1C02DC229503}" type="pres">
      <dgm:prSet presAssocID="{A09D41D6-27C3-4CF7-95A2-D2BA494B30DC}" presName="CompostProcess" presStyleCnt="0">
        <dgm:presLayoutVars>
          <dgm:dir/>
          <dgm:resizeHandles val="exact"/>
        </dgm:presLayoutVars>
      </dgm:prSet>
      <dgm:spPr/>
    </dgm:pt>
    <dgm:pt modelId="{FA0BCC72-381A-4FF8-94BE-75DBECFE215F}" type="pres">
      <dgm:prSet presAssocID="{A09D41D6-27C3-4CF7-95A2-D2BA494B30DC}" presName="arrow" presStyleLbl="bgShp" presStyleIdx="0" presStyleCnt="1" custScaleX="117647" custLinFactNeighborX="-735"/>
      <dgm:spPr>
        <a:xfrm>
          <a:off x="411479" y="0"/>
          <a:ext cx="4663440" cy="3200400"/>
        </a:xfrm>
        <a:prstGeom prst="rightArrow">
          <a:avLst/>
        </a:prstGeom>
        <a:solidFill>
          <a:srgbClr val="4F81BD">
            <a:tint val="40000"/>
            <a:hueOff val="0"/>
            <a:satOff val="0"/>
            <a:lumOff val="0"/>
            <a:alphaOff val="0"/>
          </a:srgbClr>
        </a:solidFill>
        <a:ln>
          <a:noFill/>
        </a:ln>
        <a:effectLst/>
      </dgm:spPr>
      <dgm:t>
        <a:bodyPr/>
        <a:lstStyle/>
        <a:p>
          <a:endParaRPr lang="en-GB"/>
        </a:p>
      </dgm:t>
    </dgm:pt>
    <dgm:pt modelId="{D9FED33A-1DA7-4D7B-BA78-38A4FE95B4C2}" type="pres">
      <dgm:prSet presAssocID="{A09D41D6-27C3-4CF7-95A2-D2BA494B30DC}" presName="linearProcess" presStyleCnt="0"/>
      <dgm:spPr/>
    </dgm:pt>
    <dgm:pt modelId="{F434962D-C29B-4EAA-8DB4-DB6560173858}" type="pres">
      <dgm:prSet presAssocID="{7E4B03AB-1401-46D3-BDC9-7FD5F7315A2D}" presName="textNode" presStyleLbl="node1" presStyleIdx="0" presStyleCnt="3" custScaleX="83040" custScaleY="70189" custLinFactX="-19917" custLinFactNeighborX="-100000" custLinFactNeighborY="-101">
        <dgm:presLayoutVars>
          <dgm:bulletEnabled val="1"/>
        </dgm:presLayoutVars>
      </dgm:prSet>
      <dgm:spPr>
        <a:prstGeom prst="roundRect">
          <a:avLst/>
        </a:prstGeom>
      </dgm:spPr>
      <dgm:t>
        <a:bodyPr/>
        <a:lstStyle/>
        <a:p>
          <a:endParaRPr lang="en-GB"/>
        </a:p>
      </dgm:t>
    </dgm:pt>
    <dgm:pt modelId="{5A4089E5-FECF-496F-A83C-D990BF80AC19}" type="pres">
      <dgm:prSet presAssocID="{A0916A5D-347B-4637-AAAE-2F434C64F7EF}" presName="sibTrans" presStyleCnt="0"/>
      <dgm:spPr/>
    </dgm:pt>
    <dgm:pt modelId="{FFE20970-DB6E-456A-8467-EAB1A3A4199D}" type="pres">
      <dgm:prSet presAssocID="{2EE83A7E-42AD-40FE-AEB2-6DC153E94042}" presName="textNode" presStyleLbl="node1" presStyleIdx="1" presStyleCnt="3" custScaleX="84551" custScaleY="71799" custLinFactNeighborX="-63784" custLinFactNeighborY="1992">
        <dgm:presLayoutVars>
          <dgm:bulletEnabled val="1"/>
        </dgm:presLayoutVars>
      </dgm:prSet>
      <dgm:spPr>
        <a:prstGeom prst="roundRect">
          <a:avLst/>
        </a:prstGeom>
      </dgm:spPr>
      <dgm:t>
        <a:bodyPr/>
        <a:lstStyle/>
        <a:p>
          <a:endParaRPr lang="en-GB"/>
        </a:p>
      </dgm:t>
    </dgm:pt>
    <dgm:pt modelId="{0C65B582-C869-4A24-BC2A-9FFE010B9309}" type="pres">
      <dgm:prSet presAssocID="{E5775C95-AA39-4C53-B8B4-1BA99AEE1BF2}" presName="sibTrans" presStyleCnt="0"/>
      <dgm:spPr/>
    </dgm:pt>
    <dgm:pt modelId="{76FBC074-8E8C-48DA-85C5-AD85ACFB77FB}" type="pres">
      <dgm:prSet presAssocID="{8E2B2C26-8EC7-417C-9280-55094BC54B2D}" presName="textNode" presStyleLbl="node1" presStyleIdx="2" presStyleCnt="3" custScaleX="79198" custScaleY="76185" custLinFactX="5186" custLinFactNeighborX="100000" custLinFactNeighborY="2897">
        <dgm:presLayoutVars>
          <dgm:bulletEnabled val="1"/>
        </dgm:presLayoutVars>
      </dgm:prSet>
      <dgm:spPr>
        <a:prstGeom prst="roundRect">
          <a:avLst/>
        </a:prstGeom>
      </dgm:spPr>
      <dgm:t>
        <a:bodyPr/>
        <a:lstStyle/>
        <a:p>
          <a:endParaRPr lang="en-GB"/>
        </a:p>
      </dgm:t>
    </dgm:pt>
  </dgm:ptLst>
  <dgm:cxnLst>
    <dgm:cxn modelId="{7183B170-F8F0-44F1-8B5C-16897945FBE3}" srcId="{A09D41D6-27C3-4CF7-95A2-D2BA494B30DC}" destId="{7E4B03AB-1401-46D3-BDC9-7FD5F7315A2D}" srcOrd="0" destOrd="0" parTransId="{FD7D0C9A-725B-4238-BCA8-599D5707CF6D}" sibTransId="{A0916A5D-347B-4637-AAAE-2F434C64F7EF}"/>
    <dgm:cxn modelId="{4D987F93-B054-4D00-A6C1-B6C13BCC8752}" srcId="{A09D41D6-27C3-4CF7-95A2-D2BA494B30DC}" destId="{2EE83A7E-42AD-40FE-AEB2-6DC153E94042}" srcOrd="1" destOrd="0" parTransId="{D9DD2EB1-432C-469E-B09E-A2ED6EF0750B}" sibTransId="{E5775C95-AA39-4C53-B8B4-1BA99AEE1BF2}"/>
    <dgm:cxn modelId="{F7510AC9-0785-4874-A1B8-1D44EAB66715}" type="presOf" srcId="{7E4B03AB-1401-46D3-BDC9-7FD5F7315A2D}" destId="{F434962D-C29B-4EAA-8DB4-DB6560173858}" srcOrd="0" destOrd="0" presId="urn:microsoft.com/office/officeart/2005/8/layout/hProcess9"/>
    <dgm:cxn modelId="{8654049A-1DED-4C8A-9A3C-D6C12A13807B}" type="presOf" srcId="{2EE83A7E-42AD-40FE-AEB2-6DC153E94042}" destId="{FFE20970-DB6E-456A-8467-EAB1A3A4199D}" srcOrd="0" destOrd="0" presId="urn:microsoft.com/office/officeart/2005/8/layout/hProcess9"/>
    <dgm:cxn modelId="{922ACB2E-E5C1-44E8-99AD-323B946B5CDE}" type="presOf" srcId="{A09D41D6-27C3-4CF7-95A2-D2BA494B30DC}" destId="{DC12CC8E-2717-4FD8-B09A-1C02DC229503}" srcOrd="0" destOrd="0" presId="urn:microsoft.com/office/officeart/2005/8/layout/hProcess9"/>
    <dgm:cxn modelId="{71A1037F-2EE7-4364-B0A0-B90E211C9638}" type="presOf" srcId="{8E2B2C26-8EC7-417C-9280-55094BC54B2D}" destId="{76FBC074-8E8C-48DA-85C5-AD85ACFB77FB}" srcOrd="0" destOrd="0" presId="urn:microsoft.com/office/officeart/2005/8/layout/hProcess9"/>
    <dgm:cxn modelId="{FD210940-858F-40A4-B47B-BC843F20B347}" srcId="{A09D41D6-27C3-4CF7-95A2-D2BA494B30DC}" destId="{8E2B2C26-8EC7-417C-9280-55094BC54B2D}" srcOrd="2" destOrd="0" parTransId="{4CE08375-CB6C-4284-BD7C-1C888E84CE49}" sibTransId="{5198D676-84CA-4285-A763-604BC39DD797}"/>
    <dgm:cxn modelId="{B2AD46C7-62CA-43A0-9E63-19DC1C95EA9E}" type="presParOf" srcId="{DC12CC8E-2717-4FD8-B09A-1C02DC229503}" destId="{FA0BCC72-381A-4FF8-94BE-75DBECFE215F}" srcOrd="0" destOrd="0" presId="urn:microsoft.com/office/officeart/2005/8/layout/hProcess9"/>
    <dgm:cxn modelId="{F91E76ED-BED2-43A4-8669-541F3B788B72}" type="presParOf" srcId="{DC12CC8E-2717-4FD8-B09A-1C02DC229503}" destId="{D9FED33A-1DA7-4D7B-BA78-38A4FE95B4C2}" srcOrd="1" destOrd="0" presId="urn:microsoft.com/office/officeart/2005/8/layout/hProcess9"/>
    <dgm:cxn modelId="{B50DCDFE-73D4-4BA9-872D-AEC138DCD215}" type="presParOf" srcId="{D9FED33A-1DA7-4D7B-BA78-38A4FE95B4C2}" destId="{F434962D-C29B-4EAA-8DB4-DB6560173858}" srcOrd="0" destOrd="0" presId="urn:microsoft.com/office/officeart/2005/8/layout/hProcess9"/>
    <dgm:cxn modelId="{7C7FACF8-84E3-4565-AA90-C622388555D0}" type="presParOf" srcId="{D9FED33A-1DA7-4D7B-BA78-38A4FE95B4C2}" destId="{5A4089E5-FECF-496F-A83C-D990BF80AC19}" srcOrd="1" destOrd="0" presId="urn:microsoft.com/office/officeart/2005/8/layout/hProcess9"/>
    <dgm:cxn modelId="{6F119711-4BD3-4CB7-BD5F-8326ED73B106}" type="presParOf" srcId="{D9FED33A-1DA7-4D7B-BA78-38A4FE95B4C2}" destId="{FFE20970-DB6E-456A-8467-EAB1A3A4199D}" srcOrd="2" destOrd="0" presId="urn:microsoft.com/office/officeart/2005/8/layout/hProcess9"/>
    <dgm:cxn modelId="{32B307D3-BAD5-4490-96B5-69ACF5B93D10}" type="presParOf" srcId="{D9FED33A-1DA7-4D7B-BA78-38A4FE95B4C2}" destId="{0C65B582-C869-4A24-BC2A-9FFE010B9309}" srcOrd="3" destOrd="0" presId="urn:microsoft.com/office/officeart/2005/8/layout/hProcess9"/>
    <dgm:cxn modelId="{22961F0D-CA38-4B38-BECB-3207A1CB6EB9}" type="presParOf" srcId="{D9FED33A-1DA7-4D7B-BA78-38A4FE95B4C2}" destId="{76FBC074-8E8C-48DA-85C5-AD85ACFB77FB}" srcOrd="4" destOrd="0" presId="urn:microsoft.com/office/officeart/2005/8/layout/hProcess9"/>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09D41D6-27C3-4CF7-95A2-D2BA494B30DC}" type="doc">
      <dgm:prSet loTypeId="urn:microsoft.com/office/officeart/2005/8/layout/hProcess9" loCatId="process" qsTypeId="urn:microsoft.com/office/officeart/2005/8/quickstyle/simple1" qsCatId="simple" csTypeId="urn:microsoft.com/office/officeart/2005/8/colors/accent1_2" csCatId="accent1" phldr="1"/>
      <dgm:spPr/>
    </dgm:pt>
    <dgm:pt modelId="{7E4B03AB-1401-46D3-BDC9-7FD5F7315A2D}">
      <dgm:prSet phldrT="[Text]"/>
      <dgm:spPr>
        <a:xfrm>
          <a:off x="2745" y="960120"/>
          <a:ext cx="1320700" cy="12801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Natura 2000 conservation needs</a:t>
          </a:r>
        </a:p>
      </dgm:t>
    </dgm:pt>
    <dgm:pt modelId="{FD7D0C9A-725B-4238-BCA8-599D5707CF6D}" type="parTrans" cxnId="{7183B170-F8F0-44F1-8B5C-16897945FBE3}">
      <dgm:prSet/>
      <dgm:spPr/>
      <dgm:t>
        <a:bodyPr/>
        <a:lstStyle/>
        <a:p>
          <a:endParaRPr lang="en-GB"/>
        </a:p>
      </dgm:t>
    </dgm:pt>
    <dgm:pt modelId="{A0916A5D-347B-4637-AAAE-2F434C64F7EF}" type="sibTrans" cxnId="{7183B170-F8F0-44F1-8B5C-16897945FBE3}">
      <dgm:prSet/>
      <dgm:spPr/>
      <dgm:t>
        <a:bodyPr/>
        <a:lstStyle/>
        <a:p>
          <a:endParaRPr lang="en-GB"/>
        </a:p>
      </dgm:t>
    </dgm:pt>
    <dgm:pt modelId="{8E2B2C26-8EC7-417C-9280-55094BC54B2D}">
      <dgm:prSet/>
      <dgm:spPr>
        <a:xfrm>
          <a:off x="4162953" y="960120"/>
          <a:ext cx="1320700" cy="12801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Funding needs</a:t>
          </a:r>
        </a:p>
      </dgm:t>
    </dgm:pt>
    <dgm:pt modelId="{4CE08375-CB6C-4284-BD7C-1C888E84CE49}" type="parTrans" cxnId="{FD210940-858F-40A4-B47B-BC843F20B347}">
      <dgm:prSet/>
      <dgm:spPr/>
      <dgm:t>
        <a:bodyPr/>
        <a:lstStyle/>
        <a:p>
          <a:endParaRPr lang="en-GB"/>
        </a:p>
      </dgm:t>
    </dgm:pt>
    <dgm:pt modelId="{5198D676-84CA-4285-A763-604BC39DD797}" type="sibTrans" cxnId="{FD210940-858F-40A4-B47B-BC843F20B347}">
      <dgm:prSet/>
      <dgm:spPr/>
      <dgm:t>
        <a:bodyPr/>
        <a:lstStyle/>
        <a:p>
          <a:endParaRPr lang="en-GB"/>
        </a:p>
      </dgm:t>
    </dgm:pt>
    <dgm:pt modelId="{2EE83A7E-42AD-40FE-AEB2-6DC153E94042}">
      <dgm:prSet phldrT="[Text]"/>
      <dgm:spPr>
        <a:xfrm>
          <a:off x="1389481" y="960120"/>
          <a:ext cx="1320700" cy="12801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Management actions</a:t>
          </a:r>
        </a:p>
      </dgm:t>
    </dgm:pt>
    <dgm:pt modelId="{E5775C95-AA39-4C53-B8B4-1BA99AEE1BF2}" type="sibTrans" cxnId="{4D987F93-B054-4D00-A6C1-B6C13BCC8752}">
      <dgm:prSet/>
      <dgm:spPr/>
      <dgm:t>
        <a:bodyPr/>
        <a:lstStyle/>
        <a:p>
          <a:endParaRPr lang="en-GB"/>
        </a:p>
      </dgm:t>
    </dgm:pt>
    <dgm:pt modelId="{D9DD2EB1-432C-469E-B09E-A2ED6EF0750B}" type="parTrans" cxnId="{4D987F93-B054-4D00-A6C1-B6C13BCC8752}">
      <dgm:prSet/>
      <dgm:spPr/>
      <dgm:t>
        <a:bodyPr/>
        <a:lstStyle/>
        <a:p>
          <a:endParaRPr lang="en-GB"/>
        </a:p>
      </dgm:t>
    </dgm:pt>
    <dgm:pt modelId="{DC12CC8E-2717-4FD8-B09A-1C02DC229503}" type="pres">
      <dgm:prSet presAssocID="{A09D41D6-27C3-4CF7-95A2-D2BA494B30DC}" presName="CompostProcess" presStyleCnt="0">
        <dgm:presLayoutVars>
          <dgm:dir/>
          <dgm:resizeHandles val="exact"/>
        </dgm:presLayoutVars>
      </dgm:prSet>
      <dgm:spPr/>
    </dgm:pt>
    <dgm:pt modelId="{FA0BCC72-381A-4FF8-94BE-75DBECFE215F}" type="pres">
      <dgm:prSet presAssocID="{A09D41D6-27C3-4CF7-95A2-D2BA494B30DC}" presName="arrow" presStyleLbl="bgShp" presStyleIdx="0" presStyleCnt="1" custScaleX="117647" custLinFactNeighborX="-735"/>
      <dgm:spPr>
        <a:xfrm>
          <a:off x="411479" y="0"/>
          <a:ext cx="4663440" cy="3200400"/>
        </a:xfrm>
        <a:prstGeom prst="rightArrow">
          <a:avLst/>
        </a:prstGeom>
        <a:solidFill>
          <a:srgbClr val="4F81BD">
            <a:tint val="40000"/>
            <a:hueOff val="0"/>
            <a:satOff val="0"/>
            <a:lumOff val="0"/>
            <a:alphaOff val="0"/>
          </a:srgbClr>
        </a:solidFill>
        <a:ln>
          <a:noFill/>
        </a:ln>
        <a:effectLst/>
      </dgm:spPr>
      <dgm:t>
        <a:bodyPr/>
        <a:lstStyle/>
        <a:p>
          <a:endParaRPr lang="en-GB"/>
        </a:p>
      </dgm:t>
    </dgm:pt>
    <dgm:pt modelId="{D9FED33A-1DA7-4D7B-BA78-38A4FE95B4C2}" type="pres">
      <dgm:prSet presAssocID="{A09D41D6-27C3-4CF7-95A2-D2BA494B30DC}" presName="linearProcess" presStyleCnt="0"/>
      <dgm:spPr/>
    </dgm:pt>
    <dgm:pt modelId="{F434962D-C29B-4EAA-8DB4-DB6560173858}" type="pres">
      <dgm:prSet presAssocID="{7E4B03AB-1401-46D3-BDC9-7FD5F7315A2D}" presName="textNode" presStyleLbl="node1" presStyleIdx="0" presStyleCnt="3" custScaleX="83040" custScaleY="70189" custLinFactX="-19917" custLinFactNeighborX="-100000" custLinFactNeighborY="-101">
        <dgm:presLayoutVars>
          <dgm:bulletEnabled val="1"/>
        </dgm:presLayoutVars>
      </dgm:prSet>
      <dgm:spPr>
        <a:prstGeom prst="roundRect">
          <a:avLst/>
        </a:prstGeom>
      </dgm:spPr>
      <dgm:t>
        <a:bodyPr/>
        <a:lstStyle/>
        <a:p>
          <a:endParaRPr lang="en-GB"/>
        </a:p>
      </dgm:t>
    </dgm:pt>
    <dgm:pt modelId="{5A4089E5-FECF-496F-A83C-D990BF80AC19}" type="pres">
      <dgm:prSet presAssocID="{A0916A5D-347B-4637-AAAE-2F434C64F7EF}" presName="sibTrans" presStyleCnt="0"/>
      <dgm:spPr/>
    </dgm:pt>
    <dgm:pt modelId="{FFE20970-DB6E-456A-8467-EAB1A3A4199D}" type="pres">
      <dgm:prSet presAssocID="{2EE83A7E-42AD-40FE-AEB2-6DC153E94042}" presName="textNode" presStyleLbl="node1" presStyleIdx="1" presStyleCnt="3" custScaleX="84551" custScaleY="71799" custLinFactNeighborX="-63784" custLinFactNeighborY="1992">
        <dgm:presLayoutVars>
          <dgm:bulletEnabled val="1"/>
        </dgm:presLayoutVars>
      </dgm:prSet>
      <dgm:spPr>
        <a:prstGeom prst="roundRect">
          <a:avLst/>
        </a:prstGeom>
      </dgm:spPr>
      <dgm:t>
        <a:bodyPr/>
        <a:lstStyle/>
        <a:p>
          <a:endParaRPr lang="en-GB"/>
        </a:p>
      </dgm:t>
    </dgm:pt>
    <dgm:pt modelId="{0C65B582-C869-4A24-BC2A-9FFE010B9309}" type="pres">
      <dgm:prSet presAssocID="{E5775C95-AA39-4C53-B8B4-1BA99AEE1BF2}" presName="sibTrans" presStyleCnt="0"/>
      <dgm:spPr/>
    </dgm:pt>
    <dgm:pt modelId="{76FBC074-8E8C-48DA-85C5-AD85ACFB77FB}" type="pres">
      <dgm:prSet presAssocID="{8E2B2C26-8EC7-417C-9280-55094BC54B2D}" presName="textNode" presStyleLbl="node1" presStyleIdx="2" presStyleCnt="3" custScaleX="79198" custScaleY="76185" custLinFactX="5186" custLinFactNeighborX="100000" custLinFactNeighborY="2897">
        <dgm:presLayoutVars>
          <dgm:bulletEnabled val="1"/>
        </dgm:presLayoutVars>
      </dgm:prSet>
      <dgm:spPr>
        <a:prstGeom prst="roundRect">
          <a:avLst/>
        </a:prstGeom>
      </dgm:spPr>
      <dgm:t>
        <a:bodyPr/>
        <a:lstStyle/>
        <a:p>
          <a:endParaRPr lang="en-GB"/>
        </a:p>
      </dgm:t>
    </dgm:pt>
  </dgm:ptLst>
  <dgm:cxnLst>
    <dgm:cxn modelId="{AC6FFA8B-D6BE-4AAE-B2E1-C4267BFA02AF}" type="presOf" srcId="{8E2B2C26-8EC7-417C-9280-55094BC54B2D}" destId="{76FBC074-8E8C-48DA-85C5-AD85ACFB77FB}" srcOrd="0" destOrd="0" presId="urn:microsoft.com/office/officeart/2005/8/layout/hProcess9"/>
    <dgm:cxn modelId="{7183B170-F8F0-44F1-8B5C-16897945FBE3}" srcId="{A09D41D6-27C3-4CF7-95A2-D2BA494B30DC}" destId="{7E4B03AB-1401-46D3-BDC9-7FD5F7315A2D}" srcOrd="0" destOrd="0" parTransId="{FD7D0C9A-725B-4238-BCA8-599D5707CF6D}" sibTransId="{A0916A5D-347B-4637-AAAE-2F434C64F7EF}"/>
    <dgm:cxn modelId="{4D987F93-B054-4D00-A6C1-B6C13BCC8752}" srcId="{A09D41D6-27C3-4CF7-95A2-D2BA494B30DC}" destId="{2EE83A7E-42AD-40FE-AEB2-6DC153E94042}" srcOrd="1" destOrd="0" parTransId="{D9DD2EB1-432C-469E-B09E-A2ED6EF0750B}" sibTransId="{E5775C95-AA39-4C53-B8B4-1BA99AEE1BF2}"/>
    <dgm:cxn modelId="{03FCEC17-AAF9-474B-AA8B-8769DC5E9C81}" type="presOf" srcId="{A09D41D6-27C3-4CF7-95A2-D2BA494B30DC}" destId="{DC12CC8E-2717-4FD8-B09A-1C02DC229503}" srcOrd="0" destOrd="0" presId="urn:microsoft.com/office/officeart/2005/8/layout/hProcess9"/>
    <dgm:cxn modelId="{F62EE71C-456A-4E6B-9F12-522BA26DD8C4}" type="presOf" srcId="{7E4B03AB-1401-46D3-BDC9-7FD5F7315A2D}" destId="{F434962D-C29B-4EAA-8DB4-DB6560173858}" srcOrd="0" destOrd="0" presId="urn:microsoft.com/office/officeart/2005/8/layout/hProcess9"/>
    <dgm:cxn modelId="{5CDFB2BC-EF45-4F5A-8B66-D439691F485A}" type="presOf" srcId="{2EE83A7E-42AD-40FE-AEB2-6DC153E94042}" destId="{FFE20970-DB6E-456A-8467-EAB1A3A4199D}" srcOrd="0" destOrd="0" presId="urn:microsoft.com/office/officeart/2005/8/layout/hProcess9"/>
    <dgm:cxn modelId="{FD210940-858F-40A4-B47B-BC843F20B347}" srcId="{A09D41D6-27C3-4CF7-95A2-D2BA494B30DC}" destId="{8E2B2C26-8EC7-417C-9280-55094BC54B2D}" srcOrd="2" destOrd="0" parTransId="{4CE08375-CB6C-4284-BD7C-1C888E84CE49}" sibTransId="{5198D676-84CA-4285-A763-604BC39DD797}"/>
    <dgm:cxn modelId="{7A7F9A4D-BB6B-477C-8CC4-2230841FBD7F}" type="presParOf" srcId="{DC12CC8E-2717-4FD8-B09A-1C02DC229503}" destId="{FA0BCC72-381A-4FF8-94BE-75DBECFE215F}" srcOrd="0" destOrd="0" presId="urn:microsoft.com/office/officeart/2005/8/layout/hProcess9"/>
    <dgm:cxn modelId="{E67523E1-31B8-40BE-BB29-8C610C514819}" type="presParOf" srcId="{DC12CC8E-2717-4FD8-B09A-1C02DC229503}" destId="{D9FED33A-1DA7-4D7B-BA78-38A4FE95B4C2}" srcOrd="1" destOrd="0" presId="urn:microsoft.com/office/officeart/2005/8/layout/hProcess9"/>
    <dgm:cxn modelId="{B588E940-BFFF-4CEE-BB41-98510F004516}" type="presParOf" srcId="{D9FED33A-1DA7-4D7B-BA78-38A4FE95B4C2}" destId="{F434962D-C29B-4EAA-8DB4-DB6560173858}" srcOrd="0" destOrd="0" presId="urn:microsoft.com/office/officeart/2005/8/layout/hProcess9"/>
    <dgm:cxn modelId="{B9E2764A-C506-451D-A680-ACCBB54156E4}" type="presParOf" srcId="{D9FED33A-1DA7-4D7B-BA78-38A4FE95B4C2}" destId="{5A4089E5-FECF-496F-A83C-D990BF80AC19}" srcOrd="1" destOrd="0" presId="urn:microsoft.com/office/officeart/2005/8/layout/hProcess9"/>
    <dgm:cxn modelId="{02CC4BB6-1ACA-4473-8434-B957DEDF48A3}" type="presParOf" srcId="{D9FED33A-1DA7-4D7B-BA78-38A4FE95B4C2}" destId="{FFE20970-DB6E-456A-8467-EAB1A3A4199D}" srcOrd="2" destOrd="0" presId="urn:microsoft.com/office/officeart/2005/8/layout/hProcess9"/>
    <dgm:cxn modelId="{46AEF980-EBE9-4B39-B138-BA2DDBB560D9}" type="presParOf" srcId="{D9FED33A-1DA7-4D7B-BA78-38A4FE95B4C2}" destId="{0C65B582-C869-4A24-BC2A-9FFE010B9309}" srcOrd="3" destOrd="0" presId="urn:microsoft.com/office/officeart/2005/8/layout/hProcess9"/>
    <dgm:cxn modelId="{03B0C587-45DA-4FDF-9851-395E6E6A96B5}" type="presParOf" srcId="{D9FED33A-1DA7-4D7B-BA78-38A4FE95B4C2}" destId="{76FBC074-8E8C-48DA-85C5-AD85ACFB77FB}" srcOrd="4" destOrd="0" presId="urn:microsoft.com/office/officeart/2005/8/layout/hProcess9"/>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0BCC72-381A-4FF8-94BE-75DBECFE215F}">
      <dsp:nvSpPr>
        <dsp:cNvPr id="0" name=""/>
        <dsp:cNvSpPr/>
      </dsp:nvSpPr>
      <dsp:spPr>
        <a:xfrm>
          <a:off x="0" y="0"/>
          <a:ext cx="5105397" cy="2752725"/>
        </a:xfrm>
        <a:prstGeom prst="rightArrow">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F434962D-C29B-4EAA-8DB4-DB6560173858}">
      <dsp:nvSpPr>
        <dsp:cNvPr id="0" name=""/>
        <dsp:cNvSpPr/>
      </dsp:nvSpPr>
      <dsp:spPr>
        <a:xfrm>
          <a:off x="159030" y="988828"/>
          <a:ext cx="1271857" cy="772844"/>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solidFill>
                <a:sysClr val="window" lastClr="FFFFFF"/>
              </a:solidFill>
              <a:latin typeface="Calibri"/>
              <a:ea typeface="+mn-ea"/>
              <a:cs typeface="+mn-cs"/>
            </a:rPr>
            <a:t>Anghenion cadwraeth Natura 2000</a:t>
          </a:r>
        </a:p>
      </dsp:txBody>
      <dsp:txXfrm>
        <a:off x="196757" y="1026555"/>
        <a:ext cx="1196403" cy="697390"/>
      </dsp:txXfrm>
    </dsp:sp>
    <dsp:sp modelId="{FFE20970-DB6E-456A-8467-EAB1A3A4199D}">
      <dsp:nvSpPr>
        <dsp:cNvPr id="0" name=""/>
        <dsp:cNvSpPr/>
      </dsp:nvSpPr>
      <dsp:spPr>
        <a:xfrm>
          <a:off x="1871258" y="1003010"/>
          <a:ext cx="1295000" cy="790571"/>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solidFill>
                <a:sysClr val="window" lastClr="FFFFFF"/>
              </a:solidFill>
              <a:latin typeface="Calibri"/>
              <a:ea typeface="+mn-ea"/>
              <a:cs typeface="+mn-cs"/>
            </a:rPr>
            <a:t>Camau rheoli</a:t>
          </a:r>
        </a:p>
      </dsp:txBody>
      <dsp:txXfrm>
        <a:off x="1909850" y="1041602"/>
        <a:ext cx="1217816" cy="713387"/>
      </dsp:txXfrm>
    </dsp:sp>
    <dsp:sp modelId="{76FBC074-8E8C-48DA-85C5-AD85ACFB77FB}">
      <dsp:nvSpPr>
        <dsp:cNvPr id="0" name=""/>
        <dsp:cNvSpPr/>
      </dsp:nvSpPr>
      <dsp:spPr>
        <a:xfrm>
          <a:off x="3507734" y="988828"/>
          <a:ext cx="1213012" cy="83886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solidFill>
                <a:sysClr val="window" lastClr="FFFFFF"/>
              </a:solidFill>
              <a:latin typeface="Calibri"/>
              <a:ea typeface="+mn-ea"/>
              <a:cs typeface="+mn-cs"/>
            </a:rPr>
            <a:t>Anghenion ariannu</a:t>
          </a:r>
        </a:p>
      </dsp:txBody>
      <dsp:txXfrm>
        <a:off x="3548684" y="1029778"/>
        <a:ext cx="1131112" cy="75696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0BCC72-381A-4FF8-94BE-75DBECFE215F}">
      <dsp:nvSpPr>
        <dsp:cNvPr id="0" name=""/>
        <dsp:cNvSpPr/>
      </dsp:nvSpPr>
      <dsp:spPr>
        <a:xfrm>
          <a:off x="0" y="0"/>
          <a:ext cx="5105397" cy="2752725"/>
        </a:xfrm>
        <a:prstGeom prst="rightArrow">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F434962D-C29B-4EAA-8DB4-DB6560173858}">
      <dsp:nvSpPr>
        <dsp:cNvPr id="0" name=""/>
        <dsp:cNvSpPr/>
      </dsp:nvSpPr>
      <dsp:spPr>
        <a:xfrm>
          <a:off x="159030" y="988828"/>
          <a:ext cx="1271857" cy="772844"/>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solidFill>
                <a:sysClr val="window" lastClr="FFFFFF"/>
              </a:solidFill>
              <a:latin typeface="Calibri"/>
              <a:ea typeface="+mn-ea"/>
              <a:cs typeface="+mn-cs"/>
            </a:rPr>
            <a:t>Natura 2000 conservation needs</a:t>
          </a:r>
        </a:p>
      </dsp:txBody>
      <dsp:txXfrm>
        <a:off x="196757" y="1026555"/>
        <a:ext cx="1196403" cy="697390"/>
      </dsp:txXfrm>
    </dsp:sp>
    <dsp:sp modelId="{FFE20970-DB6E-456A-8467-EAB1A3A4199D}">
      <dsp:nvSpPr>
        <dsp:cNvPr id="0" name=""/>
        <dsp:cNvSpPr/>
      </dsp:nvSpPr>
      <dsp:spPr>
        <a:xfrm>
          <a:off x="1871258" y="1003010"/>
          <a:ext cx="1295000" cy="790571"/>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solidFill>
                <a:sysClr val="window" lastClr="FFFFFF"/>
              </a:solidFill>
              <a:latin typeface="Calibri"/>
              <a:ea typeface="+mn-ea"/>
              <a:cs typeface="+mn-cs"/>
            </a:rPr>
            <a:t>Management actions</a:t>
          </a:r>
        </a:p>
      </dsp:txBody>
      <dsp:txXfrm>
        <a:off x="1909850" y="1041602"/>
        <a:ext cx="1217816" cy="713387"/>
      </dsp:txXfrm>
    </dsp:sp>
    <dsp:sp modelId="{76FBC074-8E8C-48DA-85C5-AD85ACFB77FB}">
      <dsp:nvSpPr>
        <dsp:cNvPr id="0" name=""/>
        <dsp:cNvSpPr/>
      </dsp:nvSpPr>
      <dsp:spPr>
        <a:xfrm>
          <a:off x="3507734" y="988828"/>
          <a:ext cx="1213012" cy="83886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solidFill>
                <a:sysClr val="window" lastClr="FFFFFF"/>
              </a:solidFill>
              <a:latin typeface="Calibri"/>
              <a:ea typeface="+mn-ea"/>
              <a:cs typeface="+mn-cs"/>
            </a:rPr>
            <a:t>Funding needs</a:t>
          </a:r>
        </a:p>
      </dsp:txBody>
      <dsp:txXfrm>
        <a:off x="3548684" y="1029778"/>
        <a:ext cx="1131112" cy="75696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0BCC72-381A-4FF8-94BE-75DBECFE215F}">
      <dsp:nvSpPr>
        <dsp:cNvPr id="0" name=""/>
        <dsp:cNvSpPr/>
      </dsp:nvSpPr>
      <dsp:spPr>
        <a:xfrm>
          <a:off x="0" y="0"/>
          <a:ext cx="5105397" cy="2752725"/>
        </a:xfrm>
        <a:prstGeom prst="rightArrow">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F434962D-C29B-4EAA-8DB4-DB6560173858}">
      <dsp:nvSpPr>
        <dsp:cNvPr id="0" name=""/>
        <dsp:cNvSpPr/>
      </dsp:nvSpPr>
      <dsp:spPr>
        <a:xfrm>
          <a:off x="159030" y="988828"/>
          <a:ext cx="1271857" cy="772844"/>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solidFill>
                <a:sysClr val="window" lastClr="FFFFFF"/>
              </a:solidFill>
              <a:latin typeface="Calibri"/>
              <a:ea typeface="+mn-ea"/>
              <a:cs typeface="+mn-cs"/>
            </a:rPr>
            <a:t>Natura 2000 conservation needs</a:t>
          </a:r>
        </a:p>
      </dsp:txBody>
      <dsp:txXfrm>
        <a:off x="196757" y="1026555"/>
        <a:ext cx="1196403" cy="697390"/>
      </dsp:txXfrm>
    </dsp:sp>
    <dsp:sp modelId="{FFE20970-DB6E-456A-8467-EAB1A3A4199D}">
      <dsp:nvSpPr>
        <dsp:cNvPr id="0" name=""/>
        <dsp:cNvSpPr/>
      </dsp:nvSpPr>
      <dsp:spPr>
        <a:xfrm>
          <a:off x="1871258" y="1003010"/>
          <a:ext cx="1295000" cy="790571"/>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solidFill>
                <a:sysClr val="window" lastClr="FFFFFF"/>
              </a:solidFill>
              <a:latin typeface="Calibri"/>
              <a:ea typeface="+mn-ea"/>
              <a:cs typeface="+mn-cs"/>
            </a:rPr>
            <a:t>Management actions</a:t>
          </a:r>
        </a:p>
      </dsp:txBody>
      <dsp:txXfrm>
        <a:off x="1909850" y="1041602"/>
        <a:ext cx="1217816" cy="713387"/>
      </dsp:txXfrm>
    </dsp:sp>
    <dsp:sp modelId="{76FBC074-8E8C-48DA-85C5-AD85ACFB77FB}">
      <dsp:nvSpPr>
        <dsp:cNvPr id="0" name=""/>
        <dsp:cNvSpPr/>
      </dsp:nvSpPr>
      <dsp:spPr>
        <a:xfrm>
          <a:off x="3507734" y="988828"/>
          <a:ext cx="1213012" cy="83886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solidFill>
                <a:sysClr val="window" lastClr="FFFFFF"/>
              </a:solidFill>
              <a:latin typeface="Calibri"/>
              <a:ea typeface="+mn-ea"/>
              <a:cs typeface="+mn-cs"/>
            </a:rPr>
            <a:t>Funding needs</a:t>
          </a:r>
        </a:p>
      </dsp:txBody>
      <dsp:txXfrm>
        <a:off x="3548684" y="1029778"/>
        <a:ext cx="1131112" cy="75696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ICF GHK">
      <a:dk1>
        <a:sysClr val="windowText" lastClr="000000"/>
      </a:dk1>
      <a:lt1>
        <a:sysClr val="window" lastClr="FFFFFF"/>
      </a:lt1>
      <a:dk2>
        <a:srgbClr val="0067AC"/>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E0DD06620CAD9049BAA6EA2FA745C78B" ma:contentTypeVersion="114" ma:contentTypeDescription="" ma:contentTypeScope="" ma:versionID="c0700a5a0ceaa9c7db0324549ed34326">
  <xsd:schema xmlns:xsd="http://www.w3.org/2001/XMLSchema" xmlns:xs="http://www.w3.org/2001/XMLSchema" xmlns:p="http://schemas.microsoft.com/office/2006/metadata/properties" xmlns:ns2="9be56660-2c31-41ef-bc00-23e72f632f2a" targetNamespace="http://schemas.microsoft.com/office/2006/metadata/properties" ma:root="true" ma:fieldsID="571d87a2a089d535ee0fd86471038a94"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8499d3b-94a8-4059-8763-489d4400b14a" ContentTypeId="0x01010067EB80C5FE939D4A9B3D8BA62129B7F5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9be56660-2c31-41ef-bc00-23e72f632f2a">LAND-879-11</_dlc_DocId>
    <_dlc_DocIdUrl xmlns="9be56660-2c31-41ef-bc00-23e72f632f2a">
      <Url>https://cyfoethnaturiolcymru.sharepoint.com/teams/landman/Protected-Sites/ln2kp/_layouts/15/DocIdRedir.aspx?ID=LAND-879-11</Url>
      <Description>LAND-879-11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AA3863-DFAE-4548-A8E2-E8EABB6AADE4}"/>
</file>

<file path=customXml/itemProps2.xml><?xml version="1.0" encoding="utf-8"?>
<ds:datastoreItem xmlns:ds="http://schemas.openxmlformats.org/officeDocument/2006/customXml" ds:itemID="{EC3EC2AD-1365-43B5-A7DE-D95E8E8F8A2A}"/>
</file>

<file path=customXml/itemProps3.xml><?xml version="1.0" encoding="utf-8"?>
<ds:datastoreItem xmlns:ds="http://schemas.openxmlformats.org/officeDocument/2006/customXml" ds:itemID="{FA7897A0-C9B3-4082-894A-0CE9CB22BA7E}"/>
</file>

<file path=customXml/itemProps4.xml><?xml version="1.0" encoding="utf-8"?>
<ds:datastoreItem xmlns:ds="http://schemas.openxmlformats.org/officeDocument/2006/customXml" ds:itemID="{6D172006-E064-46D6-9181-74C1B02B9DA6}"/>
</file>

<file path=customXml/itemProps5.xml><?xml version="1.0" encoding="utf-8"?>
<ds:datastoreItem xmlns:ds="http://schemas.openxmlformats.org/officeDocument/2006/customXml" ds:itemID="{54BC0A0F-E09F-4445-9A6B-38C053C5C929}"/>
</file>

<file path=customXml/itemProps6.xml><?xml version="1.0" encoding="utf-8"?>
<ds:datastoreItem xmlns:ds="http://schemas.openxmlformats.org/officeDocument/2006/customXml" ds:itemID="{F8DC1397-F25E-4DC8-9FC9-2EF672A04DBE}"/>
</file>

<file path=docProps/app.xml><?xml version="1.0" encoding="utf-8"?>
<Properties xmlns="http://schemas.openxmlformats.org/officeDocument/2006/extended-properties" xmlns:vt="http://schemas.openxmlformats.org/officeDocument/2006/docPropsVTypes">
  <Template>ICF Report 2014</Template>
  <TotalTime>12</TotalTime>
  <Pages>132</Pages>
  <Words>54637</Words>
  <Characters>321032</Characters>
  <Application>Microsoft Office Word</Application>
  <DocSecurity>0</DocSecurity>
  <Lines>2675</Lines>
  <Paragraphs>749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Haines, Rupert</dc:creator>
  <cp:lastModifiedBy>MacDonald-Jones, Hayley</cp:lastModifiedBy>
  <cp:revision>3</cp:revision>
  <cp:lastPrinted>2015-02-04T17:23:00Z</cp:lastPrinted>
  <dcterms:created xsi:type="dcterms:W3CDTF">2015-06-12T12:41:00Z</dcterms:created>
  <dcterms:modified xsi:type="dcterms:W3CDTF">2015-06-12T12:55:00Z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31f45476-91dc-459e-9809-fef0e70dddb8</vt:lpwstr>
  </property>
  <property fmtid="{D5CDD505-2E9C-101B-9397-08002B2CF9AE}" pid="3" name="ContentTypeId">
    <vt:lpwstr>0x01010067EB80C5FE939D4A9B3D8BA62129B7F50100E0DD06620CAD9049BAA6EA2FA745C78B</vt:lpwstr>
  </property>
</Properties>
</file>